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1"/>
        <w:rPr>
          <w:rFonts w:ascii="方正小标宋简体" w:hAnsi="微软雅黑" w:eastAsia="方正小标宋简体" w:cs="宋体"/>
          <w:bCs/>
          <w:spacing w:val="-16"/>
          <w:kern w:val="0"/>
          <w:sz w:val="44"/>
          <w:szCs w:val="44"/>
        </w:rPr>
      </w:pPr>
      <w:bookmarkStart w:id="0" w:name="_GoBack"/>
      <w:r>
        <w:rPr>
          <w:rFonts w:hint="eastAsia" w:ascii="方正小标宋简体" w:hAnsi="微软雅黑" w:eastAsia="方正小标宋简体" w:cs="宋体"/>
          <w:bCs/>
          <w:spacing w:val="-16"/>
          <w:kern w:val="0"/>
          <w:sz w:val="44"/>
          <w:szCs w:val="44"/>
          <w:lang w:eastAsia="zh-CN"/>
        </w:rPr>
        <w:t>永州市</w:t>
      </w:r>
      <w:r>
        <w:rPr>
          <w:rFonts w:hint="eastAsia" w:ascii="方正小标宋简体" w:hAnsi="微软雅黑" w:eastAsia="方正小标宋简体" w:cs="宋体"/>
          <w:bCs/>
          <w:spacing w:val="-16"/>
          <w:kern w:val="0"/>
          <w:sz w:val="44"/>
          <w:szCs w:val="44"/>
        </w:rPr>
        <w:t>祁阳县2019年</w:t>
      </w:r>
      <w:r>
        <w:rPr>
          <w:rFonts w:hint="eastAsia" w:ascii="方正小标宋简体" w:hAnsi="微软雅黑" w:eastAsia="方正小标宋简体" w:cs="宋体"/>
          <w:bCs/>
          <w:spacing w:val="-16"/>
          <w:kern w:val="0"/>
          <w:sz w:val="44"/>
          <w:szCs w:val="44"/>
          <w:lang w:eastAsia="zh-CN"/>
        </w:rPr>
        <w:t>招才引智</w:t>
      </w:r>
      <w:r>
        <w:rPr>
          <w:rFonts w:hint="eastAsia" w:ascii="方正小标宋简体" w:hAnsi="微软雅黑" w:eastAsia="方正小标宋简体" w:cs="宋体"/>
          <w:bCs/>
          <w:spacing w:val="-16"/>
          <w:kern w:val="0"/>
          <w:sz w:val="44"/>
          <w:szCs w:val="44"/>
        </w:rPr>
        <w:t>公告</w:t>
      </w:r>
    </w:p>
    <w:bookmarkEnd w:id="0"/>
    <w:p>
      <w:pPr>
        <w:pStyle w:val="14"/>
        <w:shd w:val="clear" w:color="auto" w:fill="FFFFFF"/>
        <w:spacing w:before="0" w:beforeAutospacing="0" w:after="0" w:afterAutospacing="0" w:line="504" w:lineRule="atLeast"/>
        <w:ind w:firstLine="480"/>
        <w:rPr>
          <w:rFonts w:ascii="微软雅黑" w:hAnsi="微软雅黑" w:eastAsia="微软雅黑"/>
          <w:sz w:val="28"/>
          <w:szCs w:val="28"/>
        </w:rPr>
      </w:pPr>
    </w:p>
    <w:p>
      <w:pPr>
        <w:pStyle w:val="14"/>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为统筹推进我县各类人才队伍建设，全面实施人才强县战略，经县委、县政府决定， 2019年祁阳县公开引进一批急需紧缺高层次人才。现将有关事项公告如下：</w:t>
      </w:r>
    </w:p>
    <w:p>
      <w:pPr>
        <w:spacing w:line="520" w:lineRule="exact"/>
        <w:ind w:firstLine="600" w:firstLineChars="200"/>
        <w:rPr>
          <w:rFonts w:ascii="黑体" w:hAnsi="黑体" w:eastAsia="黑体"/>
          <w:sz w:val="30"/>
          <w:szCs w:val="30"/>
        </w:rPr>
      </w:pPr>
      <w:r>
        <w:rPr>
          <w:rFonts w:hint="eastAsia" w:ascii="黑体" w:hAnsi="黑体" w:eastAsia="黑体"/>
          <w:sz w:val="30"/>
          <w:szCs w:val="30"/>
        </w:rPr>
        <w:t>一、引进原则</w:t>
      </w:r>
    </w:p>
    <w:p>
      <w:pPr>
        <w:pStyle w:val="14"/>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坚持公开、公正、公平、择优的原则，采取公开报名、统一面试、严格考核的方法进行。</w:t>
      </w:r>
    </w:p>
    <w:p>
      <w:pPr>
        <w:pStyle w:val="6"/>
        <w:shd w:val="clear" w:color="auto" w:fill="FFFFFF"/>
        <w:spacing w:before="0" w:beforeAutospacing="0" w:after="0" w:afterAutospacing="0" w:line="520" w:lineRule="exact"/>
        <w:ind w:firstLine="600" w:firstLineChars="200"/>
        <w:rPr>
          <w:rFonts w:ascii="黑体" w:hAnsi="黑体" w:eastAsia="黑体"/>
          <w:sz w:val="30"/>
          <w:szCs w:val="30"/>
        </w:rPr>
      </w:pPr>
      <w:r>
        <w:rPr>
          <w:rFonts w:hint="eastAsia" w:ascii="黑体" w:hAnsi="黑体" w:eastAsia="黑体"/>
          <w:sz w:val="30"/>
          <w:szCs w:val="30"/>
        </w:rPr>
        <w:t>二、引进职位及人数</w:t>
      </w:r>
    </w:p>
    <w:p>
      <w:pPr>
        <w:pStyle w:val="14"/>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共81个职位，128工作人员。详见《祁阳县2019年急需紧缺高层次人才需求目录》（见附件1）。</w:t>
      </w:r>
    </w:p>
    <w:p>
      <w:pPr>
        <w:pStyle w:val="14"/>
        <w:shd w:val="clear" w:color="auto" w:fill="FFFFFF"/>
        <w:spacing w:before="0" w:beforeAutospacing="0" w:after="0" w:afterAutospacing="0" w:line="504" w:lineRule="atLeast"/>
        <w:ind w:firstLine="640" w:firstLineChars="200"/>
        <w:rPr>
          <w:rFonts w:ascii="新宋体" w:hAnsi="新宋体" w:eastAsia="新宋体"/>
          <w:sz w:val="30"/>
          <w:szCs w:val="30"/>
        </w:rPr>
      </w:pPr>
      <w:r>
        <w:rPr>
          <w:rFonts w:hint="eastAsia" w:ascii="仿宋_GB2312" w:hAnsi="微软雅黑" w:eastAsia="仿宋_GB2312"/>
          <w:sz w:val="32"/>
          <w:szCs w:val="32"/>
        </w:rPr>
        <w:t>报考人员可通过祁阳县人力资源和社会保障局网站查阅(</w:t>
      </w:r>
      <w:r>
        <w:fldChar w:fldCharType="begin"/>
      </w:r>
      <w:r>
        <w:instrText xml:space="preserve"> HYPERLINK "http://rsj.qy.gov.cn" </w:instrText>
      </w:r>
      <w:r>
        <w:fldChar w:fldCharType="separate"/>
      </w:r>
      <w:r>
        <w:rPr>
          <w:rFonts w:hint="eastAsia" w:ascii="仿宋_GB2312" w:hAnsi="微软雅黑" w:eastAsia="仿宋_GB2312"/>
          <w:sz w:val="32"/>
          <w:szCs w:val="32"/>
        </w:rPr>
        <w:t>http://rsj.qy.gov.cn</w:t>
      </w:r>
      <w:r>
        <w:rPr>
          <w:rFonts w:hint="eastAsia" w:ascii="仿宋_GB2312" w:hAnsi="微软雅黑" w:eastAsia="仿宋_GB2312"/>
          <w:sz w:val="32"/>
          <w:szCs w:val="32"/>
        </w:rPr>
        <w:fldChar w:fldCharType="end"/>
      </w:r>
      <w:r>
        <w:rPr>
          <w:rFonts w:hint="eastAsia" w:ascii="仿宋_GB2312" w:hAnsi="微软雅黑" w:eastAsia="仿宋_GB2312"/>
          <w:sz w:val="32"/>
          <w:szCs w:val="32"/>
        </w:rPr>
        <w:t>)。</w:t>
      </w:r>
    </w:p>
    <w:p>
      <w:pPr>
        <w:pStyle w:val="6"/>
        <w:shd w:val="clear" w:color="auto" w:fill="FFFFFF"/>
        <w:spacing w:before="0" w:beforeAutospacing="0" w:after="0" w:afterAutospacing="0" w:line="520" w:lineRule="exact"/>
        <w:ind w:firstLine="602" w:firstLineChars="200"/>
        <w:rPr>
          <w:rFonts w:ascii="黑体" w:hAnsi="黑体" w:eastAsia="黑体"/>
          <w:sz w:val="32"/>
          <w:szCs w:val="32"/>
        </w:rPr>
      </w:pPr>
      <w:r>
        <w:rPr>
          <w:rFonts w:hint="eastAsia" w:ascii="黑体" w:hAnsi="黑体" w:eastAsia="黑体"/>
          <w:b/>
          <w:sz w:val="30"/>
          <w:szCs w:val="30"/>
        </w:rPr>
        <w:t>三、</w:t>
      </w:r>
      <w:r>
        <w:rPr>
          <w:rFonts w:hint="eastAsia" w:ascii="黑体" w:hAnsi="黑体" w:eastAsia="黑体"/>
          <w:sz w:val="32"/>
          <w:szCs w:val="32"/>
        </w:rPr>
        <w:t>引进范围、对象</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对口专业原“985”、“211”工程院校普高全日制本科及以上学历；对口专业全日制硕士研究生及以上学历或副高级及以上职称；符合岗位要求的优秀教师。学历及资格证书取得时间截止到2019年7月31日。</w:t>
      </w:r>
    </w:p>
    <w:p>
      <w:pPr>
        <w:pStyle w:val="6"/>
        <w:shd w:val="clear" w:color="auto" w:fill="FFFFFF"/>
        <w:spacing w:before="0" w:beforeAutospacing="0" w:after="0" w:afterAutospacing="0" w:line="504" w:lineRule="atLeast"/>
        <w:ind w:firstLine="640" w:firstLineChars="200"/>
        <w:rPr>
          <w:rFonts w:ascii="黑体" w:hAnsi="黑体" w:eastAsia="黑体"/>
          <w:sz w:val="32"/>
          <w:szCs w:val="32"/>
        </w:rPr>
      </w:pPr>
      <w:r>
        <w:rPr>
          <w:rFonts w:hint="eastAsia" w:ascii="黑体" w:hAnsi="黑体" w:eastAsia="黑体"/>
          <w:sz w:val="32"/>
          <w:szCs w:val="32"/>
        </w:rPr>
        <w:t>四、报名的资格条件</w:t>
      </w:r>
    </w:p>
    <w:p>
      <w:pPr>
        <w:pStyle w:val="6"/>
        <w:shd w:val="clear" w:color="auto" w:fill="FFFFFF"/>
        <w:spacing w:before="0" w:beforeAutospacing="0" w:after="0" w:afterAutospacing="0" w:line="504" w:lineRule="atLeast"/>
        <w:ind w:firstLine="643" w:firstLineChars="200"/>
        <w:rPr>
          <w:rFonts w:ascii="楷体" w:hAnsi="楷体" w:eastAsia="楷体"/>
          <w:b/>
          <w:sz w:val="32"/>
          <w:szCs w:val="32"/>
        </w:rPr>
      </w:pPr>
      <w:r>
        <w:rPr>
          <w:rFonts w:hint="eastAsia" w:ascii="楷体" w:hAnsi="楷体" w:eastAsia="楷体"/>
          <w:b/>
          <w:sz w:val="32"/>
          <w:szCs w:val="32"/>
        </w:rPr>
        <w:t>（一）具有下列资格条件人员可以报名：</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1.拥护党的路线方针政策，政治上坚定可靠；</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2.遵纪守法，品行端正，具有良好的道德品行；</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3.具备职位所要求的专业、年龄等相关条件;</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4.具有正常履职的身体条件。</w:t>
      </w:r>
    </w:p>
    <w:p>
      <w:pPr>
        <w:pStyle w:val="6"/>
        <w:shd w:val="clear" w:color="auto" w:fill="FFFFFF"/>
        <w:spacing w:before="0" w:beforeAutospacing="0" w:after="0" w:afterAutospacing="0" w:line="504" w:lineRule="atLeast"/>
        <w:ind w:firstLine="643" w:firstLineChars="200"/>
        <w:rPr>
          <w:rFonts w:ascii="楷体" w:hAnsi="楷体" w:eastAsia="楷体"/>
          <w:b/>
          <w:sz w:val="32"/>
          <w:szCs w:val="32"/>
        </w:rPr>
      </w:pPr>
      <w:r>
        <w:rPr>
          <w:rFonts w:hint="eastAsia" w:ascii="楷体" w:hAnsi="楷体" w:eastAsia="楷体"/>
          <w:b/>
          <w:sz w:val="32"/>
          <w:szCs w:val="32"/>
        </w:rPr>
        <w:t>（二）有下列情形之一的人员不能报名：</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1.因犯罪受过刑事处罚的；</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2.受党纪政纪处分尚未解除的；</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3.因违法违纪正被调查处理的；</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4.已纳入我市编制管理的；</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5. 以及有法律规定不得录用为国家工作人员的其他情形的人员。</w:t>
      </w:r>
    </w:p>
    <w:p>
      <w:pPr>
        <w:spacing w:line="520" w:lineRule="exact"/>
        <w:ind w:firstLine="640" w:firstLineChars="200"/>
        <w:rPr>
          <w:rFonts w:ascii="宋体" w:hAnsi="宋体"/>
          <w:sz w:val="30"/>
          <w:szCs w:val="30"/>
        </w:rPr>
      </w:pPr>
      <w:r>
        <w:rPr>
          <w:rFonts w:hint="eastAsia" w:ascii="仿宋_GB2312" w:hAnsi="微软雅黑" w:eastAsia="仿宋_GB2312"/>
          <w:sz w:val="32"/>
          <w:szCs w:val="32"/>
        </w:rPr>
        <w:t>各职位要求的具体条件详见《祁阳县2019年急需紧缺高层次人才需求目录》</w:t>
      </w:r>
    </w:p>
    <w:p>
      <w:pPr>
        <w:pStyle w:val="6"/>
        <w:shd w:val="clear" w:color="auto" w:fill="FFFFFF"/>
        <w:spacing w:before="0" w:beforeAutospacing="0" w:after="0" w:afterAutospacing="0" w:line="504" w:lineRule="atLeast"/>
        <w:ind w:firstLine="640" w:firstLineChars="200"/>
        <w:rPr>
          <w:rFonts w:ascii="黑体" w:hAnsi="黑体" w:eastAsia="黑体"/>
          <w:sz w:val="32"/>
          <w:szCs w:val="32"/>
        </w:rPr>
      </w:pPr>
      <w:r>
        <w:rPr>
          <w:rFonts w:hint="eastAsia" w:ascii="黑体" w:hAnsi="黑体" w:eastAsia="黑体"/>
          <w:sz w:val="32"/>
          <w:szCs w:val="32"/>
        </w:rPr>
        <w:t>四、引进程序和方法</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本次引进，按报名、资格审查、考试、考察、体检、公示与聘用等步骤进行。</w:t>
      </w:r>
    </w:p>
    <w:p>
      <w:pPr>
        <w:pStyle w:val="6"/>
        <w:numPr>
          <w:ilvl w:val="0"/>
          <w:numId w:val="1"/>
        </w:numPr>
        <w:shd w:val="clear" w:color="auto" w:fill="FFFFFF"/>
        <w:spacing w:before="0" w:beforeAutospacing="0" w:after="0" w:afterAutospacing="0" w:line="504" w:lineRule="atLeast"/>
        <w:rPr>
          <w:rFonts w:ascii="楷体" w:hAnsi="楷体" w:eastAsia="楷体"/>
          <w:b/>
          <w:sz w:val="32"/>
          <w:szCs w:val="32"/>
        </w:rPr>
      </w:pPr>
      <w:r>
        <w:rPr>
          <w:rFonts w:hint="eastAsia" w:ascii="楷体" w:hAnsi="楷体" w:eastAsia="楷体"/>
          <w:b/>
          <w:sz w:val="32"/>
          <w:szCs w:val="32"/>
        </w:rPr>
        <w:t>报名与资格审查</w:t>
      </w:r>
    </w:p>
    <w:p>
      <w:pPr>
        <w:pStyle w:val="6"/>
        <w:shd w:val="clear" w:color="auto" w:fill="FFFFFF"/>
        <w:spacing w:before="0" w:beforeAutospacing="0" w:after="0" w:afterAutospacing="0" w:line="504" w:lineRule="atLeas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报名时间：自公告发布之日起至12月8日。采取现场报名和网络报名方式进行。对于参考人员过于集中的岗位，招聘机关有权按考试成绩从高分到低分调剂到其他专业要求一致且空缺的岗位。</w:t>
      </w:r>
    </w:p>
    <w:p>
      <w:pPr>
        <w:pStyle w:val="6"/>
        <w:shd w:val="clear" w:color="auto" w:fill="FFFFFF"/>
        <w:spacing w:before="0" w:beforeAutospacing="0" w:after="0" w:afterAutospacing="0" w:line="504" w:lineRule="atLeas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1.由组建的引才小组在相关高校直接接受报名，并填写《祁阳县引进高学历人才意向协议书》（见附件2）。现场报名的，由引才小组进行资格初审。</w:t>
      </w:r>
      <w:r>
        <w:rPr>
          <w:rFonts w:hint="eastAsia" w:ascii="仿宋_GB2312" w:hAnsi="仿宋_GB2312" w:eastAsia="仿宋_GB2312" w:cs="仿宋_GB2312"/>
          <w:sz w:val="32"/>
          <w:szCs w:val="32"/>
        </w:rPr>
        <w:t>对清华大学、北京大学、中国人民大学、中国科学院大学、吉林大学、哈尔滨工业大学、武汉大学、华中科技大学、湖南大学、中南大学、复旦大学、上海交通大学、同济大学、浙江大学、南京大学、中山大学、华南理工大学等重点高校毕业生报告综合类岗位的，符合引进标准、条件的，由引才小组现场面试确定进入考察人选，其中，对全日制博士研究生和清华大学、北京大学高校全日制毕业生，不受引才需求目录限制，可简化程序，先报名后择岗。</w:t>
      </w:r>
    </w:p>
    <w:p>
      <w:pPr>
        <w:pStyle w:val="6"/>
        <w:shd w:val="clear" w:color="auto" w:fill="FFFFFF"/>
        <w:spacing w:before="0" w:beforeAutospacing="0" w:after="0" w:afterAutospacing="0" w:line="504" w:lineRule="atLeas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2.应聘人员携带以下资料到各用人单位报名</w:t>
      </w:r>
      <w:r>
        <w:rPr>
          <w:rFonts w:ascii="仿宋_GB2312" w:hAnsi="Tahoma" w:eastAsia="仿宋_GB2312" w:cs="Tahoma"/>
          <w:sz w:val="32"/>
          <w:szCs w:val="32"/>
        </w:rPr>
        <w:t>：</w:t>
      </w:r>
      <w:r>
        <w:rPr>
          <w:rFonts w:hint="eastAsia" w:ascii="仿宋_GB2312" w:hAnsi="Tahoma" w:eastAsia="仿宋_GB2312" w:cs="Tahoma"/>
          <w:sz w:val="32"/>
          <w:szCs w:val="32"/>
        </w:rPr>
        <w:t>①</w:t>
      </w:r>
      <w:r>
        <w:rPr>
          <w:rFonts w:ascii="仿宋_GB2312" w:hAnsi="Tahoma" w:eastAsia="仿宋_GB2312" w:cs="Tahoma"/>
          <w:sz w:val="32"/>
          <w:szCs w:val="32"/>
        </w:rPr>
        <w:t>毕业证原件及复印件、《教育部学历证书电子注册备案表》</w:t>
      </w:r>
      <w:r>
        <w:rPr>
          <w:rFonts w:hint="eastAsia" w:ascii="仿宋_GB2312" w:hAnsi="Tahoma" w:eastAsia="仿宋_GB2312" w:cs="Tahoma"/>
          <w:sz w:val="32"/>
          <w:szCs w:val="32"/>
        </w:rPr>
        <w:t>，2019年应届毕业生资格审查时需提供就业推荐表</w:t>
      </w:r>
      <w:r>
        <w:rPr>
          <w:rFonts w:ascii="仿宋_GB2312" w:hAnsi="Tahoma" w:eastAsia="仿宋_GB2312" w:cs="Tahoma"/>
          <w:sz w:val="32"/>
          <w:szCs w:val="32"/>
        </w:rPr>
        <w:t>；</w:t>
      </w:r>
      <w:r>
        <w:rPr>
          <w:rFonts w:hint="eastAsia" w:ascii="仿宋_GB2312" w:hAnsi="Tahoma" w:eastAsia="仿宋_GB2312" w:cs="Tahoma"/>
          <w:sz w:val="32"/>
          <w:szCs w:val="32"/>
        </w:rPr>
        <w:t>②</w:t>
      </w:r>
      <w:r>
        <w:rPr>
          <w:rFonts w:ascii="仿宋_GB2312" w:hAnsi="Tahoma" w:eastAsia="仿宋_GB2312" w:cs="Tahoma"/>
          <w:sz w:val="32"/>
          <w:szCs w:val="32"/>
        </w:rPr>
        <w:t>有效身份证原件及复印件；</w:t>
      </w:r>
      <w:r>
        <w:rPr>
          <w:rFonts w:hint="eastAsia" w:ascii="仿宋_GB2312" w:hAnsi="Tahoma" w:eastAsia="仿宋_GB2312" w:cs="Tahoma"/>
          <w:sz w:val="32"/>
          <w:szCs w:val="32"/>
        </w:rPr>
        <w:t>③</w:t>
      </w:r>
      <w:r>
        <w:rPr>
          <w:rFonts w:ascii="仿宋_GB2312" w:hAnsi="Tahoma" w:eastAsia="仿宋_GB2312" w:cs="Tahoma"/>
          <w:sz w:val="32"/>
          <w:szCs w:val="32"/>
        </w:rPr>
        <w:t>本人近期同底免冠1寸照片3张；</w:t>
      </w:r>
      <w:r>
        <w:rPr>
          <w:rFonts w:hint="eastAsia" w:ascii="仿宋_GB2312" w:hAnsi="Tahoma" w:eastAsia="仿宋_GB2312" w:cs="Tahoma"/>
          <w:sz w:val="32"/>
          <w:szCs w:val="32"/>
        </w:rPr>
        <w:t>④</w:t>
      </w:r>
      <w:r>
        <w:rPr>
          <w:rFonts w:ascii="仿宋_GB2312" w:hAnsi="Tahoma" w:eastAsia="仿宋_GB2312" w:cs="Tahoma"/>
          <w:sz w:val="32"/>
          <w:szCs w:val="32"/>
        </w:rPr>
        <w:t>有工作单位的报考人员还需提供所在单位及当地人力资源和保障局同意报考的证明</w:t>
      </w:r>
      <w:r>
        <w:rPr>
          <w:rFonts w:hint="eastAsia" w:ascii="仿宋_GB2312" w:hAnsi="Tahoma" w:eastAsia="仿宋_GB2312" w:cs="Tahoma"/>
          <w:sz w:val="32"/>
          <w:szCs w:val="32"/>
        </w:rPr>
        <w:t>；⑤《永州市祁阳县2019年引进急需紧缺高层次人才报名登记表》（见附件3）；⑥引进职位资格条件规定的其它相关证书原件及复印件。委托他人代理资格审查的应聘人员，还须提供由本人书写的委托书。</w:t>
      </w:r>
      <w:r>
        <w:rPr>
          <w:rFonts w:ascii="仿宋_GB2312" w:hAnsi="Tahoma" w:eastAsia="仿宋_GB2312" w:cs="Tahoma"/>
          <w:sz w:val="32"/>
          <w:szCs w:val="32"/>
        </w:rPr>
        <w:t>人社部门会同用人单位严格按照招聘条件对报考人员进行资格审查，由用人单位进行资格初审，人社部门进行资格复审。</w:t>
      </w:r>
      <w:r>
        <w:rPr>
          <w:rFonts w:hint="eastAsia" w:ascii="仿宋_GB2312" w:hAnsi="Tahoma" w:eastAsia="仿宋_GB2312" w:cs="Tahoma"/>
          <w:sz w:val="32"/>
          <w:szCs w:val="32"/>
        </w:rPr>
        <w:t>专业审查参照《2018年湖南省公务员考试专业分类目录》。每名应聘人员只能申报一个职位。</w:t>
      </w:r>
    </w:p>
    <w:p>
      <w:pPr>
        <w:pStyle w:val="6"/>
        <w:shd w:val="clear" w:color="auto" w:fill="FFFFFF"/>
        <w:spacing w:before="0" w:beforeAutospacing="0" w:after="0" w:afterAutospacing="0" w:line="504" w:lineRule="atLeas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3.网络报名邮箱地址：</w:t>
      </w:r>
      <w:r>
        <w:fldChar w:fldCharType="begin"/>
      </w:r>
      <w:r>
        <w:instrText xml:space="preserve"> HYPERLINK "mailto:353650821@qq.com" </w:instrText>
      </w:r>
      <w:r>
        <w:fldChar w:fldCharType="separate"/>
      </w:r>
      <w:r>
        <w:rPr>
          <w:rStyle w:val="10"/>
          <w:rFonts w:hint="eastAsia" w:ascii="仿宋_GB2312" w:hAnsi="Tahoma" w:eastAsia="仿宋_GB2312" w:cs="Tahoma"/>
          <w:sz w:val="32"/>
          <w:szCs w:val="32"/>
        </w:rPr>
        <w:t>353650821@qq.com</w:t>
      </w:r>
      <w:r>
        <w:rPr>
          <w:rStyle w:val="10"/>
          <w:rFonts w:hint="eastAsia" w:ascii="仿宋_GB2312" w:hAnsi="Tahoma" w:eastAsia="仿宋_GB2312" w:cs="Tahoma"/>
          <w:sz w:val="32"/>
          <w:szCs w:val="32"/>
        </w:rPr>
        <w:fldChar w:fldCharType="end"/>
      </w:r>
    </w:p>
    <w:p>
      <w:pPr>
        <w:pStyle w:val="6"/>
        <w:shd w:val="clear" w:color="auto" w:fill="FFFFFF"/>
        <w:spacing w:before="0" w:beforeAutospacing="0" w:after="0" w:afterAutospacing="0" w:line="504" w:lineRule="atLeast"/>
        <w:ind w:firstLine="643" w:firstLineChars="200"/>
        <w:rPr>
          <w:rFonts w:ascii="仿宋_GB2312" w:hAnsi="微软雅黑" w:eastAsia="仿宋_GB2312"/>
          <w:sz w:val="32"/>
          <w:szCs w:val="32"/>
        </w:rPr>
      </w:pPr>
      <w:r>
        <w:rPr>
          <w:rStyle w:val="8"/>
          <w:rFonts w:hint="eastAsia" w:ascii="楷体" w:hAnsi="楷体" w:eastAsia="楷体" w:cs="Tahoma"/>
          <w:sz w:val="32"/>
          <w:szCs w:val="32"/>
        </w:rPr>
        <w:t>（二）考试。</w:t>
      </w:r>
      <w:r>
        <w:rPr>
          <w:rFonts w:hint="eastAsia" w:ascii="仿宋_GB2312" w:hAnsi="微软雅黑" w:eastAsia="仿宋_GB2312"/>
          <w:sz w:val="32"/>
          <w:szCs w:val="32"/>
        </w:rPr>
        <w:t>面试采取试教、实践操作技能考核、才艺展示、结构化面试等方式进行，由用人单位或其主管部门拟定具体实施方案报县委人才领导小组办公室审批后，在县委人才工作领导小组及主管部门的指导下，组织实施人才引进工作。面试实行百分制，成绩按照去掉一个最高分和去掉一个最低分，取有效分的平均分的方法计算，精确到小数点后2位数。面试成绩不得低于70分，否则不予录用。面试时间、地点另行通知。</w:t>
      </w:r>
    </w:p>
    <w:p>
      <w:pPr>
        <w:pStyle w:val="6"/>
        <w:spacing w:before="0" w:beforeAutospacing="0" w:after="0" w:afterAutospacing="0"/>
        <w:ind w:firstLine="643" w:firstLineChars="200"/>
        <w:rPr>
          <w:rFonts w:ascii="楷体" w:hAnsi="楷体" w:eastAsia="楷体" w:cs="Tahoma"/>
          <w:b/>
          <w:sz w:val="32"/>
          <w:szCs w:val="32"/>
        </w:rPr>
      </w:pPr>
      <w:r>
        <w:rPr>
          <w:rFonts w:hint="eastAsia" w:ascii="楷体" w:hAnsi="楷体" w:eastAsia="楷体"/>
          <w:b/>
          <w:sz w:val="32"/>
          <w:szCs w:val="32"/>
        </w:rPr>
        <w:t>（三）考察和体检</w:t>
      </w:r>
      <w:r>
        <w:rPr>
          <w:rFonts w:hint="eastAsia" w:ascii="楷体" w:hAnsi="楷体" w:eastAsia="楷体" w:cs="Tahoma"/>
          <w:b/>
          <w:sz w:val="32"/>
          <w:szCs w:val="32"/>
        </w:rPr>
        <w:t>。</w:t>
      </w:r>
      <w:r>
        <w:rPr>
          <w:rFonts w:hint="eastAsia" w:ascii="仿宋_GB2312" w:hAnsi="微软雅黑" w:eastAsia="仿宋_GB2312"/>
          <w:sz w:val="32"/>
          <w:szCs w:val="32"/>
        </w:rPr>
        <w:t>按面试成绩高低等额组织进行考察、体检，面试成绩相同的，按不去掉最高分和最低分的总分高低确定考察人员。考察时，要详细了解考察对象的真实信息情况和其现实表现，了解其是否存在影响引进的情形，出具考察报告，并对考察结果负责。体检标准参照最新版《公务员录用体检通用标准（试行）》执行。考察、体检工作由引进单位或其主管部门组织实施。对因自愿放弃或体检、考察不合格等原因造成的岗位空缺，按照面试成绩相应递补，但递补不超过两次。</w:t>
      </w:r>
    </w:p>
    <w:p>
      <w:pPr>
        <w:pStyle w:val="6"/>
        <w:shd w:val="clear" w:color="auto" w:fill="FFFFFF"/>
        <w:spacing w:before="0" w:beforeAutospacing="0" w:after="0" w:afterAutospacing="0" w:line="504" w:lineRule="atLeast"/>
        <w:ind w:firstLine="643" w:firstLineChars="200"/>
        <w:rPr>
          <w:rFonts w:ascii="楷体" w:hAnsi="楷体" w:eastAsia="楷体"/>
          <w:b/>
          <w:sz w:val="32"/>
          <w:szCs w:val="32"/>
        </w:rPr>
      </w:pPr>
      <w:r>
        <w:rPr>
          <w:rFonts w:hint="eastAsia" w:ascii="楷体" w:hAnsi="楷体" w:eastAsia="楷体"/>
          <w:b/>
          <w:sz w:val="32"/>
          <w:szCs w:val="32"/>
        </w:rPr>
        <w:t>（四）公示与聘用。</w:t>
      </w:r>
      <w:r>
        <w:rPr>
          <w:rFonts w:hint="eastAsia" w:ascii="仿宋_GB2312" w:hAnsi="微软雅黑" w:eastAsia="仿宋_GB2312"/>
          <w:sz w:val="32"/>
          <w:szCs w:val="32"/>
        </w:rPr>
        <w:t>经面试、考察、体检合格的拟引进人员，由县委人才工作领导小组办公室在祁阳县政府官网、人社局官网公示7个工作日，接受社会监督。</w:t>
      </w:r>
      <w:r>
        <w:rPr>
          <w:rFonts w:hint="eastAsia" w:ascii="仿宋_GB2312" w:hAnsi="仿宋_GB2312" w:eastAsia="仿宋_GB2312" w:cs="仿宋_GB2312"/>
          <w:sz w:val="32"/>
          <w:szCs w:val="32"/>
        </w:rPr>
        <w:t>经公示无异议的，由用人单位或其主管部门提出聘用意见，签订聘用合同，报县人社局审核认定，试用期一年。</w:t>
      </w:r>
      <w:r>
        <w:rPr>
          <w:rFonts w:hint="eastAsia" w:ascii="仿宋_GB2312" w:hAnsi="微软雅黑" w:eastAsia="仿宋_GB2312"/>
          <w:sz w:val="32"/>
          <w:szCs w:val="32"/>
        </w:rPr>
        <w:t>试用期不合格的，终止人才引进程序，不享受急需紧缺高层次人才待遇。</w:t>
      </w:r>
      <w:r>
        <w:rPr>
          <w:rFonts w:hint="eastAsia" w:ascii="仿宋_GB2312" w:hAnsi="仿宋_GB2312" w:eastAsia="仿宋_GB2312" w:cs="仿宋_GB2312"/>
          <w:sz w:val="32"/>
          <w:szCs w:val="32"/>
        </w:rPr>
        <w:t>所有聘用人员服务年限不低于五年。</w:t>
      </w:r>
    </w:p>
    <w:p>
      <w:pPr>
        <w:pStyle w:val="6"/>
        <w:shd w:val="clear" w:color="auto" w:fill="FFFFFF"/>
        <w:spacing w:before="0" w:beforeAutospacing="0" w:after="0" w:afterAutospacing="0" w:line="504" w:lineRule="atLeast"/>
        <w:ind w:firstLine="640" w:firstLineChars="200"/>
        <w:rPr>
          <w:rFonts w:ascii="黑体" w:hAnsi="黑体" w:eastAsia="黑体"/>
          <w:sz w:val="32"/>
          <w:szCs w:val="32"/>
        </w:rPr>
      </w:pPr>
      <w:r>
        <w:rPr>
          <w:rFonts w:hint="eastAsia" w:ascii="黑体" w:hAnsi="黑体" w:eastAsia="黑体"/>
          <w:sz w:val="32"/>
          <w:szCs w:val="32"/>
        </w:rPr>
        <w:t>五、优惠政策</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根据《祁阳县人才引进实施办法》，祁阳县2019年县直企业事业单位引进的急需紧缺人才享受以下优惠政策。</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1.工资待遇。引进人才工资待遇可由用人单位与引进人才协商确定，两年内可不纳入单位工资总额管理。</w:t>
      </w:r>
    </w:p>
    <w:p>
      <w:pPr>
        <w:spacing w:line="560" w:lineRule="exact"/>
        <w:ind w:firstLine="640" w:firstLineChars="200"/>
        <w:rPr>
          <w:rFonts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sz w:val="32"/>
        </w:rPr>
        <w:t>2.</w:t>
      </w:r>
      <w:r>
        <w:rPr>
          <w:rFonts w:hint="eastAsia" w:ascii="仿宋_GB2312" w:hAnsi="仿宋_GB2312" w:eastAsia="仿宋_GB2312" w:cs="仿宋_GB2312"/>
          <w:bCs/>
          <w:kern w:val="0"/>
          <w:sz w:val="32"/>
          <w:szCs w:val="32"/>
          <w:shd w:val="clear" w:color="auto" w:fill="FFFFFF"/>
        </w:rPr>
        <w:t>生活补贴。引进的人才除享受正常的工资福利外，还享受县财政给予的生活补贴，</w:t>
      </w:r>
      <w:r>
        <w:rPr>
          <w:rFonts w:hint="eastAsia" w:ascii="仿宋_GB2312" w:hAnsi="仿宋_GB2312" w:eastAsia="仿宋_GB2312" w:cs="仿宋_GB2312"/>
          <w:sz w:val="32"/>
        </w:rPr>
        <w:t>标准为：</w:t>
      </w:r>
      <w:r>
        <w:rPr>
          <w:rFonts w:hint="eastAsia" w:ascii="仿宋_GB2312" w:hAnsi="仿宋_GB2312" w:eastAsia="仿宋_GB2312" w:cs="仿宋_GB2312"/>
          <w:bCs/>
          <w:kern w:val="0"/>
          <w:sz w:val="32"/>
          <w:szCs w:val="32"/>
          <w:shd w:val="clear" w:color="auto" w:fill="FFFFFF"/>
        </w:rPr>
        <w:t>具有全日制博士研究生学历，或在本行业有重大贡献正高级职称的急需紧缺人才每人每月4000元；</w:t>
      </w:r>
      <w:r>
        <w:rPr>
          <w:rFonts w:hint="eastAsia" w:ascii="仿宋_GB2312" w:hAnsi="仿宋_GB2312" w:eastAsia="仿宋_GB2312" w:cs="仿宋_GB2312"/>
          <w:sz w:val="32"/>
        </w:rPr>
        <w:t>其他引进的</w:t>
      </w:r>
      <w:r>
        <w:rPr>
          <w:rFonts w:hint="eastAsia" w:ascii="仿宋_GB2312" w:hAnsi="仿宋_GB2312" w:eastAsia="仿宋_GB2312" w:cs="仿宋_GB2312"/>
          <w:bCs/>
          <w:kern w:val="0"/>
          <w:sz w:val="32"/>
          <w:szCs w:val="32"/>
          <w:shd w:val="clear" w:color="auto" w:fill="FFFFFF"/>
        </w:rPr>
        <w:t>急需紧缺人才每人每月2000元。发放期限为3年。</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岗位聘用。对引进到我县工作的急需紧缺人才可特设岗位，首次聘用的，不受用人单位专业技术职务结构比例的限制，保留其原专业技术职务工资待遇，任职资格连续计算。符合条件的，不受工作时间长短的限制，可优先推荐申报杰出人才、领军人才、拔尖人才、享受政府特殊津贴专家和有突出贡献的中青年专家。</w:t>
      </w:r>
    </w:p>
    <w:p>
      <w:pPr>
        <w:spacing w:line="560" w:lineRule="exact"/>
        <w:ind w:firstLine="640" w:firstLineChars="200"/>
        <w:rPr>
          <w:rFonts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sz w:val="32"/>
        </w:rPr>
        <w:t>4.</w:t>
      </w:r>
      <w:r>
        <w:rPr>
          <w:rFonts w:hint="eastAsia" w:ascii="仿宋_GB2312" w:hAnsi="仿宋_GB2312" w:eastAsia="仿宋_GB2312" w:cs="仿宋_GB2312"/>
          <w:bCs/>
          <w:kern w:val="0"/>
          <w:sz w:val="32"/>
          <w:szCs w:val="32"/>
          <w:shd w:val="clear" w:color="auto" w:fill="FFFFFF"/>
        </w:rPr>
        <w:t>科研支持。对引进的人才带技术、带项目、带资金来祁阳创新创业发展的，经评审后由县财政给予5-20万元的科研经费支持。引进人才在申报各类科技计划项目、省、市科学技术奖和省、市重点实验室、工程技术研究中心时，同等条件下优先立项、优先推荐、优先支持。</w:t>
      </w:r>
    </w:p>
    <w:p>
      <w:pPr>
        <w:spacing w:line="560" w:lineRule="exact"/>
        <w:ind w:firstLine="640" w:firstLineChars="200"/>
        <w:rPr>
          <w:rFonts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sz w:val="32"/>
        </w:rPr>
        <w:t>5.住房保障。</w:t>
      </w:r>
      <w:r>
        <w:rPr>
          <w:rFonts w:hint="eastAsia" w:ascii="仿宋_GB2312" w:hAnsi="仿宋_GB2312" w:eastAsia="仿宋_GB2312" w:cs="仿宋_GB2312"/>
          <w:sz w:val="32"/>
          <w:szCs w:val="32"/>
        </w:rPr>
        <w:t>按照“分层</w:t>
      </w:r>
      <w:r>
        <w:rPr>
          <w:rFonts w:hint="eastAsia" w:ascii="仿宋_GB2312" w:hAnsi="仿宋_GB2312" w:eastAsia="仿宋_GB2312" w:cs="仿宋_GB2312"/>
          <w:bCs/>
          <w:kern w:val="0"/>
          <w:sz w:val="32"/>
          <w:szCs w:val="32"/>
          <w:shd w:val="clear" w:color="auto" w:fill="FFFFFF"/>
        </w:rPr>
        <w:t>次、保无房”的原则，为我县引进人才提供多渠道的住房保障。对引进人才，由用人单位提供临时性住房，待引进人才购房或者离开祁阳后由用人单位收回。对引进的急需紧缺人才，在祁阳县购买首套商品房，具有全日制博士研究生学历，或在本行</w:t>
      </w:r>
      <w:r>
        <w:rPr>
          <w:rFonts w:hint="eastAsia" w:ascii="仿宋_GB2312" w:hAnsi="仿宋_GB2312" w:eastAsia="仿宋_GB2312" w:cs="仿宋_GB2312"/>
          <w:sz w:val="32"/>
        </w:rPr>
        <w:t>业有重大贡献正高级职称的，由县财政给予10万元购房补贴。其他引进的急需紧缺人才，由县财政给予5万元的购房补贴。购房补贴分三次兑现，试用期满考核合格后第一年兑现50%，第三年兑现25%，第五年兑现25%。</w:t>
      </w:r>
    </w:p>
    <w:p>
      <w:pPr>
        <w:spacing w:line="560" w:lineRule="exact"/>
        <w:ind w:firstLine="640" w:firstLineChars="200"/>
        <w:rPr>
          <w:rFonts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sz w:val="32"/>
        </w:rPr>
        <w:t>6.个税优惠。对引进人才的生活补贴、发放的各类奖金，其个人所得税地方留成部分全额返回。</w:t>
      </w:r>
    </w:p>
    <w:p>
      <w:pPr>
        <w:pStyle w:val="6"/>
        <w:shd w:val="clear" w:color="auto" w:fill="FFFFFF"/>
        <w:spacing w:before="0" w:beforeAutospacing="0" w:after="0" w:afterAutospacing="0" w:line="504" w:lineRule="atLeas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公共保障。引进人才愿意来我县落户的，优先安排落户，其配偶和未成年子女可随调随迁，引进人才配偶原属机关事业单位在职在编人员且愿意来我县工作的，可按有关程序办理调动和聘用手续。引进人才未成年子女转入义务教育阶段学校和普通高中就读的，根据本人意愿，可就近安排就读。</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8.优化服务。对人才引进相关事项实行“一站式”服务，其人事关系转入、户口迁移、子女入学、社会保险等服务事项由用人单位在规定时间内负责办理。</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本《公告》未尽事宜，由中共永州市祁阳县委组织部、祁阳县人力资源和社会保障局负责解释。</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联系电话：中共永州市祁阳县委组织部0746-3261003</w:t>
      </w:r>
    </w:p>
    <w:p>
      <w:pPr>
        <w:pStyle w:val="6"/>
        <w:shd w:val="clear" w:color="auto" w:fill="FFFFFF"/>
        <w:spacing w:before="0" w:beforeAutospacing="0" w:after="0" w:afterAutospacing="0" w:line="504" w:lineRule="atLeast"/>
        <w:ind w:firstLine="2212" w:firstLineChars="700"/>
        <w:rPr>
          <w:rFonts w:ascii="仿宋_GB2312" w:hAnsi="微软雅黑" w:eastAsia="仿宋_GB2312"/>
          <w:sz w:val="32"/>
          <w:szCs w:val="32"/>
        </w:rPr>
      </w:pPr>
      <w:r>
        <w:rPr>
          <w:rFonts w:hint="eastAsia" w:ascii="仿宋_GB2312" w:hAnsi="微软雅黑" w:eastAsia="仿宋_GB2312"/>
          <w:spacing w:val="-2"/>
          <w:sz w:val="32"/>
          <w:szCs w:val="32"/>
        </w:rPr>
        <w:t>祁阳县人力资源和社会保障局</w:t>
      </w:r>
      <w:r>
        <w:rPr>
          <w:rFonts w:hint="eastAsia" w:ascii="仿宋_GB2312" w:hAnsi="微软雅黑" w:eastAsia="仿宋_GB2312"/>
          <w:sz w:val="32"/>
          <w:szCs w:val="32"/>
        </w:rPr>
        <w:t>0746-3216393</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附件：</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1.《祁阳县2019年急需紧缺高层次人才需求目录》</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2.《祁阳县引进高学历人才意向协议书》</w:t>
      </w:r>
    </w:p>
    <w:p>
      <w:pPr>
        <w:pStyle w:val="6"/>
        <w:shd w:val="clear" w:color="auto" w:fill="FFFFFF"/>
        <w:spacing w:before="0" w:beforeAutospacing="0" w:after="0" w:afterAutospacing="0" w:line="504"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3.《永州市祁阳县2019年引进急需紧缺高层次人才报名登记表》</w:t>
      </w:r>
    </w:p>
    <w:p>
      <w:pPr>
        <w:ind w:firstLine="640" w:firstLineChars="200"/>
        <w:rPr>
          <w:rFonts w:ascii="楷体" w:hAnsi="楷体" w:eastAsia="楷体" w:cs="Tahoma"/>
          <w:sz w:val="32"/>
          <w:szCs w:val="32"/>
        </w:rPr>
      </w:pPr>
    </w:p>
    <w:p>
      <w:pPr>
        <w:pStyle w:val="6"/>
        <w:shd w:val="clear" w:color="auto" w:fill="FFFFFF"/>
        <w:spacing w:before="0" w:beforeAutospacing="0" w:after="0" w:afterAutospacing="0" w:line="504" w:lineRule="atLeast"/>
        <w:ind w:firstLine="480"/>
        <w:jc w:val="right"/>
        <w:rPr>
          <w:rFonts w:ascii="仿宋_GB2312" w:hAnsi="微软雅黑" w:eastAsia="仿宋_GB2312"/>
          <w:sz w:val="32"/>
          <w:szCs w:val="32"/>
        </w:rPr>
      </w:pPr>
      <w:r>
        <w:rPr>
          <w:rFonts w:hint="eastAsia" w:ascii="仿宋_GB2312" w:hAnsi="微软雅黑" w:eastAsia="仿宋_GB2312"/>
          <w:sz w:val="32"/>
          <w:szCs w:val="32"/>
        </w:rPr>
        <w:t>祁阳县委人才工作领导小组办公室</w:t>
      </w:r>
    </w:p>
    <w:p>
      <w:pPr>
        <w:pStyle w:val="16"/>
        <w:shd w:val="clear" w:color="auto" w:fill="FFFFFF"/>
        <w:wordWrap w:val="0"/>
        <w:spacing w:before="0" w:beforeAutospacing="0" w:after="0" w:afterAutospacing="0" w:line="504" w:lineRule="atLeast"/>
        <w:ind w:right="560" w:firstLine="480"/>
        <w:jc w:val="center"/>
        <w:rPr>
          <w:rFonts w:hint="eastAsia" w:ascii="仿宋_GB2312" w:hAnsi="微软雅黑" w:eastAsia="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微软雅黑" w:eastAsia="仿宋_GB2312"/>
          <w:sz w:val="32"/>
          <w:szCs w:val="32"/>
        </w:rPr>
        <w:t xml:space="preserve">                         2018年11月1</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日</w:t>
      </w:r>
    </w:p>
    <w:tbl>
      <w:tblPr>
        <w:tblStyle w:val="11"/>
        <w:tblW w:w="14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7"/>
        <w:gridCol w:w="983"/>
        <w:gridCol w:w="1417"/>
        <w:gridCol w:w="1594"/>
        <w:gridCol w:w="607"/>
        <w:gridCol w:w="2939"/>
        <w:gridCol w:w="3058"/>
        <w:gridCol w:w="2937"/>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14715" w:type="dxa"/>
            <w:gridSpan w:val="9"/>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2019年祁阳县人才引进需求目录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招聘单位</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招聘职位</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招聘名额</w:t>
            </w:r>
          </w:p>
        </w:tc>
        <w:tc>
          <w:tcPr>
            <w:tcW w:w="8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sz w:val="24"/>
                <w:szCs w:val="24"/>
                <w:u w:val="none"/>
              </w:rPr>
            </w:pPr>
            <w:r>
              <w:rPr>
                <w:rFonts w:hint="eastAsia" w:ascii="方正小标宋简体" w:hAnsi="方正小标宋简体" w:eastAsia="方正小标宋简体" w:cs="方正小标宋简体"/>
                <w:b/>
                <w:i w:val="0"/>
                <w:color w:val="000000"/>
                <w:kern w:val="0"/>
                <w:sz w:val="24"/>
                <w:szCs w:val="24"/>
                <w:u w:val="none"/>
                <w:lang w:val="en-US" w:eastAsia="zh-CN" w:bidi="ar"/>
              </w:rPr>
              <w:t>招聘条件</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i w:val="0"/>
                <w:color w:val="000000"/>
                <w:sz w:val="24"/>
                <w:szCs w:val="24"/>
                <w:u w:val="none"/>
              </w:rPr>
            </w:pPr>
            <w:r>
              <w:rPr>
                <w:rFonts w:hint="eastAsia" w:ascii="方正小标宋简体" w:hAnsi="方正小标宋简体" w:eastAsia="方正小标宋简体" w:cs="方正小标宋简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i w:val="0"/>
                <w:color w:val="000000"/>
                <w:sz w:val="24"/>
                <w:szCs w:val="24"/>
                <w:u w:val="none"/>
              </w:rPr>
            </w:pP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专业条件</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学历及其他</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年龄</w:t>
            </w: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小标宋简体" w:hAnsi="方正小标宋简体" w:eastAsia="方正小标宋简体" w:cs="方正小标宋简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祁阳经开区下属企业服务中心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金融学、经济统计学</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对口专业原“985”、“211”大学全日制本科及以上学历或全日制硕士研究生及以上学历或副高及以上职称人员。</w:t>
            </w:r>
          </w:p>
        </w:tc>
        <w:tc>
          <w:tcPr>
            <w:tcW w:w="2937" w:type="dxa"/>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30岁以下（即1989年1月1日以后出生）</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县城镇建设投资发展集团有限责任公司</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金融学、经济学、投资学、经济与金融</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房地产开发与管理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企业管理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县政府办行政效能投诉中心</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法律工作人员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县发改委下属价格认证中心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金融学、经济学、投资学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县财政局下属县域经济与产业发展融资中心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金融学、经济学、投资学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住建局下属规划管理办公室</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土建类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环保局下属环境监测站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环境与安全类、环境科学与工程类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县水利局下属水利工程管理站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给排水科学与工程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水质科学与技术</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县经信委</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中小企业服务中心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财务管理、市场营销、人力资源管理、企业管理</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电子信息产业办</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网络工程、信息安全、通信工程、电子信息工程、计算机科学与技术、通信与信息系统</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县交通运输局下属交通建设质量安全监督管理所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公路桥梁技术人员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道路桥梁与渡河工程、桥梁与隧道工程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县商粮局下属投资促进事务局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法学类、工商管理类、经济学类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县食品药品工商质量监督管理局</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食品安全检验检测中心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检验员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食品与生物类、生物科学类、化学工程与技术类、化工与制药类、医学技术类、力学类、机械类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对口专业原“985”、“211”大学全日制本科及以上学历或全日制硕士研究生及以上学历或副高及以上职称人员。</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电子、通信、计算机类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县委宣传部网络舆情研究中心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通信、计算机类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县统计局下属电子计算站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统计专业人员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经济学、经济统计学、统计学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县农业委员会</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植物保护工作站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植物病理学、农业昆虫与害虫防治、农药学、农林经济管理、植物科学与技术、设施农业科学与工程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经济作物工作站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果树学、农学、茶学、植物科学与技术、农林经济管理或作物学类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耕地质量建设管理局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农业水土工程、农业水利工程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农产品质量综合检验检测站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农产品加工及储藏工程、食品质量与安全</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粮油作物站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农学、作物栽培学与耕作学、农林经济管理、农业昆虫与害虫防治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种子管理站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专业技术人员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作物遗传育种、农学、种子科学与工程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绿色食品办公室</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县安监局下属安全生产应急救援指挥中心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采矿工程技术员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采矿工程、安全技术及工程、国土资源调查与管理、环境与地质工程</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网络信息工程</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网络工程、信息安全、电子信息工程、计算机科学与技术、通信与信息系统</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法律顾问</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法学类、法律实物类</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对口专业原“985”、“211”大学全日制本科及以上学历或全日制硕士研究生及以上学历或副高及以上职称且取得律师资格证人员。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县林业局下属林业调查规划设计队</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林业调查技术人员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林业、林学</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对口专业原“985”、“211”大学全日制本科及以上学历或全日制硕士研究生及以上学历或副高及以上职称人员。</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县国土资源局</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土地整理中心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测绘类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土地储备中心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工作人员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测绘类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24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县广播电视台</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采编人员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新闻传播学类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活动策划组织员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新闻编导或广告策划类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4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播音主持人员</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播音主持</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对口专业原“985”、“211”大学全日制本科及以上学历或全日制硕士研究生及以上学历且普通话水平达到一级甲等人员。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县卫计委系统</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人民医院</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呼吸内科医生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对口专业全日制硕士研究生及以上学历或副高及以上职称人员。</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急诊科医生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临床医学、急诊医学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妇产科学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妇产科学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手外科医生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肾病及呼吸免疫内科医生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临床医学、内科学、中西医结合临床</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外科学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中医内科医生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中医医院</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中西医结合医学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内科学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中医骨伤科学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临床医生</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妇产科学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县教育系统</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祁阳一中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物理教师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物理学类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副高及以上职称人员且取得相应学段教师资格证。</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化学教师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化学类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取得专业英语8级硕士研究生及以上学历或副高及以上职称人员且取得相应学段教师资格证。</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祁阳二中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政治教师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政治学类、哲学类</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副高及以上职称人员且取得相应学段教师资格证。</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语文教师 </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中国语言文学类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生物学类、生物科学类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地理学类、地理科学类、人文教育</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历史学类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祁阳四中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语文教师 </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中国语言文学类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地理学类、地理科学类、人文教育</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心理学教师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心理学类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职业中专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语文教师 </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中国语言文学类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数学类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1"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英语类</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对口专业原“985”“211”普高全日制师范教育类本科及以上毕业生或师范教育类硕士研究生及以上学历（非师范教育类专业，第一学历必须为普高全日制师范教育类二批本科以上）或取得专业英语8级硕士研究生及以上学历或副高及以上职称人员且取得相应学段教师资格证。</w:t>
            </w: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县教育系统</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职业中专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电子商务、视觉传达设计</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原“985”“211”普高全日制本科及以上学历毕业生或全日制硕士研究生及以上学历或副高及以上职称人员且取得相应资格证。</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30岁以下</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机电教师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机械工程、机械设计制造及其自动化、机械电子工程、机电技术教育专业</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电子信息工程、电子科学与技术、电子信息科学与技术、应用电子技术教育、集成电路设计与集成系统</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工业机器人专业教师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电气工程及其自动化、电气工程与智能控制、电力电子与电力传动专业、控制科学与工程类、自动化类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平面设计专业教师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视觉传达设计专业、产品设计专业、工艺美术专业、美术学专业</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计算机网络教师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网络工程、电子信息工程、计算机科学与技术、通信与信息系统专业、信息安全专业</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计算机应用教师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网络工程、信息安全、通信工程、计算机科学与技术、通信与信息系统、计算机应用技术、计算机软件与理论</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学前教育专业教师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学前教育、学前教育学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普通话教师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播音与主持艺术</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教育学教师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教育学类</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美术设计专业教师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工艺美术、美术学</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种植专业教师</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园艺专业、农学专业、园艺教育、农艺教育</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合计</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128</w:t>
            </w:r>
          </w:p>
        </w:tc>
        <w:tc>
          <w:tcPr>
            <w:tcW w:w="29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4715" w:type="dxa"/>
            <w:gridSpan w:val="9"/>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注：1.各职位应聘人员为硕士研究生的年龄放宽到35岁；副高职称的年龄放宽到40岁；正高职称及博士研究生的年龄放宽到45岁。</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2.市级及以上学科带头人、骨干教师、名师、优秀班主任，省、市优质课竞赛一等奖获得者，职业院校专业带头人、省级技能竞赛一等奖指导老师或参赛获奖者年龄放宽到40岁。</w:t>
            </w:r>
          </w:p>
        </w:tc>
      </w:tr>
    </w:tbl>
    <w:p>
      <w:pPr>
        <w:pStyle w:val="16"/>
        <w:shd w:val="clear" w:color="auto" w:fill="FFFFFF"/>
        <w:wordWrap w:val="0"/>
        <w:spacing w:before="0" w:beforeAutospacing="0" w:after="0" w:afterAutospacing="0" w:line="504" w:lineRule="atLeast"/>
        <w:ind w:right="560" w:firstLine="480"/>
        <w:jc w:val="center"/>
        <w:rPr>
          <w:rFonts w:hint="eastAsia" w:ascii="仿宋_GB2312" w:hAnsi="微软雅黑"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pPr>
        <w:rPr>
          <w:rFonts w:ascii="宋体"/>
          <w:b/>
          <w:sz w:val="24"/>
        </w:rPr>
      </w:pPr>
      <w:r>
        <w:rPr>
          <w:rFonts w:hint="eastAsia" w:ascii="宋体"/>
          <w:b/>
          <w:sz w:val="24"/>
        </w:rPr>
        <w:t>附件2</w:t>
      </w:r>
    </w:p>
    <w:p>
      <w:pPr>
        <w:jc w:val="center"/>
        <w:rPr>
          <w:rFonts w:ascii="宋体"/>
          <w:b/>
          <w:sz w:val="48"/>
          <w:szCs w:val="48"/>
        </w:rPr>
      </w:pPr>
    </w:p>
    <w:p>
      <w:pPr>
        <w:jc w:val="center"/>
        <w:rPr>
          <w:rFonts w:ascii="宋体"/>
          <w:b/>
          <w:sz w:val="48"/>
          <w:szCs w:val="48"/>
        </w:rPr>
      </w:pPr>
    </w:p>
    <w:p>
      <w:pPr>
        <w:jc w:val="center"/>
        <w:rPr>
          <w:rFonts w:ascii="宋体" w:hAnsi="宋体"/>
          <w:b/>
          <w:spacing w:val="-20"/>
          <w:sz w:val="44"/>
          <w:szCs w:val="44"/>
        </w:rPr>
      </w:pPr>
      <w:r>
        <w:rPr>
          <w:rFonts w:hint="eastAsia" w:ascii="宋体" w:hAnsi="宋体"/>
          <w:b/>
          <w:spacing w:val="-20"/>
          <w:sz w:val="44"/>
          <w:szCs w:val="44"/>
        </w:rPr>
        <w:t>祁阳县引进急需紧缺高层次人才意向协议书</w:t>
      </w:r>
    </w:p>
    <w:p>
      <w:pPr>
        <w:jc w:val="center"/>
        <w:outlineLvl w:val="0"/>
        <w:rPr>
          <w:sz w:val="36"/>
          <w:szCs w:val="36"/>
        </w:rPr>
      </w:pPr>
    </w:p>
    <w:p/>
    <w:p/>
    <w:p/>
    <w:p>
      <w:pPr>
        <w:jc w:val="center"/>
        <w:rPr>
          <w:sz w:val="28"/>
          <w:szCs w:val="28"/>
        </w:rPr>
      </w:pPr>
    </w:p>
    <w:p>
      <w:pPr>
        <w:spacing w:line="1000" w:lineRule="exact"/>
        <w:ind w:firstLine="1440" w:firstLineChars="400"/>
        <w:rPr>
          <w:sz w:val="36"/>
          <w:szCs w:val="36"/>
          <w:u w:val="single"/>
        </w:rPr>
      </w:pPr>
      <w:r>
        <w:rPr>
          <w:rFonts w:hint="eastAsia"/>
          <w:sz w:val="36"/>
          <w:szCs w:val="36"/>
        </w:rPr>
        <w:t>姓</w:t>
      </w:r>
      <w:r>
        <w:rPr>
          <w:sz w:val="36"/>
          <w:szCs w:val="36"/>
        </w:rPr>
        <w:t xml:space="preserve">    </w:t>
      </w:r>
      <w:r>
        <w:rPr>
          <w:rFonts w:hint="eastAsia"/>
          <w:sz w:val="36"/>
          <w:szCs w:val="36"/>
        </w:rPr>
        <w:t>名</w:t>
      </w:r>
      <w:r>
        <w:rPr>
          <w:sz w:val="36"/>
          <w:szCs w:val="36"/>
        </w:rPr>
        <w:t xml:space="preserve"> </w:t>
      </w:r>
      <w:r>
        <w:rPr>
          <w:rFonts w:hint="eastAsia"/>
          <w:sz w:val="36"/>
          <w:szCs w:val="36"/>
        </w:rPr>
        <w:t>：</w:t>
      </w:r>
      <w:r>
        <w:rPr>
          <w:sz w:val="36"/>
          <w:szCs w:val="36"/>
          <w:u w:val="single"/>
        </w:rPr>
        <w:t xml:space="preserve">                    </w:t>
      </w:r>
    </w:p>
    <w:p>
      <w:pPr>
        <w:spacing w:line="1000" w:lineRule="exact"/>
        <w:ind w:firstLine="1440" w:firstLineChars="400"/>
        <w:rPr>
          <w:sz w:val="36"/>
          <w:szCs w:val="36"/>
          <w:u w:val="single"/>
        </w:rPr>
      </w:pPr>
      <w:r>
        <w:rPr>
          <w:rFonts w:hint="eastAsia"/>
          <w:sz w:val="36"/>
          <w:szCs w:val="36"/>
        </w:rPr>
        <w:t>毕业院校</w:t>
      </w:r>
      <w:r>
        <w:rPr>
          <w:sz w:val="36"/>
          <w:szCs w:val="36"/>
        </w:rPr>
        <w:t xml:space="preserve"> </w:t>
      </w:r>
      <w:r>
        <w:rPr>
          <w:rFonts w:hint="eastAsia"/>
          <w:sz w:val="36"/>
          <w:szCs w:val="36"/>
        </w:rPr>
        <w:t>：</w:t>
      </w:r>
      <w:r>
        <w:rPr>
          <w:sz w:val="36"/>
          <w:szCs w:val="36"/>
          <w:u w:val="single"/>
        </w:rPr>
        <w:t xml:space="preserve">                    </w:t>
      </w:r>
    </w:p>
    <w:p>
      <w:pPr>
        <w:spacing w:line="1000" w:lineRule="exact"/>
        <w:ind w:firstLine="1440" w:firstLineChars="400"/>
        <w:rPr>
          <w:sz w:val="28"/>
          <w:szCs w:val="28"/>
          <w:u w:val="single"/>
        </w:rPr>
      </w:pPr>
      <w:r>
        <w:rPr>
          <w:rFonts w:hint="eastAsia"/>
          <w:sz w:val="36"/>
          <w:szCs w:val="36"/>
        </w:rPr>
        <w:t>最高学历</w:t>
      </w:r>
      <w:r>
        <w:rPr>
          <w:sz w:val="36"/>
          <w:szCs w:val="36"/>
        </w:rPr>
        <w:t xml:space="preserve"> </w:t>
      </w:r>
      <w:r>
        <w:rPr>
          <w:rFonts w:hint="eastAsia"/>
          <w:sz w:val="36"/>
          <w:szCs w:val="36"/>
        </w:rPr>
        <w:t>：</w:t>
      </w:r>
      <w:r>
        <w:rPr>
          <w:sz w:val="36"/>
          <w:szCs w:val="36"/>
          <w:u w:val="single"/>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8"/>
          <w:szCs w:val="28"/>
        </w:rPr>
      </w:pPr>
      <w:r>
        <w:rPr>
          <w:rFonts w:hint="eastAsia"/>
          <w:sz w:val="28"/>
          <w:szCs w:val="28"/>
        </w:rPr>
        <w:t>湖南省祁阳县委人才工作领导小组办公室制表</w:t>
      </w:r>
    </w:p>
    <w:p>
      <w:pPr>
        <w:jc w:val="center"/>
        <w:rPr>
          <w:rFonts w:ascii="宋体"/>
          <w:b/>
          <w:sz w:val="44"/>
          <w:szCs w:val="44"/>
        </w:rPr>
      </w:pP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人</w:t>
      </w:r>
      <w:r>
        <w:rPr>
          <w:rFonts w:ascii="黑体" w:hAnsi="黑体" w:eastAsia="黑体" w:cs="黑体"/>
          <w:sz w:val="32"/>
          <w:szCs w:val="32"/>
        </w:rPr>
        <w:t xml:space="preserve"> </w:t>
      </w:r>
      <w:r>
        <w:rPr>
          <w:rFonts w:hint="eastAsia" w:ascii="黑体" w:hAnsi="黑体" w:eastAsia="黑体" w:cs="黑体"/>
          <w:sz w:val="32"/>
          <w:szCs w:val="32"/>
        </w:rPr>
        <w:t>才</w:t>
      </w:r>
      <w:r>
        <w:rPr>
          <w:rFonts w:ascii="黑体" w:hAnsi="黑体" w:eastAsia="黑体" w:cs="黑体"/>
          <w:sz w:val="32"/>
          <w:szCs w:val="32"/>
        </w:rPr>
        <w:t xml:space="preserve"> </w:t>
      </w:r>
      <w:r>
        <w:rPr>
          <w:rFonts w:hint="eastAsia" w:ascii="黑体" w:hAnsi="黑体" w:eastAsia="黑体" w:cs="黑体"/>
          <w:sz w:val="32"/>
          <w:szCs w:val="32"/>
        </w:rPr>
        <w:t>信</w:t>
      </w:r>
      <w:r>
        <w:rPr>
          <w:rFonts w:ascii="黑体" w:hAnsi="黑体" w:eastAsia="黑体" w:cs="黑体"/>
          <w:sz w:val="32"/>
          <w:szCs w:val="32"/>
        </w:rPr>
        <w:t xml:space="preserve"> </w:t>
      </w:r>
      <w:r>
        <w:rPr>
          <w:rFonts w:hint="eastAsia" w:ascii="黑体" w:hAnsi="黑体" w:eastAsia="黑体" w:cs="黑体"/>
          <w:sz w:val="32"/>
          <w:szCs w:val="32"/>
        </w:rPr>
        <w:t>息</w:t>
      </w:r>
      <w:r>
        <w:rPr>
          <w:rFonts w:ascii="黑体" w:hAnsi="黑体" w:eastAsia="黑体" w:cs="黑体"/>
          <w:sz w:val="32"/>
          <w:szCs w:val="32"/>
        </w:rPr>
        <w:t xml:space="preserve"> </w:t>
      </w:r>
      <w:r>
        <w:rPr>
          <w:rFonts w:hint="eastAsia" w:ascii="黑体" w:hAnsi="黑体" w:eastAsia="黑体" w:cs="黑体"/>
          <w:sz w:val="32"/>
          <w:szCs w:val="32"/>
        </w:rPr>
        <w:t>表</w:t>
      </w:r>
    </w:p>
    <w:tbl>
      <w:tblPr>
        <w:tblStyle w:val="11"/>
        <w:tblW w:w="9988"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48"/>
        <w:gridCol w:w="870"/>
        <w:gridCol w:w="1103"/>
        <w:gridCol w:w="1676"/>
        <w:gridCol w:w="664"/>
        <w:gridCol w:w="797"/>
        <w:gridCol w:w="43"/>
        <w:gridCol w:w="960"/>
        <w:gridCol w:w="529"/>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1" w:type="dxa"/>
            <w:vAlign w:val="center"/>
          </w:tcPr>
          <w:p>
            <w:pPr>
              <w:jc w:val="center"/>
              <w:rPr>
                <w:rFonts w:ascii="宋体"/>
                <w:bCs/>
                <w:szCs w:val="21"/>
              </w:rPr>
            </w:pPr>
            <w:r>
              <w:rPr>
                <w:rFonts w:hint="eastAsia" w:ascii="宋体" w:hAnsi="宋体"/>
                <w:bCs/>
                <w:szCs w:val="21"/>
              </w:rPr>
              <w:t>姓</w:t>
            </w:r>
            <w:r>
              <w:rPr>
                <w:rFonts w:ascii="宋体" w:hAnsi="宋体"/>
                <w:bCs/>
                <w:szCs w:val="21"/>
              </w:rPr>
              <w:t xml:space="preserve">    </w:t>
            </w:r>
            <w:r>
              <w:rPr>
                <w:rFonts w:hint="eastAsia" w:ascii="宋体" w:hAnsi="宋体"/>
                <w:bCs/>
                <w:szCs w:val="21"/>
              </w:rPr>
              <w:t>名</w:t>
            </w:r>
          </w:p>
        </w:tc>
        <w:tc>
          <w:tcPr>
            <w:tcW w:w="1218" w:type="dxa"/>
            <w:gridSpan w:val="2"/>
            <w:vAlign w:val="center"/>
          </w:tcPr>
          <w:p>
            <w:pPr>
              <w:jc w:val="center"/>
              <w:rPr>
                <w:rFonts w:ascii="宋体"/>
                <w:bCs/>
                <w:szCs w:val="21"/>
              </w:rPr>
            </w:pPr>
          </w:p>
        </w:tc>
        <w:tc>
          <w:tcPr>
            <w:tcW w:w="1103" w:type="dxa"/>
            <w:vAlign w:val="center"/>
          </w:tcPr>
          <w:p>
            <w:pPr>
              <w:jc w:val="center"/>
              <w:rPr>
                <w:rFonts w:ascii="宋体"/>
                <w:bCs/>
                <w:szCs w:val="21"/>
              </w:rPr>
            </w:pPr>
            <w:r>
              <w:rPr>
                <w:rFonts w:hint="eastAsia" w:ascii="宋体" w:hAnsi="宋体"/>
                <w:bCs/>
                <w:szCs w:val="21"/>
              </w:rPr>
              <w:t>性</w:t>
            </w:r>
            <w:r>
              <w:rPr>
                <w:rFonts w:ascii="宋体" w:hAnsi="宋体"/>
                <w:bCs/>
                <w:szCs w:val="21"/>
              </w:rPr>
              <w:t xml:space="preserve">    </w:t>
            </w:r>
            <w:r>
              <w:rPr>
                <w:rFonts w:hint="eastAsia" w:ascii="宋体" w:hAnsi="宋体"/>
                <w:bCs/>
                <w:szCs w:val="21"/>
              </w:rPr>
              <w:t>别</w:t>
            </w:r>
          </w:p>
        </w:tc>
        <w:tc>
          <w:tcPr>
            <w:tcW w:w="1676" w:type="dxa"/>
            <w:vAlign w:val="center"/>
          </w:tcPr>
          <w:p>
            <w:pPr>
              <w:jc w:val="center"/>
              <w:rPr>
                <w:rFonts w:ascii="宋体"/>
                <w:bCs/>
                <w:szCs w:val="21"/>
              </w:rPr>
            </w:pPr>
          </w:p>
        </w:tc>
        <w:tc>
          <w:tcPr>
            <w:tcW w:w="1461" w:type="dxa"/>
            <w:gridSpan w:val="2"/>
            <w:vAlign w:val="center"/>
          </w:tcPr>
          <w:p>
            <w:pPr>
              <w:jc w:val="center"/>
              <w:rPr>
                <w:rFonts w:asci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龄</w:t>
            </w:r>
          </w:p>
        </w:tc>
        <w:tc>
          <w:tcPr>
            <w:tcW w:w="1532" w:type="dxa"/>
            <w:gridSpan w:val="3"/>
            <w:vAlign w:val="center"/>
          </w:tcPr>
          <w:p>
            <w:pPr>
              <w:jc w:val="center"/>
              <w:rPr>
                <w:rFonts w:ascii="宋体"/>
                <w:bCs/>
                <w:szCs w:val="21"/>
              </w:rPr>
            </w:pPr>
          </w:p>
        </w:tc>
        <w:tc>
          <w:tcPr>
            <w:tcW w:w="1517" w:type="dxa"/>
            <w:vMerge w:val="restart"/>
            <w:vAlign w:val="center"/>
          </w:tcPr>
          <w:p>
            <w:pPr>
              <w:jc w:val="center"/>
              <w:rPr>
                <w:rFonts w:ascii="宋体"/>
                <w:bCs/>
                <w:szCs w:val="21"/>
              </w:rPr>
            </w:pPr>
            <w:r>
              <w:rPr>
                <w:rFonts w:hint="eastAsia" w:ascii="宋体" w:hAnsi="宋体"/>
                <w:bCs/>
                <w:szCs w:val="21"/>
              </w:rPr>
              <w:t>照</w:t>
            </w:r>
            <w:r>
              <w:rPr>
                <w:rFonts w:ascii="宋体" w:hAnsi="宋体"/>
                <w:bCs/>
                <w:szCs w:val="21"/>
              </w:rPr>
              <w:t xml:space="preserve">    </w:t>
            </w:r>
            <w:r>
              <w:rPr>
                <w:rFonts w:hint="eastAsia" w:ascii="宋体" w:hAnsi="宋体"/>
                <w:bCs/>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81" w:type="dxa"/>
            <w:vAlign w:val="center"/>
          </w:tcPr>
          <w:p>
            <w:pPr>
              <w:jc w:val="center"/>
              <w:rPr>
                <w:rFonts w:ascii="宋体"/>
                <w:bCs/>
                <w:szCs w:val="21"/>
              </w:rPr>
            </w:pPr>
            <w:r>
              <w:rPr>
                <w:rFonts w:hint="eastAsia" w:ascii="宋体" w:hAnsi="宋体"/>
                <w:bCs/>
                <w:szCs w:val="21"/>
              </w:rPr>
              <w:t>政治面貌</w:t>
            </w:r>
          </w:p>
        </w:tc>
        <w:tc>
          <w:tcPr>
            <w:tcW w:w="1218" w:type="dxa"/>
            <w:gridSpan w:val="2"/>
            <w:vAlign w:val="center"/>
          </w:tcPr>
          <w:p>
            <w:pPr>
              <w:jc w:val="center"/>
              <w:rPr>
                <w:rFonts w:ascii="宋体"/>
                <w:bCs/>
                <w:szCs w:val="21"/>
              </w:rPr>
            </w:pPr>
          </w:p>
        </w:tc>
        <w:tc>
          <w:tcPr>
            <w:tcW w:w="1103" w:type="dxa"/>
            <w:vAlign w:val="center"/>
          </w:tcPr>
          <w:p>
            <w:pPr>
              <w:jc w:val="center"/>
              <w:rPr>
                <w:rFonts w:ascii="宋体"/>
                <w:bCs/>
                <w:szCs w:val="21"/>
              </w:rPr>
            </w:pPr>
            <w:r>
              <w:rPr>
                <w:rFonts w:hint="eastAsia" w:ascii="宋体" w:hAnsi="宋体"/>
                <w:bCs/>
                <w:szCs w:val="21"/>
              </w:rPr>
              <w:t>婚姻状况</w:t>
            </w:r>
          </w:p>
        </w:tc>
        <w:tc>
          <w:tcPr>
            <w:tcW w:w="1676" w:type="dxa"/>
            <w:vAlign w:val="center"/>
          </w:tcPr>
          <w:p>
            <w:pPr>
              <w:jc w:val="center"/>
              <w:rPr>
                <w:rFonts w:ascii="宋体"/>
                <w:bCs/>
                <w:szCs w:val="21"/>
              </w:rPr>
            </w:pPr>
          </w:p>
        </w:tc>
        <w:tc>
          <w:tcPr>
            <w:tcW w:w="1461" w:type="dxa"/>
            <w:gridSpan w:val="2"/>
            <w:vAlign w:val="center"/>
          </w:tcPr>
          <w:p>
            <w:pPr>
              <w:jc w:val="center"/>
              <w:rPr>
                <w:rFonts w:ascii="宋体"/>
                <w:bCs/>
                <w:szCs w:val="21"/>
              </w:rPr>
            </w:pPr>
            <w:r>
              <w:rPr>
                <w:rFonts w:hint="eastAsia" w:ascii="宋体" w:hAnsi="宋体"/>
                <w:bCs/>
                <w:szCs w:val="21"/>
              </w:rPr>
              <w:t>身体状况</w:t>
            </w:r>
          </w:p>
        </w:tc>
        <w:tc>
          <w:tcPr>
            <w:tcW w:w="1532" w:type="dxa"/>
            <w:gridSpan w:val="3"/>
            <w:vAlign w:val="center"/>
          </w:tcPr>
          <w:p>
            <w:pPr>
              <w:jc w:val="center"/>
              <w:rPr>
                <w:rFonts w:ascii="宋体"/>
                <w:bCs/>
                <w:szCs w:val="21"/>
              </w:rPr>
            </w:pPr>
          </w:p>
        </w:tc>
        <w:tc>
          <w:tcPr>
            <w:tcW w:w="1517" w:type="dxa"/>
            <w:vMerge w:val="continue"/>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81" w:type="dxa"/>
            <w:vAlign w:val="center"/>
          </w:tcPr>
          <w:p>
            <w:pPr>
              <w:jc w:val="center"/>
              <w:rPr>
                <w:rFonts w:ascii="宋体"/>
                <w:bCs/>
                <w:szCs w:val="21"/>
              </w:rPr>
            </w:pPr>
            <w:r>
              <w:rPr>
                <w:rFonts w:hint="eastAsia" w:ascii="宋体" w:hAnsi="宋体"/>
                <w:bCs/>
                <w:szCs w:val="21"/>
              </w:rPr>
              <w:t>民</w:t>
            </w:r>
            <w:r>
              <w:rPr>
                <w:rFonts w:ascii="宋体" w:hAnsi="宋体"/>
                <w:bCs/>
                <w:szCs w:val="21"/>
              </w:rPr>
              <w:t xml:space="preserve">    </w:t>
            </w:r>
            <w:r>
              <w:rPr>
                <w:rFonts w:hint="eastAsia" w:ascii="宋体" w:hAnsi="宋体"/>
                <w:bCs/>
                <w:szCs w:val="21"/>
              </w:rPr>
              <w:t>族</w:t>
            </w:r>
          </w:p>
        </w:tc>
        <w:tc>
          <w:tcPr>
            <w:tcW w:w="1218" w:type="dxa"/>
            <w:gridSpan w:val="2"/>
            <w:vAlign w:val="center"/>
          </w:tcPr>
          <w:p>
            <w:pPr>
              <w:jc w:val="center"/>
              <w:rPr>
                <w:rFonts w:ascii="宋体"/>
                <w:bCs/>
                <w:szCs w:val="21"/>
              </w:rPr>
            </w:pPr>
          </w:p>
        </w:tc>
        <w:tc>
          <w:tcPr>
            <w:tcW w:w="1103" w:type="dxa"/>
            <w:vAlign w:val="center"/>
          </w:tcPr>
          <w:p>
            <w:pPr>
              <w:jc w:val="center"/>
              <w:rPr>
                <w:rFonts w:ascii="宋体"/>
                <w:bCs/>
                <w:szCs w:val="21"/>
              </w:rPr>
            </w:pPr>
            <w:r>
              <w:rPr>
                <w:rFonts w:hint="eastAsia" w:ascii="宋体" w:hAnsi="宋体"/>
                <w:bCs/>
                <w:szCs w:val="21"/>
              </w:rPr>
              <w:t>户口所在地</w:t>
            </w:r>
          </w:p>
        </w:tc>
        <w:tc>
          <w:tcPr>
            <w:tcW w:w="1676" w:type="dxa"/>
            <w:vAlign w:val="center"/>
          </w:tcPr>
          <w:p>
            <w:pPr>
              <w:jc w:val="center"/>
              <w:rPr>
                <w:rFonts w:ascii="宋体"/>
                <w:bCs/>
                <w:szCs w:val="21"/>
              </w:rPr>
            </w:pPr>
          </w:p>
        </w:tc>
        <w:tc>
          <w:tcPr>
            <w:tcW w:w="1461" w:type="dxa"/>
            <w:gridSpan w:val="2"/>
            <w:vAlign w:val="center"/>
          </w:tcPr>
          <w:p>
            <w:pPr>
              <w:jc w:val="center"/>
              <w:rPr>
                <w:rFonts w:ascii="宋体"/>
                <w:bCs/>
                <w:szCs w:val="21"/>
              </w:rPr>
            </w:pPr>
            <w:r>
              <w:rPr>
                <w:rFonts w:hint="eastAsia" w:ascii="宋体" w:hAnsi="宋体"/>
                <w:bCs/>
                <w:szCs w:val="21"/>
              </w:rPr>
              <w:t>最高学历</w:t>
            </w:r>
          </w:p>
        </w:tc>
        <w:tc>
          <w:tcPr>
            <w:tcW w:w="1532" w:type="dxa"/>
            <w:gridSpan w:val="3"/>
            <w:vAlign w:val="center"/>
          </w:tcPr>
          <w:p>
            <w:pPr>
              <w:jc w:val="center"/>
              <w:rPr>
                <w:rFonts w:ascii="宋体"/>
                <w:bCs/>
                <w:szCs w:val="21"/>
              </w:rPr>
            </w:pPr>
          </w:p>
        </w:tc>
        <w:tc>
          <w:tcPr>
            <w:tcW w:w="1517" w:type="dxa"/>
            <w:vMerge w:val="continue"/>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81" w:type="dxa"/>
            <w:vAlign w:val="center"/>
          </w:tcPr>
          <w:p>
            <w:pPr>
              <w:jc w:val="center"/>
              <w:rPr>
                <w:rFonts w:ascii="宋体"/>
                <w:bCs/>
                <w:szCs w:val="21"/>
              </w:rPr>
            </w:pPr>
            <w:r>
              <w:rPr>
                <w:rFonts w:hint="eastAsia" w:ascii="宋体" w:hAnsi="宋体"/>
                <w:bCs/>
                <w:szCs w:val="21"/>
              </w:rPr>
              <w:t>所学专业</w:t>
            </w:r>
          </w:p>
        </w:tc>
        <w:tc>
          <w:tcPr>
            <w:tcW w:w="1218" w:type="dxa"/>
            <w:gridSpan w:val="2"/>
            <w:vAlign w:val="center"/>
          </w:tcPr>
          <w:p>
            <w:pPr>
              <w:jc w:val="center"/>
              <w:rPr>
                <w:rFonts w:ascii="宋体"/>
                <w:bCs/>
                <w:szCs w:val="21"/>
              </w:rPr>
            </w:pPr>
          </w:p>
        </w:tc>
        <w:tc>
          <w:tcPr>
            <w:tcW w:w="1103" w:type="dxa"/>
            <w:vAlign w:val="center"/>
          </w:tcPr>
          <w:p>
            <w:pPr>
              <w:jc w:val="center"/>
              <w:rPr>
                <w:rFonts w:ascii="宋体"/>
                <w:bCs/>
                <w:szCs w:val="21"/>
              </w:rPr>
            </w:pPr>
            <w:r>
              <w:rPr>
                <w:rFonts w:hint="eastAsia" w:ascii="宋体" w:hAnsi="宋体"/>
                <w:bCs/>
                <w:szCs w:val="21"/>
              </w:rPr>
              <w:t>毕业时间</w:t>
            </w:r>
          </w:p>
        </w:tc>
        <w:tc>
          <w:tcPr>
            <w:tcW w:w="1676" w:type="dxa"/>
            <w:vAlign w:val="center"/>
          </w:tcPr>
          <w:p>
            <w:pPr>
              <w:jc w:val="center"/>
              <w:rPr>
                <w:rFonts w:ascii="宋体"/>
                <w:bCs/>
                <w:szCs w:val="21"/>
              </w:rPr>
            </w:pPr>
          </w:p>
        </w:tc>
        <w:tc>
          <w:tcPr>
            <w:tcW w:w="1461" w:type="dxa"/>
            <w:gridSpan w:val="2"/>
            <w:vAlign w:val="center"/>
          </w:tcPr>
          <w:p>
            <w:pPr>
              <w:jc w:val="center"/>
              <w:rPr>
                <w:rFonts w:ascii="宋体"/>
                <w:bCs/>
                <w:szCs w:val="21"/>
              </w:rPr>
            </w:pPr>
            <w:r>
              <w:rPr>
                <w:rFonts w:hint="eastAsia" w:ascii="宋体" w:hAnsi="宋体"/>
                <w:bCs/>
                <w:szCs w:val="21"/>
              </w:rPr>
              <w:t>工作年限</w:t>
            </w:r>
          </w:p>
        </w:tc>
        <w:tc>
          <w:tcPr>
            <w:tcW w:w="1532" w:type="dxa"/>
            <w:gridSpan w:val="3"/>
            <w:vAlign w:val="center"/>
          </w:tcPr>
          <w:p>
            <w:pPr>
              <w:jc w:val="center"/>
              <w:rPr>
                <w:rFonts w:ascii="宋体"/>
                <w:bCs/>
                <w:szCs w:val="21"/>
              </w:rPr>
            </w:pPr>
          </w:p>
        </w:tc>
        <w:tc>
          <w:tcPr>
            <w:tcW w:w="1517" w:type="dxa"/>
            <w:vMerge w:val="continue"/>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481" w:type="dxa"/>
            <w:vAlign w:val="center"/>
          </w:tcPr>
          <w:p>
            <w:pPr>
              <w:jc w:val="center"/>
              <w:rPr>
                <w:rFonts w:ascii="宋体"/>
                <w:bCs/>
                <w:szCs w:val="21"/>
              </w:rPr>
            </w:pPr>
            <w:r>
              <w:rPr>
                <w:rFonts w:hint="eastAsia" w:ascii="宋体" w:hAnsi="宋体"/>
                <w:bCs/>
                <w:szCs w:val="21"/>
              </w:rPr>
              <w:t>视</w:t>
            </w:r>
            <w:r>
              <w:rPr>
                <w:rFonts w:ascii="宋体" w:hAnsi="宋体"/>
                <w:bCs/>
                <w:szCs w:val="21"/>
              </w:rPr>
              <w:t xml:space="preserve">    </w:t>
            </w:r>
            <w:r>
              <w:rPr>
                <w:rFonts w:hint="eastAsia" w:ascii="宋体" w:hAnsi="宋体"/>
                <w:bCs/>
                <w:szCs w:val="21"/>
              </w:rPr>
              <w:t>力</w:t>
            </w:r>
          </w:p>
        </w:tc>
        <w:tc>
          <w:tcPr>
            <w:tcW w:w="1218" w:type="dxa"/>
            <w:gridSpan w:val="2"/>
            <w:vAlign w:val="center"/>
          </w:tcPr>
          <w:p>
            <w:pPr>
              <w:jc w:val="center"/>
              <w:rPr>
                <w:rFonts w:ascii="宋体"/>
                <w:bCs/>
                <w:szCs w:val="21"/>
              </w:rPr>
            </w:pPr>
          </w:p>
        </w:tc>
        <w:tc>
          <w:tcPr>
            <w:tcW w:w="1103" w:type="dxa"/>
            <w:vAlign w:val="center"/>
          </w:tcPr>
          <w:p>
            <w:pPr>
              <w:rPr>
                <w:rFonts w:ascii="宋体" w:hAnsi="宋体"/>
                <w:bCs/>
                <w:szCs w:val="21"/>
              </w:rPr>
            </w:pPr>
            <w:r>
              <w:rPr>
                <w:rFonts w:hint="eastAsia" w:ascii="宋体" w:hAnsi="宋体"/>
                <w:bCs/>
                <w:szCs w:val="21"/>
              </w:rPr>
              <w:t>身高</w:t>
            </w:r>
            <w:r>
              <w:rPr>
                <w:rFonts w:ascii="宋体" w:hAnsi="宋体"/>
                <w:bCs/>
                <w:szCs w:val="21"/>
              </w:rPr>
              <w:t>(</w:t>
            </w:r>
            <w:r>
              <w:rPr>
                <w:rFonts w:hint="eastAsia" w:ascii="宋体" w:hAnsi="宋体"/>
                <w:bCs/>
                <w:szCs w:val="21"/>
              </w:rPr>
              <w:t>厘米</w:t>
            </w:r>
            <w:r>
              <w:rPr>
                <w:rFonts w:ascii="宋体" w:hAnsi="宋体"/>
                <w:bCs/>
                <w:szCs w:val="21"/>
              </w:rPr>
              <w:t>)</w:t>
            </w:r>
          </w:p>
        </w:tc>
        <w:tc>
          <w:tcPr>
            <w:tcW w:w="1676" w:type="dxa"/>
            <w:vAlign w:val="center"/>
          </w:tcPr>
          <w:p>
            <w:pPr>
              <w:jc w:val="center"/>
              <w:rPr>
                <w:rFonts w:ascii="宋体"/>
                <w:bCs/>
                <w:szCs w:val="21"/>
              </w:rPr>
            </w:pPr>
          </w:p>
        </w:tc>
        <w:tc>
          <w:tcPr>
            <w:tcW w:w="1461" w:type="dxa"/>
            <w:gridSpan w:val="2"/>
            <w:vAlign w:val="center"/>
          </w:tcPr>
          <w:p>
            <w:pPr>
              <w:jc w:val="center"/>
              <w:rPr>
                <w:rFonts w:ascii="宋体" w:hAnsi="宋体"/>
                <w:bCs/>
                <w:szCs w:val="21"/>
              </w:rPr>
            </w:pPr>
            <w:r>
              <w:rPr>
                <w:rFonts w:hint="eastAsia" w:ascii="宋体" w:hAnsi="宋体"/>
                <w:bCs/>
                <w:szCs w:val="21"/>
              </w:rPr>
              <w:t>体重</w:t>
            </w:r>
            <w:r>
              <w:rPr>
                <w:rFonts w:ascii="宋体" w:hAnsi="宋体"/>
                <w:bCs/>
                <w:szCs w:val="21"/>
              </w:rPr>
              <w:t>(</w:t>
            </w:r>
            <w:r>
              <w:rPr>
                <w:rFonts w:hint="eastAsia" w:ascii="宋体" w:hAnsi="宋体"/>
                <w:bCs/>
                <w:szCs w:val="21"/>
              </w:rPr>
              <w:t>公斤</w:t>
            </w:r>
            <w:r>
              <w:rPr>
                <w:rFonts w:ascii="宋体" w:hAnsi="宋体"/>
                <w:bCs/>
                <w:szCs w:val="21"/>
              </w:rPr>
              <w:t>)</w:t>
            </w:r>
          </w:p>
        </w:tc>
        <w:tc>
          <w:tcPr>
            <w:tcW w:w="3049" w:type="dxa"/>
            <w:gridSpan w:val="4"/>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481" w:type="dxa"/>
            <w:vAlign w:val="center"/>
          </w:tcPr>
          <w:p>
            <w:pPr>
              <w:jc w:val="center"/>
              <w:rPr>
                <w:rFonts w:ascii="宋体"/>
                <w:bCs/>
                <w:szCs w:val="21"/>
              </w:rPr>
            </w:pPr>
            <w:r>
              <w:rPr>
                <w:rFonts w:hint="eastAsia" w:ascii="宋体" w:hAnsi="宋体"/>
                <w:bCs/>
                <w:szCs w:val="21"/>
              </w:rPr>
              <w:t>联系电话</w:t>
            </w:r>
          </w:p>
        </w:tc>
        <w:tc>
          <w:tcPr>
            <w:tcW w:w="2321" w:type="dxa"/>
            <w:gridSpan w:val="3"/>
            <w:vAlign w:val="center"/>
          </w:tcPr>
          <w:p>
            <w:pPr>
              <w:jc w:val="center"/>
              <w:rPr>
                <w:rFonts w:ascii="宋体"/>
                <w:bCs/>
                <w:szCs w:val="21"/>
              </w:rPr>
            </w:pPr>
          </w:p>
        </w:tc>
        <w:tc>
          <w:tcPr>
            <w:tcW w:w="1676" w:type="dxa"/>
            <w:vAlign w:val="center"/>
          </w:tcPr>
          <w:p>
            <w:pPr>
              <w:jc w:val="center"/>
              <w:rPr>
                <w:rFonts w:ascii="宋体"/>
                <w:bCs/>
                <w:szCs w:val="21"/>
              </w:rPr>
            </w:pPr>
            <w:r>
              <w:rPr>
                <w:rFonts w:hint="eastAsia" w:ascii="宋体" w:hAnsi="宋体"/>
                <w:bCs/>
                <w:szCs w:val="21"/>
              </w:rPr>
              <w:t>联系地址</w:t>
            </w:r>
          </w:p>
        </w:tc>
        <w:tc>
          <w:tcPr>
            <w:tcW w:w="4510" w:type="dxa"/>
            <w:gridSpan w:val="6"/>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81" w:type="dxa"/>
            <w:vAlign w:val="center"/>
          </w:tcPr>
          <w:p>
            <w:pPr>
              <w:jc w:val="center"/>
              <w:rPr>
                <w:rFonts w:ascii="宋体"/>
                <w:bCs/>
                <w:szCs w:val="21"/>
              </w:rPr>
            </w:pPr>
            <w:r>
              <w:rPr>
                <w:rFonts w:hint="eastAsia" w:ascii="宋体" w:hAnsi="宋体"/>
                <w:bCs/>
                <w:szCs w:val="21"/>
              </w:rPr>
              <w:t>意向岗位</w:t>
            </w:r>
          </w:p>
        </w:tc>
        <w:tc>
          <w:tcPr>
            <w:tcW w:w="8507" w:type="dxa"/>
            <w:gridSpan w:val="10"/>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1" w:type="dxa"/>
            <w:vMerge w:val="restart"/>
            <w:vAlign w:val="center"/>
          </w:tcPr>
          <w:p>
            <w:pPr>
              <w:jc w:val="center"/>
              <w:rPr>
                <w:rFonts w:ascii="宋体"/>
                <w:bCs/>
                <w:szCs w:val="21"/>
              </w:rPr>
            </w:pPr>
            <w:r>
              <w:rPr>
                <w:rFonts w:hint="eastAsia" w:ascii="宋体" w:hAnsi="宋体"/>
                <w:bCs/>
                <w:szCs w:val="21"/>
              </w:rPr>
              <w:t>受教育及培训情况</w:t>
            </w:r>
          </w:p>
        </w:tc>
        <w:tc>
          <w:tcPr>
            <w:tcW w:w="2321" w:type="dxa"/>
            <w:gridSpan w:val="3"/>
            <w:vAlign w:val="center"/>
          </w:tcPr>
          <w:p>
            <w:pPr>
              <w:jc w:val="center"/>
              <w:rPr>
                <w:rFonts w:ascii="宋体"/>
                <w:bCs/>
                <w:szCs w:val="21"/>
              </w:rPr>
            </w:pPr>
            <w:r>
              <w:rPr>
                <w:rFonts w:hint="eastAsia" w:ascii="宋体" w:hAnsi="宋体"/>
                <w:bCs/>
                <w:szCs w:val="21"/>
              </w:rPr>
              <w:t>学校及培训机构名称</w:t>
            </w:r>
          </w:p>
        </w:tc>
        <w:tc>
          <w:tcPr>
            <w:tcW w:w="2340" w:type="dxa"/>
            <w:gridSpan w:val="2"/>
            <w:vAlign w:val="center"/>
          </w:tcPr>
          <w:p>
            <w:pPr>
              <w:jc w:val="center"/>
              <w:rPr>
                <w:rFonts w:ascii="宋体"/>
                <w:bCs/>
                <w:szCs w:val="21"/>
              </w:rPr>
            </w:pPr>
            <w:r>
              <w:rPr>
                <w:rFonts w:hint="eastAsia" w:ascii="宋体" w:hAnsi="宋体"/>
                <w:bCs/>
                <w:szCs w:val="21"/>
              </w:rPr>
              <w:t>专业及培训内容</w:t>
            </w:r>
          </w:p>
        </w:tc>
        <w:tc>
          <w:tcPr>
            <w:tcW w:w="1800" w:type="dxa"/>
            <w:gridSpan w:val="3"/>
            <w:vAlign w:val="center"/>
          </w:tcPr>
          <w:p>
            <w:pPr>
              <w:jc w:val="center"/>
              <w:rPr>
                <w:rFonts w:ascii="宋体"/>
                <w:bCs/>
                <w:szCs w:val="21"/>
              </w:rPr>
            </w:pPr>
            <w:r>
              <w:rPr>
                <w:rFonts w:hint="eastAsia" w:ascii="宋体" w:hAnsi="宋体"/>
                <w:bCs/>
                <w:szCs w:val="21"/>
              </w:rPr>
              <w:t>在校时间</w:t>
            </w:r>
          </w:p>
        </w:tc>
        <w:tc>
          <w:tcPr>
            <w:tcW w:w="2046" w:type="dxa"/>
            <w:gridSpan w:val="2"/>
            <w:vAlign w:val="center"/>
          </w:tcPr>
          <w:p>
            <w:pPr>
              <w:jc w:val="center"/>
              <w:rPr>
                <w:rFonts w:ascii="宋体"/>
                <w:bCs/>
                <w:szCs w:val="21"/>
              </w:rPr>
            </w:pPr>
            <w:r>
              <w:rPr>
                <w:rFonts w:hint="eastAsia" w:ascii="宋体" w:hAnsi="宋体"/>
                <w:bCs/>
                <w:szCs w:val="21"/>
              </w:rPr>
              <w:t>文凭类型</w:t>
            </w:r>
            <w:r>
              <w:rPr>
                <w:rFonts w:ascii="宋体" w:hAnsi="宋体"/>
                <w:bCs/>
                <w:szCs w:val="21"/>
              </w:rPr>
              <w:t>/</w:t>
            </w:r>
            <w:r>
              <w:rPr>
                <w:rFonts w:hint="eastAsia" w:ascii="宋体" w:hAnsi="宋体"/>
                <w:bCs/>
                <w:szCs w:val="21"/>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81" w:type="dxa"/>
            <w:vMerge w:val="continue"/>
            <w:vAlign w:val="center"/>
          </w:tcPr>
          <w:p>
            <w:pPr>
              <w:jc w:val="center"/>
              <w:rPr>
                <w:rFonts w:ascii="宋体"/>
                <w:bCs/>
                <w:szCs w:val="21"/>
              </w:rPr>
            </w:pPr>
          </w:p>
        </w:tc>
        <w:tc>
          <w:tcPr>
            <w:tcW w:w="2321" w:type="dxa"/>
            <w:gridSpan w:val="3"/>
            <w:vAlign w:val="center"/>
          </w:tcPr>
          <w:p>
            <w:pPr>
              <w:jc w:val="center"/>
              <w:rPr>
                <w:rFonts w:ascii="宋体"/>
                <w:bCs/>
                <w:szCs w:val="21"/>
              </w:rPr>
            </w:pPr>
          </w:p>
        </w:tc>
        <w:tc>
          <w:tcPr>
            <w:tcW w:w="2340" w:type="dxa"/>
            <w:gridSpan w:val="2"/>
            <w:vAlign w:val="center"/>
          </w:tcPr>
          <w:p>
            <w:pPr>
              <w:jc w:val="center"/>
              <w:rPr>
                <w:rFonts w:ascii="宋体"/>
                <w:bCs/>
                <w:szCs w:val="21"/>
              </w:rPr>
            </w:pPr>
          </w:p>
        </w:tc>
        <w:tc>
          <w:tcPr>
            <w:tcW w:w="1800" w:type="dxa"/>
            <w:gridSpan w:val="3"/>
            <w:vAlign w:val="center"/>
          </w:tcPr>
          <w:p>
            <w:pPr>
              <w:jc w:val="center"/>
              <w:rPr>
                <w:rFonts w:ascii="宋体"/>
                <w:bCs/>
                <w:szCs w:val="21"/>
              </w:rPr>
            </w:pPr>
          </w:p>
        </w:tc>
        <w:tc>
          <w:tcPr>
            <w:tcW w:w="2046" w:type="dxa"/>
            <w:gridSpan w:val="2"/>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81" w:type="dxa"/>
            <w:vMerge w:val="continue"/>
            <w:vAlign w:val="center"/>
          </w:tcPr>
          <w:p>
            <w:pPr>
              <w:jc w:val="center"/>
              <w:rPr>
                <w:rFonts w:ascii="宋体"/>
                <w:bCs/>
                <w:szCs w:val="21"/>
              </w:rPr>
            </w:pPr>
          </w:p>
        </w:tc>
        <w:tc>
          <w:tcPr>
            <w:tcW w:w="2321" w:type="dxa"/>
            <w:gridSpan w:val="3"/>
            <w:vAlign w:val="center"/>
          </w:tcPr>
          <w:p>
            <w:pPr>
              <w:jc w:val="center"/>
              <w:rPr>
                <w:rFonts w:ascii="宋体"/>
                <w:bCs/>
                <w:szCs w:val="21"/>
              </w:rPr>
            </w:pPr>
          </w:p>
        </w:tc>
        <w:tc>
          <w:tcPr>
            <w:tcW w:w="2340" w:type="dxa"/>
            <w:gridSpan w:val="2"/>
            <w:vAlign w:val="center"/>
          </w:tcPr>
          <w:p>
            <w:pPr>
              <w:jc w:val="center"/>
              <w:rPr>
                <w:rFonts w:ascii="宋体"/>
                <w:bCs/>
                <w:szCs w:val="21"/>
              </w:rPr>
            </w:pPr>
          </w:p>
        </w:tc>
        <w:tc>
          <w:tcPr>
            <w:tcW w:w="1800" w:type="dxa"/>
            <w:gridSpan w:val="3"/>
            <w:vAlign w:val="center"/>
          </w:tcPr>
          <w:p>
            <w:pPr>
              <w:jc w:val="center"/>
              <w:rPr>
                <w:rFonts w:ascii="宋体"/>
                <w:bCs/>
                <w:szCs w:val="21"/>
              </w:rPr>
            </w:pPr>
          </w:p>
        </w:tc>
        <w:tc>
          <w:tcPr>
            <w:tcW w:w="2046" w:type="dxa"/>
            <w:gridSpan w:val="2"/>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481" w:type="dxa"/>
            <w:vMerge w:val="continue"/>
            <w:vAlign w:val="center"/>
          </w:tcPr>
          <w:p>
            <w:pPr>
              <w:jc w:val="center"/>
              <w:rPr>
                <w:rFonts w:ascii="宋体"/>
                <w:bCs/>
                <w:szCs w:val="21"/>
              </w:rPr>
            </w:pPr>
          </w:p>
        </w:tc>
        <w:tc>
          <w:tcPr>
            <w:tcW w:w="2321" w:type="dxa"/>
            <w:gridSpan w:val="3"/>
            <w:vAlign w:val="center"/>
          </w:tcPr>
          <w:p>
            <w:pPr>
              <w:jc w:val="center"/>
              <w:rPr>
                <w:rFonts w:ascii="宋体"/>
                <w:bCs/>
                <w:szCs w:val="21"/>
              </w:rPr>
            </w:pPr>
          </w:p>
        </w:tc>
        <w:tc>
          <w:tcPr>
            <w:tcW w:w="2340" w:type="dxa"/>
            <w:gridSpan w:val="2"/>
            <w:vAlign w:val="center"/>
          </w:tcPr>
          <w:p>
            <w:pPr>
              <w:jc w:val="center"/>
              <w:rPr>
                <w:rFonts w:ascii="宋体"/>
                <w:bCs/>
                <w:szCs w:val="21"/>
              </w:rPr>
            </w:pPr>
          </w:p>
        </w:tc>
        <w:tc>
          <w:tcPr>
            <w:tcW w:w="1800" w:type="dxa"/>
            <w:gridSpan w:val="3"/>
            <w:vAlign w:val="center"/>
          </w:tcPr>
          <w:p>
            <w:pPr>
              <w:jc w:val="center"/>
              <w:rPr>
                <w:rFonts w:ascii="宋体"/>
                <w:bCs/>
                <w:szCs w:val="21"/>
              </w:rPr>
            </w:pPr>
          </w:p>
        </w:tc>
        <w:tc>
          <w:tcPr>
            <w:tcW w:w="2046" w:type="dxa"/>
            <w:gridSpan w:val="2"/>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81" w:type="dxa"/>
            <w:vMerge w:val="continue"/>
            <w:vAlign w:val="center"/>
          </w:tcPr>
          <w:p>
            <w:pPr>
              <w:jc w:val="center"/>
              <w:rPr>
                <w:rFonts w:ascii="宋体"/>
                <w:bCs/>
                <w:szCs w:val="21"/>
              </w:rPr>
            </w:pPr>
          </w:p>
        </w:tc>
        <w:tc>
          <w:tcPr>
            <w:tcW w:w="2321" w:type="dxa"/>
            <w:gridSpan w:val="3"/>
            <w:vAlign w:val="center"/>
          </w:tcPr>
          <w:p>
            <w:pPr>
              <w:jc w:val="center"/>
              <w:rPr>
                <w:rFonts w:ascii="宋体"/>
                <w:bCs/>
                <w:szCs w:val="21"/>
              </w:rPr>
            </w:pPr>
          </w:p>
        </w:tc>
        <w:tc>
          <w:tcPr>
            <w:tcW w:w="2340" w:type="dxa"/>
            <w:gridSpan w:val="2"/>
            <w:vAlign w:val="center"/>
          </w:tcPr>
          <w:p>
            <w:pPr>
              <w:jc w:val="center"/>
              <w:rPr>
                <w:rFonts w:ascii="宋体"/>
                <w:bCs/>
                <w:szCs w:val="21"/>
              </w:rPr>
            </w:pPr>
          </w:p>
        </w:tc>
        <w:tc>
          <w:tcPr>
            <w:tcW w:w="1800" w:type="dxa"/>
            <w:gridSpan w:val="3"/>
            <w:vAlign w:val="center"/>
          </w:tcPr>
          <w:p>
            <w:pPr>
              <w:jc w:val="center"/>
              <w:rPr>
                <w:rFonts w:ascii="宋体"/>
                <w:bCs/>
                <w:szCs w:val="21"/>
              </w:rPr>
            </w:pPr>
          </w:p>
        </w:tc>
        <w:tc>
          <w:tcPr>
            <w:tcW w:w="2046" w:type="dxa"/>
            <w:gridSpan w:val="2"/>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81" w:type="dxa"/>
            <w:vMerge w:val="continue"/>
            <w:vAlign w:val="center"/>
          </w:tcPr>
          <w:p>
            <w:pPr>
              <w:jc w:val="center"/>
              <w:rPr>
                <w:rFonts w:ascii="宋体"/>
                <w:bCs/>
                <w:szCs w:val="21"/>
              </w:rPr>
            </w:pPr>
          </w:p>
        </w:tc>
        <w:tc>
          <w:tcPr>
            <w:tcW w:w="2321" w:type="dxa"/>
            <w:gridSpan w:val="3"/>
            <w:vAlign w:val="center"/>
          </w:tcPr>
          <w:p>
            <w:pPr>
              <w:jc w:val="center"/>
              <w:rPr>
                <w:rFonts w:ascii="宋体"/>
                <w:bCs/>
                <w:szCs w:val="21"/>
              </w:rPr>
            </w:pPr>
          </w:p>
        </w:tc>
        <w:tc>
          <w:tcPr>
            <w:tcW w:w="2340" w:type="dxa"/>
            <w:gridSpan w:val="2"/>
            <w:vAlign w:val="center"/>
          </w:tcPr>
          <w:p>
            <w:pPr>
              <w:jc w:val="center"/>
              <w:rPr>
                <w:rFonts w:ascii="宋体"/>
                <w:bCs/>
                <w:szCs w:val="21"/>
              </w:rPr>
            </w:pPr>
          </w:p>
        </w:tc>
        <w:tc>
          <w:tcPr>
            <w:tcW w:w="1800" w:type="dxa"/>
            <w:gridSpan w:val="3"/>
            <w:vAlign w:val="center"/>
          </w:tcPr>
          <w:p>
            <w:pPr>
              <w:jc w:val="center"/>
              <w:rPr>
                <w:rFonts w:ascii="宋体"/>
                <w:bCs/>
                <w:szCs w:val="21"/>
              </w:rPr>
            </w:pPr>
          </w:p>
        </w:tc>
        <w:tc>
          <w:tcPr>
            <w:tcW w:w="2046" w:type="dxa"/>
            <w:gridSpan w:val="2"/>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481" w:type="dxa"/>
            <w:vMerge w:val="restart"/>
            <w:textDirection w:val="tbRlV"/>
            <w:vAlign w:val="center"/>
          </w:tcPr>
          <w:p>
            <w:pPr>
              <w:ind w:left="113" w:right="113"/>
              <w:jc w:val="center"/>
              <w:rPr>
                <w:rFonts w:ascii="宋体"/>
                <w:bCs/>
                <w:szCs w:val="21"/>
              </w:rPr>
            </w:pPr>
            <w:r>
              <w:rPr>
                <w:rFonts w:hint="eastAsia" w:ascii="宋体" w:hAnsi="宋体"/>
                <w:bCs/>
                <w:szCs w:val="21"/>
              </w:rPr>
              <w:t>工</w:t>
            </w:r>
            <w:r>
              <w:rPr>
                <w:rFonts w:ascii="宋体" w:hAnsi="宋体"/>
                <w:bCs/>
                <w:szCs w:val="21"/>
              </w:rPr>
              <w:t xml:space="preserve"> </w:t>
            </w:r>
            <w:r>
              <w:rPr>
                <w:rFonts w:hint="eastAsia" w:ascii="宋体" w:hAnsi="宋体"/>
                <w:bCs/>
                <w:szCs w:val="21"/>
              </w:rPr>
              <w:t>作</w:t>
            </w:r>
            <w:r>
              <w:rPr>
                <w:rFonts w:ascii="宋体" w:hAnsi="宋体"/>
                <w:bCs/>
                <w:szCs w:val="21"/>
              </w:rPr>
              <w:t xml:space="preserve"> </w:t>
            </w:r>
            <w:r>
              <w:rPr>
                <w:rFonts w:hint="eastAsia" w:ascii="宋体" w:hAnsi="宋体"/>
                <w:bCs/>
                <w:szCs w:val="21"/>
              </w:rPr>
              <w:t>经</w:t>
            </w:r>
            <w:r>
              <w:rPr>
                <w:rFonts w:ascii="宋体" w:hAnsi="宋体"/>
                <w:bCs/>
                <w:szCs w:val="21"/>
              </w:rPr>
              <w:t xml:space="preserve"> </w:t>
            </w:r>
            <w:r>
              <w:rPr>
                <w:rFonts w:hint="eastAsia" w:ascii="宋体" w:hAnsi="宋体"/>
                <w:bCs/>
                <w:szCs w:val="21"/>
              </w:rPr>
              <w:t>历</w:t>
            </w:r>
          </w:p>
        </w:tc>
        <w:tc>
          <w:tcPr>
            <w:tcW w:w="2321" w:type="dxa"/>
            <w:gridSpan w:val="3"/>
            <w:vAlign w:val="center"/>
          </w:tcPr>
          <w:p>
            <w:pPr>
              <w:jc w:val="center"/>
              <w:rPr>
                <w:rFonts w:ascii="宋体"/>
                <w:bCs/>
                <w:szCs w:val="21"/>
              </w:rPr>
            </w:pPr>
            <w:r>
              <w:rPr>
                <w:rFonts w:hint="eastAsia" w:ascii="宋体" w:hAnsi="宋体"/>
                <w:bCs/>
                <w:szCs w:val="21"/>
              </w:rPr>
              <w:t>工作单位</w:t>
            </w:r>
            <w:r>
              <w:rPr>
                <w:rFonts w:ascii="宋体" w:hAnsi="宋体"/>
                <w:bCs/>
                <w:szCs w:val="21"/>
              </w:rPr>
              <w:t>/</w:t>
            </w:r>
            <w:r>
              <w:rPr>
                <w:rFonts w:hint="eastAsia" w:ascii="宋体" w:hAnsi="宋体"/>
                <w:bCs/>
                <w:szCs w:val="21"/>
              </w:rPr>
              <w:t>企业名称</w:t>
            </w:r>
          </w:p>
        </w:tc>
        <w:tc>
          <w:tcPr>
            <w:tcW w:w="2340" w:type="dxa"/>
            <w:gridSpan w:val="2"/>
            <w:vAlign w:val="center"/>
          </w:tcPr>
          <w:p>
            <w:pPr>
              <w:jc w:val="center"/>
              <w:rPr>
                <w:rFonts w:ascii="宋体"/>
                <w:bCs/>
                <w:szCs w:val="21"/>
              </w:rPr>
            </w:pPr>
            <w:r>
              <w:rPr>
                <w:rFonts w:hint="eastAsia" w:ascii="宋体" w:hAnsi="宋体"/>
                <w:bCs/>
                <w:szCs w:val="21"/>
              </w:rPr>
              <w:t>职位名称</w:t>
            </w:r>
          </w:p>
        </w:tc>
        <w:tc>
          <w:tcPr>
            <w:tcW w:w="1800" w:type="dxa"/>
            <w:gridSpan w:val="3"/>
            <w:vAlign w:val="center"/>
          </w:tcPr>
          <w:p>
            <w:pPr>
              <w:jc w:val="center"/>
              <w:rPr>
                <w:rFonts w:ascii="宋体"/>
                <w:bCs/>
                <w:szCs w:val="21"/>
              </w:rPr>
            </w:pPr>
            <w:r>
              <w:rPr>
                <w:rFonts w:hint="eastAsia" w:ascii="宋体" w:hAnsi="宋体"/>
                <w:bCs/>
                <w:szCs w:val="21"/>
              </w:rPr>
              <w:t>任职时间</w:t>
            </w:r>
          </w:p>
        </w:tc>
        <w:tc>
          <w:tcPr>
            <w:tcW w:w="2046" w:type="dxa"/>
            <w:gridSpan w:val="2"/>
            <w:vAlign w:val="center"/>
          </w:tcPr>
          <w:p>
            <w:pPr>
              <w:jc w:val="center"/>
              <w:rPr>
                <w:rFonts w:ascii="宋体"/>
                <w:bCs/>
                <w:szCs w:val="21"/>
              </w:rPr>
            </w:pPr>
            <w:r>
              <w:rPr>
                <w:rFonts w:hint="eastAsia" w:ascii="宋体" w:hAnsi="宋体"/>
                <w:bCs/>
                <w:szCs w:val="21"/>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81" w:type="dxa"/>
            <w:vMerge w:val="continue"/>
            <w:vAlign w:val="center"/>
          </w:tcPr>
          <w:p>
            <w:pPr>
              <w:jc w:val="center"/>
              <w:rPr>
                <w:rFonts w:ascii="宋体"/>
                <w:bCs/>
                <w:szCs w:val="21"/>
              </w:rPr>
            </w:pPr>
          </w:p>
        </w:tc>
        <w:tc>
          <w:tcPr>
            <w:tcW w:w="2321" w:type="dxa"/>
            <w:gridSpan w:val="3"/>
            <w:vAlign w:val="center"/>
          </w:tcPr>
          <w:p>
            <w:pPr>
              <w:jc w:val="center"/>
              <w:rPr>
                <w:rFonts w:ascii="宋体"/>
                <w:bCs/>
                <w:szCs w:val="21"/>
              </w:rPr>
            </w:pPr>
          </w:p>
        </w:tc>
        <w:tc>
          <w:tcPr>
            <w:tcW w:w="2340" w:type="dxa"/>
            <w:gridSpan w:val="2"/>
            <w:vAlign w:val="center"/>
          </w:tcPr>
          <w:p>
            <w:pPr>
              <w:jc w:val="center"/>
              <w:rPr>
                <w:rFonts w:ascii="宋体"/>
                <w:bCs/>
                <w:szCs w:val="21"/>
              </w:rPr>
            </w:pPr>
          </w:p>
        </w:tc>
        <w:tc>
          <w:tcPr>
            <w:tcW w:w="1800" w:type="dxa"/>
            <w:gridSpan w:val="3"/>
            <w:vAlign w:val="center"/>
          </w:tcPr>
          <w:p>
            <w:pPr>
              <w:jc w:val="center"/>
              <w:rPr>
                <w:rFonts w:ascii="宋体"/>
                <w:bCs/>
                <w:szCs w:val="21"/>
              </w:rPr>
            </w:pPr>
          </w:p>
        </w:tc>
        <w:tc>
          <w:tcPr>
            <w:tcW w:w="2046" w:type="dxa"/>
            <w:gridSpan w:val="2"/>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81" w:type="dxa"/>
            <w:vMerge w:val="continue"/>
            <w:vAlign w:val="center"/>
          </w:tcPr>
          <w:p>
            <w:pPr>
              <w:jc w:val="center"/>
              <w:rPr>
                <w:rFonts w:ascii="宋体"/>
                <w:bCs/>
                <w:szCs w:val="21"/>
              </w:rPr>
            </w:pPr>
          </w:p>
        </w:tc>
        <w:tc>
          <w:tcPr>
            <w:tcW w:w="2321" w:type="dxa"/>
            <w:gridSpan w:val="3"/>
            <w:vAlign w:val="center"/>
          </w:tcPr>
          <w:p>
            <w:pPr>
              <w:jc w:val="center"/>
              <w:rPr>
                <w:rFonts w:ascii="宋体"/>
                <w:bCs/>
                <w:szCs w:val="21"/>
              </w:rPr>
            </w:pPr>
          </w:p>
        </w:tc>
        <w:tc>
          <w:tcPr>
            <w:tcW w:w="2340" w:type="dxa"/>
            <w:gridSpan w:val="2"/>
            <w:vAlign w:val="center"/>
          </w:tcPr>
          <w:p>
            <w:pPr>
              <w:jc w:val="center"/>
              <w:rPr>
                <w:rFonts w:ascii="宋体"/>
                <w:bCs/>
                <w:szCs w:val="21"/>
              </w:rPr>
            </w:pPr>
          </w:p>
        </w:tc>
        <w:tc>
          <w:tcPr>
            <w:tcW w:w="1800" w:type="dxa"/>
            <w:gridSpan w:val="3"/>
            <w:vAlign w:val="center"/>
          </w:tcPr>
          <w:p>
            <w:pPr>
              <w:jc w:val="center"/>
              <w:rPr>
                <w:rFonts w:ascii="宋体"/>
                <w:bCs/>
                <w:szCs w:val="21"/>
              </w:rPr>
            </w:pPr>
          </w:p>
        </w:tc>
        <w:tc>
          <w:tcPr>
            <w:tcW w:w="2046" w:type="dxa"/>
            <w:gridSpan w:val="2"/>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829" w:type="dxa"/>
            <w:gridSpan w:val="2"/>
            <w:vAlign w:val="center"/>
          </w:tcPr>
          <w:p>
            <w:pPr>
              <w:jc w:val="center"/>
              <w:rPr>
                <w:rFonts w:ascii="宋体"/>
                <w:bCs/>
                <w:szCs w:val="21"/>
              </w:rPr>
            </w:pPr>
            <w:r>
              <w:rPr>
                <w:rFonts w:hint="eastAsia" w:ascii="宋体" w:hAnsi="宋体"/>
                <w:bCs/>
                <w:szCs w:val="21"/>
              </w:rPr>
              <w:t>语</w:t>
            </w:r>
            <w:r>
              <w:rPr>
                <w:rFonts w:ascii="宋体" w:hAnsi="宋体"/>
                <w:bCs/>
                <w:szCs w:val="21"/>
              </w:rPr>
              <w:t xml:space="preserve"> </w:t>
            </w:r>
            <w:r>
              <w:rPr>
                <w:rFonts w:hint="eastAsia" w:ascii="宋体" w:hAnsi="宋体"/>
                <w:bCs/>
                <w:szCs w:val="21"/>
              </w:rPr>
              <w:t>言</w:t>
            </w:r>
            <w:r>
              <w:rPr>
                <w:rFonts w:ascii="宋体" w:hAnsi="宋体"/>
                <w:bCs/>
                <w:szCs w:val="21"/>
              </w:rPr>
              <w:t xml:space="preserve"> </w:t>
            </w:r>
            <w:r>
              <w:rPr>
                <w:rFonts w:hint="eastAsia" w:ascii="宋体" w:hAnsi="宋体"/>
                <w:bCs/>
                <w:szCs w:val="21"/>
              </w:rPr>
              <w:t>能</w:t>
            </w:r>
            <w:r>
              <w:rPr>
                <w:rFonts w:ascii="宋体" w:hAnsi="宋体"/>
                <w:bCs/>
                <w:szCs w:val="21"/>
              </w:rPr>
              <w:t xml:space="preserve"> </w:t>
            </w:r>
            <w:r>
              <w:rPr>
                <w:rFonts w:hint="eastAsia" w:ascii="宋体" w:hAnsi="宋体"/>
                <w:bCs/>
                <w:szCs w:val="21"/>
              </w:rPr>
              <w:t>力</w:t>
            </w:r>
          </w:p>
        </w:tc>
        <w:tc>
          <w:tcPr>
            <w:tcW w:w="8159" w:type="dxa"/>
            <w:gridSpan w:val="9"/>
            <w:vAlign w:val="center"/>
          </w:tcPr>
          <w:p>
            <w:pPr>
              <w:rPr>
                <w:rFonts w:ascii="宋体" w:hAnsi="宋体"/>
                <w:bCs/>
                <w:szCs w:val="21"/>
                <w:u w:val="single"/>
              </w:rPr>
            </w:pPr>
            <w:r>
              <w:rPr>
                <w:rFonts w:ascii="宋体" w:hAnsi="宋体"/>
                <w:bCs/>
                <w:szCs w:val="21"/>
              </w:rPr>
              <w:t>1</w:t>
            </w:r>
            <w:r>
              <w:rPr>
                <w:rFonts w:hint="eastAsia" w:ascii="宋体" w:hAnsi="宋体"/>
                <w:bCs/>
                <w:szCs w:val="21"/>
              </w:rPr>
              <w:t>、普通话水平</w:t>
            </w:r>
            <w:r>
              <w:rPr>
                <w:rFonts w:ascii="宋体" w:hAnsi="宋体"/>
                <w:bCs/>
                <w:szCs w:val="21"/>
                <w:u w:val="single"/>
              </w:rPr>
              <w:t xml:space="preserve">        </w:t>
            </w:r>
            <w:r>
              <w:rPr>
                <w:rFonts w:ascii="宋体" w:hAnsi="宋体"/>
                <w:bCs/>
                <w:szCs w:val="21"/>
              </w:rPr>
              <w:t xml:space="preserve"> 2</w:t>
            </w:r>
            <w:r>
              <w:rPr>
                <w:rFonts w:hint="eastAsia" w:ascii="宋体" w:hAnsi="宋体"/>
                <w:bCs/>
                <w:szCs w:val="21"/>
              </w:rPr>
              <w:t>、英语水平</w:t>
            </w:r>
            <w:r>
              <w:rPr>
                <w:rFonts w:ascii="宋体" w:hAnsi="宋体"/>
                <w:bCs/>
                <w:szCs w:val="21"/>
                <w:u w:val="single"/>
              </w:rPr>
              <w:t xml:space="preserve">        </w:t>
            </w:r>
            <w:r>
              <w:rPr>
                <w:rFonts w:ascii="宋体" w:hAnsi="宋体"/>
                <w:bCs/>
                <w:szCs w:val="21"/>
              </w:rPr>
              <w:t xml:space="preserve"> 3</w:t>
            </w:r>
            <w:r>
              <w:rPr>
                <w:rFonts w:hint="eastAsia" w:ascii="宋体" w:hAnsi="宋体"/>
                <w:bCs/>
                <w:szCs w:val="21"/>
              </w:rPr>
              <w:t>、其他语言</w:t>
            </w:r>
            <w:r>
              <w:rPr>
                <w:rFonts w:ascii="宋体" w:hAnsi="宋体"/>
                <w:bCs/>
                <w:szCs w:val="21"/>
              </w:rPr>
              <w:t xml:space="preserve">(     ) </w:t>
            </w:r>
            <w:r>
              <w:rPr>
                <w:rFonts w:hint="eastAsia" w:ascii="宋体" w:hAnsi="宋体"/>
                <w:bCs/>
                <w:szCs w:val="21"/>
              </w:rPr>
              <w:t>水平</w:t>
            </w:r>
            <w:r>
              <w:rPr>
                <w:rFonts w:ascii="宋体" w:hAnsi="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829" w:type="dxa"/>
            <w:gridSpan w:val="2"/>
            <w:vAlign w:val="center"/>
          </w:tcPr>
          <w:p>
            <w:pPr>
              <w:jc w:val="center"/>
              <w:rPr>
                <w:rFonts w:ascii="宋体"/>
                <w:bCs/>
                <w:szCs w:val="21"/>
              </w:rPr>
            </w:pPr>
            <w:r>
              <w:rPr>
                <w:rFonts w:hint="eastAsia" w:ascii="宋体" w:hAnsi="宋体"/>
                <w:bCs/>
                <w:szCs w:val="21"/>
              </w:rPr>
              <w:t>电脑办公水平</w:t>
            </w:r>
          </w:p>
        </w:tc>
        <w:tc>
          <w:tcPr>
            <w:tcW w:w="1973" w:type="dxa"/>
            <w:gridSpan w:val="2"/>
            <w:vAlign w:val="center"/>
          </w:tcPr>
          <w:p>
            <w:pPr>
              <w:jc w:val="center"/>
              <w:rPr>
                <w:rFonts w:ascii="宋体"/>
                <w:bCs/>
                <w:szCs w:val="21"/>
              </w:rPr>
            </w:pPr>
          </w:p>
        </w:tc>
        <w:tc>
          <w:tcPr>
            <w:tcW w:w="3180" w:type="dxa"/>
            <w:gridSpan w:val="4"/>
            <w:vAlign w:val="center"/>
          </w:tcPr>
          <w:p>
            <w:pPr>
              <w:jc w:val="center"/>
              <w:rPr>
                <w:rFonts w:ascii="宋体"/>
                <w:bCs/>
                <w:szCs w:val="21"/>
              </w:rPr>
            </w:pPr>
            <w:r>
              <w:rPr>
                <w:rFonts w:hint="eastAsia" w:ascii="宋体" w:hAnsi="宋体"/>
                <w:bCs/>
                <w:szCs w:val="21"/>
              </w:rPr>
              <w:t>特长及爱好</w:t>
            </w:r>
          </w:p>
        </w:tc>
        <w:tc>
          <w:tcPr>
            <w:tcW w:w="3006" w:type="dxa"/>
            <w:gridSpan w:val="3"/>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829" w:type="dxa"/>
            <w:gridSpan w:val="2"/>
            <w:vAlign w:val="center"/>
          </w:tcPr>
          <w:p>
            <w:pPr>
              <w:jc w:val="center"/>
              <w:rPr>
                <w:rFonts w:ascii="宋体"/>
                <w:bCs/>
                <w:szCs w:val="21"/>
              </w:rPr>
            </w:pPr>
            <w:r>
              <w:rPr>
                <w:rFonts w:hint="eastAsia" w:ascii="宋体" w:hAnsi="宋体"/>
                <w:bCs/>
                <w:szCs w:val="21"/>
              </w:rPr>
              <w:t>工</w:t>
            </w:r>
            <w:r>
              <w:rPr>
                <w:rFonts w:ascii="宋体" w:hAnsi="宋体"/>
                <w:bCs/>
                <w:szCs w:val="21"/>
              </w:rPr>
              <w:t xml:space="preserve"> </w:t>
            </w:r>
            <w:r>
              <w:rPr>
                <w:rFonts w:hint="eastAsia" w:ascii="宋体" w:hAnsi="宋体"/>
                <w:bCs/>
                <w:szCs w:val="21"/>
              </w:rPr>
              <w:t>作</w:t>
            </w:r>
            <w:r>
              <w:rPr>
                <w:rFonts w:ascii="宋体" w:hAnsi="宋体"/>
                <w:bCs/>
                <w:szCs w:val="21"/>
              </w:rPr>
              <w:t xml:space="preserve"> </w:t>
            </w:r>
            <w:r>
              <w:rPr>
                <w:rFonts w:hint="eastAsia" w:ascii="宋体" w:hAnsi="宋体"/>
                <w:bCs/>
                <w:szCs w:val="21"/>
              </w:rPr>
              <w:t>要</w:t>
            </w:r>
            <w:r>
              <w:rPr>
                <w:rFonts w:ascii="宋体" w:hAnsi="宋体"/>
                <w:bCs/>
                <w:szCs w:val="21"/>
              </w:rPr>
              <w:t xml:space="preserve"> </w:t>
            </w:r>
            <w:r>
              <w:rPr>
                <w:rFonts w:hint="eastAsia" w:ascii="宋体" w:hAnsi="宋体"/>
                <w:bCs/>
                <w:szCs w:val="21"/>
              </w:rPr>
              <w:t>求</w:t>
            </w:r>
          </w:p>
        </w:tc>
        <w:tc>
          <w:tcPr>
            <w:tcW w:w="5153" w:type="dxa"/>
            <w:gridSpan w:val="6"/>
            <w:vAlign w:val="center"/>
          </w:tcPr>
          <w:p>
            <w:pPr>
              <w:jc w:val="center"/>
              <w:rPr>
                <w:rFonts w:ascii="宋体"/>
                <w:bCs/>
                <w:szCs w:val="21"/>
              </w:rPr>
            </w:pPr>
          </w:p>
        </w:tc>
        <w:tc>
          <w:tcPr>
            <w:tcW w:w="1489" w:type="dxa"/>
            <w:gridSpan w:val="2"/>
            <w:vAlign w:val="center"/>
          </w:tcPr>
          <w:p>
            <w:pPr>
              <w:jc w:val="center"/>
              <w:rPr>
                <w:rFonts w:ascii="宋体"/>
                <w:bCs/>
                <w:szCs w:val="21"/>
              </w:rPr>
            </w:pPr>
            <w:r>
              <w:rPr>
                <w:rFonts w:hint="eastAsia" w:ascii="宋体" w:hAnsi="宋体"/>
                <w:bCs/>
                <w:szCs w:val="21"/>
              </w:rPr>
              <w:t>可到职日期</w:t>
            </w:r>
          </w:p>
        </w:tc>
        <w:tc>
          <w:tcPr>
            <w:tcW w:w="1517" w:type="dxa"/>
            <w:vAlign w:val="center"/>
          </w:tcPr>
          <w:p>
            <w:pPr>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829" w:type="dxa"/>
            <w:gridSpan w:val="2"/>
            <w:vAlign w:val="center"/>
          </w:tcPr>
          <w:p>
            <w:pPr>
              <w:jc w:val="center"/>
              <w:rPr>
                <w:rFonts w:ascii="宋体"/>
                <w:bCs/>
                <w:szCs w:val="21"/>
              </w:rPr>
            </w:pPr>
            <w:r>
              <w:rPr>
                <w:rFonts w:hint="eastAsia" w:ascii="宋体" w:hAnsi="宋体"/>
                <w:bCs/>
                <w:szCs w:val="21"/>
              </w:rPr>
              <w:t>备</w:t>
            </w:r>
            <w:r>
              <w:rPr>
                <w:rFonts w:ascii="宋体" w:hAnsi="宋体"/>
                <w:bCs/>
                <w:szCs w:val="21"/>
              </w:rPr>
              <w:t xml:space="preserve">      </w:t>
            </w:r>
            <w:r>
              <w:rPr>
                <w:rFonts w:hint="eastAsia" w:ascii="宋体" w:hAnsi="宋体"/>
                <w:bCs/>
                <w:szCs w:val="21"/>
              </w:rPr>
              <w:t>注</w:t>
            </w:r>
          </w:p>
        </w:tc>
        <w:tc>
          <w:tcPr>
            <w:tcW w:w="5153" w:type="dxa"/>
            <w:gridSpan w:val="6"/>
            <w:vAlign w:val="center"/>
          </w:tcPr>
          <w:p>
            <w:pPr>
              <w:jc w:val="center"/>
              <w:rPr>
                <w:rFonts w:ascii="宋体"/>
                <w:bCs/>
                <w:szCs w:val="21"/>
              </w:rPr>
            </w:pPr>
          </w:p>
        </w:tc>
        <w:tc>
          <w:tcPr>
            <w:tcW w:w="3006" w:type="dxa"/>
            <w:gridSpan w:val="3"/>
            <w:vAlign w:val="center"/>
          </w:tcPr>
          <w:p>
            <w:pPr>
              <w:jc w:val="center"/>
              <w:rPr>
                <w:rFonts w:ascii="宋体"/>
                <w:bCs/>
                <w:szCs w:val="21"/>
              </w:rPr>
            </w:pPr>
            <w:r>
              <w:rPr>
                <w:rFonts w:hint="eastAsia" w:ascii="宋体" w:hAnsi="宋体"/>
                <w:bCs/>
                <w:szCs w:val="21"/>
              </w:rPr>
              <w:t>填表日期：</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rPr>
          <w:rFonts w:ascii="宋体"/>
          <w:b/>
          <w:sz w:val="44"/>
          <w:szCs w:val="44"/>
        </w:rPr>
      </w:pPr>
    </w:p>
    <w:p>
      <w:pPr>
        <w:jc w:val="center"/>
        <w:rPr>
          <w:rFonts w:ascii="宋体" w:hAnsi="宋体"/>
          <w:b/>
          <w:spacing w:val="-20"/>
          <w:sz w:val="44"/>
          <w:szCs w:val="44"/>
        </w:rPr>
      </w:pPr>
      <w:r>
        <w:rPr>
          <w:rFonts w:hint="eastAsia" w:ascii="宋体" w:hAnsi="宋体"/>
          <w:b/>
          <w:spacing w:val="-20"/>
          <w:sz w:val="44"/>
          <w:szCs w:val="44"/>
        </w:rPr>
        <w:t>祁阳县引进急需紧缺高层次人才意向协议书</w:t>
      </w:r>
    </w:p>
    <w:p>
      <w:r>
        <w:t xml:space="preserve">   </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甲方：祁阳县委人才工作领导小组办公室</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地址：祁阳县政府行政大楼3楼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61</w:t>
      </w:r>
      <w:r>
        <w:rPr>
          <w:rFonts w:ascii="仿宋_GB2312" w:hAnsi="仿宋_GB2312" w:eastAsia="仿宋_GB2312" w:cs="仿宋_GB2312"/>
          <w:sz w:val="32"/>
          <w:szCs w:val="32"/>
        </w:rPr>
        <w:t xml:space="preserve">00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联系方式：</w:t>
      </w:r>
      <w:r>
        <w:rPr>
          <w:rFonts w:ascii="仿宋_GB2312" w:hAnsi="仿宋_GB2312" w:eastAsia="仿宋_GB2312" w:cs="仿宋_GB2312"/>
          <w:sz w:val="32"/>
          <w:szCs w:val="32"/>
        </w:rPr>
        <w:t>0746</w:t>
      </w:r>
      <w:r>
        <w:rPr>
          <w:rFonts w:hint="eastAsia" w:ascii="仿宋_GB2312" w:hAnsi="仿宋_GB2312" w:eastAsia="仿宋_GB2312" w:cs="仿宋_GB2312"/>
          <w:sz w:val="32"/>
          <w:szCs w:val="32"/>
        </w:rPr>
        <w:t>－3261003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性别：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毕业院校：</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联系电话（手机）：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经甲乙双方平等协商，决定签订本就业意向协议书，明确双方的权利义务关系。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（一）甲方本着高度负责的原则，与乙方签订本意向协议书。乙方根据甲方公布的《祁阳县2019年引进急需紧缺高层次人才公告》要求，经相关程序考核考察合格后，甲方通知乙方是否正式聘用到相关单位工作。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（二）乙方在接到甲方聘用通知</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日内，应与甲方签订正式聘用合同，乙方逾期无故不与甲方签订聘用合同的的视为乙方放弃本意向协议书权利。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（三）乙方在意向协议书有效期内，有严重健康问题、违反法律法规或其他不适宜安排工作的，甲方有权单方终止本意向协议。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（四）乙方必须具备</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文凭（</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专业），应届毕业生必须在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日前拿到毕业证，否则甲方有权单方终止此协议。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（五）乙方就业前的体检、政审等有关事宜，按政策规定执行。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本协议的签订仅视为甲乙双方对就业意向的约定，不视为劳动关系的成立。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本协议一式贰份，双方签字后生效，协议双方各执壹份，具有同等效力。</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2720" w:firstLineChars="850"/>
        <w:rPr>
          <w:rFonts w:ascii="仿宋_GB2312" w:hAnsi="仿宋_GB2312" w:eastAsia="仿宋_GB2312" w:cs="仿宋_GB2312"/>
          <w:sz w:val="32"/>
          <w:szCs w:val="32"/>
        </w:rPr>
      </w:pPr>
      <w:r>
        <w:rPr>
          <w:rFonts w:hint="eastAsia" w:ascii="仿宋_GB2312" w:hAnsi="仿宋_GB2312" w:eastAsia="仿宋_GB2312" w:cs="仿宋_GB2312"/>
          <w:sz w:val="32"/>
          <w:szCs w:val="32"/>
        </w:rPr>
        <w:t>甲方：　　　　</w:t>
      </w:r>
      <w:r>
        <w:rPr>
          <w:rFonts w:ascii="仿宋_GB2312" w:hAnsi="仿宋_GB2312" w:eastAsia="仿宋_GB2312" w:cs="仿宋_GB2312"/>
          <w:sz w:val="32"/>
          <w:szCs w:val="32"/>
        </w:rPr>
        <w:t xml:space="preserve">     </w:t>
      </w:r>
    </w:p>
    <w:p>
      <w:pPr>
        <w:spacing w:line="560" w:lineRule="exact"/>
        <w:ind w:firstLine="2080" w:firstLineChars="650"/>
        <w:rPr>
          <w:rFonts w:ascii="仿宋_GB2312" w:hAnsi="仿宋_GB2312" w:eastAsia="仿宋_GB2312" w:cs="仿宋_GB2312"/>
          <w:sz w:val="32"/>
          <w:szCs w:val="32"/>
        </w:rPr>
      </w:pPr>
    </w:p>
    <w:p>
      <w:pPr>
        <w:spacing w:line="560" w:lineRule="exact"/>
        <w:ind w:firstLine="2080" w:firstLineChars="650"/>
        <w:rPr>
          <w:rFonts w:ascii="仿宋_GB2312" w:hAnsi="仿宋_GB2312" w:eastAsia="仿宋_GB2312" w:cs="仿宋_GB2312"/>
          <w:sz w:val="32"/>
          <w:szCs w:val="32"/>
        </w:rPr>
      </w:pPr>
      <w:r>
        <w:rPr>
          <w:rFonts w:hint="eastAsia" w:ascii="仿宋_GB2312" w:hAnsi="仿宋_GB2312" w:eastAsia="仿宋_GB2312" w:cs="仿宋_GB2312"/>
          <w:sz w:val="32"/>
          <w:szCs w:val="32"/>
        </w:rPr>
        <w:t>二〇一八年　　月　　日　</w:t>
      </w:r>
    </w:p>
    <w:p>
      <w:pPr>
        <w:spacing w:line="560" w:lineRule="exact"/>
        <w:jc w:val="right"/>
        <w:rPr>
          <w:rFonts w:ascii="仿宋_GB2312" w:hAnsi="仿宋_GB2312" w:eastAsia="仿宋_GB2312" w:cs="仿宋_GB2312"/>
          <w:sz w:val="32"/>
          <w:szCs w:val="32"/>
        </w:rPr>
      </w:pPr>
    </w:p>
    <w:p>
      <w:pPr>
        <w:spacing w:line="560" w:lineRule="exact"/>
        <w:ind w:right="64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0" w:lineRule="exact"/>
        <w:ind w:right="640" w:firstLine="2720" w:firstLineChars="85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spacing w:line="560" w:lineRule="exact"/>
        <w:ind w:right="640"/>
        <w:jc w:val="center"/>
        <w:rPr>
          <w:rFonts w:ascii="仿宋_GB2312" w:hAnsi="仿宋_GB2312" w:eastAsia="仿宋_GB2312" w:cs="仿宋_GB2312"/>
          <w:sz w:val="32"/>
          <w:szCs w:val="32"/>
        </w:rPr>
      </w:pPr>
    </w:p>
    <w:p>
      <w:pPr>
        <w:spacing w:line="560" w:lineRule="exact"/>
        <w:ind w:right="640"/>
        <w:jc w:val="center"/>
        <w:rPr>
          <w:rFonts w:ascii="仿宋_GB2312" w:hAnsi="仿宋_GB2312" w:eastAsia="仿宋_GB2312" w:cs="仿宋_GB2312"/>
        </w:rPr>
      </w:pPr>
      <w:r>
        <w:rPr>
          <w:rFonts w:hint="eastAsia" w:ascii="仿宋_GB2312" w:hAnsi="仿宋_GB2312" w:eastAsia="仿宋_GB2312" w:cs="仿宋_GB2312"/>
          <w:sz w:val="32"/>
          <w:szCs w:val="32"/>
        </w:rPr>
        <w:t>二〇一八年　　月　　日</w:t>
      </w:r>
    </w:p>
    <w:p>
      <w:pPr>
        <w:spacing w:line="600" w:lineRule="exact"/>
        <w:ind w:right="1280" w:firstLine="1080" w:firstLineChars="300"/>
        <w:jc w:val="center"/>
        <w:rPr>
          <w:rFonts w:ascii="方正小标宋_GBK" w:hAnsi="黑体" w:eastAsia="方正小标宋_GBK" w:cs="仿宋_GB2312"/>
          <w:bCs/>
          <w:kern w:val="0"/>
          <w:sz w:val="36"/>
          <w:szCs w:val="36"/>
          <w:shd w:val="clear" w:color="auto" w:fill="FFFFFF"/>
        </w:rPr>
      </w:pPr>
    </w:p>
    <w:p>
      <w:pPr>
        <w:spacing w:line="600" w:lineRule="exact"/>
        <w:ind w:right="1280" w:firstLine="1080" w:firstLineChars="300"/>
        <w:jc w:val="center"/>
        <w:rPr>
          <w:rFonts w:ascii="方正小标宋_GBK" w:hAnsi="黑体" w:eastAsia="方正小标宋_GBK" w:cs="仿宋_GB2312"/>
          <w:bCs/>
          <w:kern w:val="0"/>
          <w:sz w:val="36"/>
          <w:szCs w:val="36"/>
          <w:shd w:val="clear" w:color="auto" w:fill="FFFFFF"/>
        </w:rPr>
      </w:pPr>
    </w:p>
    <w:p>
      <w:pPr>
        <w:spacing w:line="600" w:lineRule="exact"/>
        <w:ind w:right="1280" w:firstLine="1080" w:firstLineChars="300"/>
        <w:jc w:val="center"/>
        <w:rPr>
          <w:rFonts w:ascii="方正小标宋_GBK" w:hAnsi="黑体" w:eastAsia="方正小标宋_GBK" w:cs="仿宋_GB2312"/>
          <w:bCs/>
          <w:kern w:val="0"/>
          <w:sz w:val="36"/>
          <w:szCs w:val="36"/>
          <w:shd w:val="clear" w:color="auto" w:fill="FFFFFF"/>
        </w:rPr>
      </w:pPr>
    </w:p>
    <w:p>
      <w:pPr>
        <w:spacing w:line="600" w:lineRule="exact"/>
        <w:ind w:right="1280" w:firstLine="1080" w:firstLineChars="300"/>
        <w:jc w:val="center"/>
        <w:rPr>
          <w:rFonts w:ascii="方正小标宋_GBK" w:hAnsi="黑体" w:eastAsia="方正小标宋_GBK" w:cs="仿宋_GB2312"/>
          <w:bCs/>
          <w:kern w:val="0"/>
          <w:sz w:val="36"/>
          <w:szCs w:val="36"/>
          <w:shd w:val="clear" w:color="auto" w:fill="FFFFFF"/>
        </w:rPr>
      </w:pPr>
    </w:p>
    <w:p>
      <w:pPr>
        <w:spacing w:line="600" w:lineRule="exact"/>
        <w:ind w:right="1280" w:firstLine="1080" w:firstLineChars="300"/>
        <w:jc w:val="center"/>
        <w:rPr>
          <w:rFonts w:ascii="方正小标宋_GBK" w:hAnsi="黑体" w:eastAsia="方正小标宋_GBK" w:cs="仿宋_GB2312"/>
          <w:bCs/>
          <w:kern w:val="0"/>
          <w:sz w:val="36"/>
          <w:szCs w:val="36"/>
          <w:shd w:val="clear" w:color="auto" w:fill="FFFFFF"/>
        </w:rPr>
      </w:pPr>
    </w:p>
    <w:p>
      <w:pPr>
        <w:pStyle w:val="16"/>
        <w:shd w:val="clear" w:color="auto" w:fill="FFFFFF"/>
        <w:wordWrap w:val="0"/>
        <w:spacing w:before="0" w:beforeAutospacing="0" w:after="0" w:afterAutospacing="0" w:line="504" w:lineRule="atLeast"/>
        <w:ind w:right="560" w:firstLine="480"/>
        <w:jc w:val="center"/>
        <w:rPr>
          <w:rFonts w:hint="eastAsia" w:ascii="仿宋_GB2312" w:hAnsi="微软雅黑" w:eastAsia="仿宋_GB2312"/>
          <w:sz w:val="32"/>
          <w:szCs w:val="32"/>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widowControl/>
        <w:jc w:val="left"/>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附件3</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永州市祁阳县2019年公开引进急需紧缺专业人才报名登记表</w:t>
      </w:r>
    </w:p>
    <w:p>
      <w:pPr>
        <w:ind w:left="-279" w:leftChars="-133" w:firstLine="297" w:firstLineChars="9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报考单位：                报考职位：        职位代码：</w:t>
      </w:r>
    </w:p>
    <w:tbl>
      <w:tblPr>
        <w:tblStyle w:val="11"/>
        <w:tblW w:w="1016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98"/>
        <w:gridCol w:w="282"/>
        <w:gridCol w:w="991"/>
        <w:gridCol w:w="287"/>
        <w:gridCol w:w="702"/>
        <w:gridCol w:w="32"/>
        <w:gridCol w:w="538"/>
        <w:gridCol w:w="426"/>
        <w:gridCol w:w="765"/>
        <w:gridCol w:w="63"/>
        <w:gridCol w:w="26"/>
        <w:gridCol w:w="705"/>
        <w:gridCol w:w="264"/>
        <w:gridCol w:w="23"/>
        <w:gridCol w:w="989"/>
        <w:gridCol w:w="995"/>
        <w:gridCol w:w="567"/>
        <w:gridCol w:w="222"/>
        <w:gridCol w:w="82"/>
        <w:gridCol w:w="120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87" w:hRule="exact"/>
          <w:jc w:val="center"/>
        </w:trPr>
        <w:tc>
          <w:tcPr>
            <w:tcW w:w="998" w:type="dxa"/>
            <w:tcBorders>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姓名</w:t>
            </w:r>
          </w:p>
        </w:tc>
        <w:tc>
          <w:tcPr>
            <w:tcW w:w="2294" w:type="dxa"/>
            <w:gridSpan w:val="5"/>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964" w:type="dxa"/>
            <w:gridSpan w:val="2"/>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性别</w:t>
            </w:r>
          </w:p>
        </w:tc>
        <w:tc>
          <w:tcPr>
            <w:tcW w:w="828" w:type="dxa"/>
            <w:gridSpan w:val="2"/>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995" w:type="dxa"/>
            <w:gridSpan w:val="3"/>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出生</w:t>
            </w:r>
          </w:p>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年月</w:t>
            </w:r>
          </w:p>
        </w:tc>
        <w:tc>
          <w:tcPr>
            <w:tcW w:w="2574" w:type="dxa"/>
            <w:gridSpan w:val="4"/>
            <w:tcBorders>
              <w:left w:val="single" w:color="auto" w:sz="4" w:space="0"/>
              <w:bottom w:val="single" w:color="auto" w:sz="4" w:space="0"/>
              <w:right w:val="single" w:color="auto" w:sz="4" w:space="0"/>
            </w:tcBorders>
            <w:vAlign w:val="center"/>
          </w:tcPr>
          <w:p>
            <w:pPr>
              <w:spacing w:line="360" w:lineRule="exact"/>
              <w:ind w:firstLine="424" w:firstLineChars="177"/>
              <w:rPr>
                <w:rFonts w:ascii="仿宋_GB2312" w:hAnsi="仿宋_GB2312" w:eastAsia="仿宋_GB2312" w:cs="仿宋_GB2312"/>
                <w:bCs/>
                <w:sz w:val="24"/>
              </w:rPr>
            </w:pPr>
          </w:p>
        </w:tc>
        <w:tc>
          <w:tcPr>
            <w:tcW w:w="1508" w:type="dxa"/>
            <w:gridSpan w:val="3"/>
            <w:vMerge w:val="restart"/>
            <w:tcBorders>
              <w:left w:val="single" w:color="auto" w:sz="4" w:space="0"/>
              <w:bottom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照片</w:t>
            </w:r>
          </w:p>
          <w:p>
            <w:pPr>
              <w:spacing w:line="360" w:lineRule="exact"/>
              <w:jc w:val="center"/>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61" w:hRule="exact"/>
          <w:jc w:val="center"/>
        </w:trPr>
        <w:tc>
          <w:tcPr>
            <w:tcW w:w="998" w:type="dxa"/>
            <w:tcBorders>
              <w:top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政治</w:t>
            </w:r>
          </w:p>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面貌</w:t>
            </w:r>
          </w:p>
        </w:tc>
        <w:tc>
          <w:tcPr>
            <w:tcW w:w="22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身份</w:t>
            </w:r>
          </w:p>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证号</w:t>
            </w:r>
          </w:p>
        </w:tc>
        <w:tc>
          <w:tcPr>
            <w:tcW w:w="439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1508" w:type="dxa"/>
            <w:gridSpan w:val="3"/>
            <w:vMerge w:val="continue"/>
            <w:tcBorders>
              <w:top w:val="single" w:color="auto" w:sz="4" w:space="0"/>
              <w:left w:val="single" w:color="auto" w:sz="4" w:space="0"/>
              <w:bottom w:val="single" w:color="auto" w:sz="4" w:space="0"/>
            </w:tcBorders>
            <w:vAlign w:val="center"/>
          </w:tcPr>
          <w:p>
            <w:pPr>
              <w:spacing w:line="360" w:lineRule="exact"/>
              <w:jc w:val="center"/>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72" w:hRule="exact"/>
          <w:jc w:val="center"/>
        </w:trPr>
        <w:tc>
          <w:tcPr>
            <w:tcW w:w="998" w:type="dxa"/>
            <w:tcBorders>
              <w:top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籍贯</w:t>
            </w:r>
          </w:p>
        </w:tc>
        <w:tc>
          <w:tcPr>
            <w:tcW w:w="229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p>
        </w:tc>
        <w:tc>
          <w:tcPr>
            <w:tcW w:w="96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出生地</w:t>
            </w:r>
          </w:p>
        </w:tc>
        <w:tc>
          <w:tcPr>
            <w:tcW w:w="4397"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z w:val="24"/>
              </w:rPr>
            </w:pPr>
          </w:p>
        </w:tc>
        <w:tc>
          <w:tcPr>
            <w:tcW w:w="1508" w:type="dxa"/>
            <w:gridSpan w:val="3"/>
            <w:vMerge w:val="continue"/>
            <w:tcBorders>
              <w:top w:val="single" w:color="auto" w:sz="4" w:space="0"/>
              <w:left w:val="single" w:color="auto" w:sz="4" w:space="0"/>
              <w:bottom w:val="single" w:color="auto" w:sz="4" w:space="0"/>
            </w:tcBorders>
            <w:vAlign w:val="center"/>
          </w:tcPr>
          <w:p>
            <w:pPr>
              <w:spacing w:line="36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723" w:hRule="exact"/>
          <w:jc w:val="center"/>
        </w:trPr>
        <w:tc>
          <w:tcPr>
            <w:tcW w:w="1280" w:type="dxa"/>
            <w:gridSpan w:val="2"/>
            <w:tcBorders>
              <w:top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参加工作年月</w:t>
            </w:r>
          </w:p>
        </w:tc>
        <w:tc>
          <w:tcPr>
            <w:tcW w:w="297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人事档案保管单位</w:t>
            </w:r>
          </w:p>
        </w:tc>
        <w:tc>
          <w:tcPr>
            <w:tcW w:w="227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87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健康状况</w:t>
            </w:r>
          </w:p>
        </w:tc>
        <w:tc>
          <w:tcPr>
            <w:tcW w:w="1204" w:type="dxa"/>
            <w:tcBorders>
              <w:top w:val="single" w:color="auto" w:sz="4" w:space="0"/>
              <w:left w:val="single" w:color="auto" w:sz="4" w:space="0"/>
              <w:bottom w:val="single" w:color="auto" w:sz="4" w:space="0"/>
            </w:tcBorders>
            <w:vAlign w:val="center"/>
          </w:tcPr>
          <w:p>
            <w:pPr>
              <w:spacing w:line="360" w:lineRule="exact"/>
              <w:jc w:val="center"/>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exact"/>
          <w:jc w:val="center"/>
        </w:trPr>
        <w:tc>
          <w:tcPr>
            <w:tcW w:w="3260" w:type="dxa"/>
            <w:gridSpan w:val="5"/>
            <w:tcBorders>
              <w:top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专业技术职务（职称）</w:t>
            </w:r>
          </w:p>
        </w:tc>
        <w:tc>
          <w:tcPr>
            <w:tcW w:w="6901" w:type="dxa"/>
            <w:gridSpan w:val="15"/>
            <w:tcBorders>
              <w:top w:val="single" w:color="auto" w:sz="4" w:space="0"/>
              <w:left w:val="single" w:color="auto" w:sz="4" w:space="0"/>
              <w:bottom w:val="single" w:color="auto" w:sz="4" w:space="0"/>
            </w:tcBorders>
            <w:vAlign w:val="center"/>
          </w:tcPr>
          <w:p>
            <w:pPr>
              <w:spacing w:line="360" w:lineRule="exact"/>
              <w:jc w:val="center"/>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996" w:hRule="atLeast"/>
          <w:jc w:val="center"/>
        </w:trPr>
        <w:tc>
          <w:tcPr>
            <w:tcW w:w="128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第一学历  毕业院校  及专业</w:t>
            </w:r>
          </w:p>
        </w:tc>
        <w:tc>
          <w:tcPr>
            <w:tcW w:w="383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学历层次</w:t>
            </w:r>
          </w:p>
        </w:tc>
        <w:tc>
          <w:tcPr>
            <w:tcW w:w="22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学位</w:t>
            </w:r>
          </w:p>
        </w:tc>
        <w:tc>
          <w:tcPr>
            <w:tcW w:w="128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054" w:hRule="atLeast"/>
          <w:jc w:val="center"/>
        </w:trPr>
        <w:tc>
          <w:tcPr>
            <w:tcW w:w="1280"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最高学历  毕业院校  及专业</w:t>
            </w:r>
          </w:p>
        </w:tc>
        <w:tc>
          <w:tcPr>
            <w:tcW w:w="383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学历层次</w:t>
            </w:r>
          </w:p>
        </w:tc>
        <w:tc>
          <w:tcPr>
            <w:tcW w:w="227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学位</w:t>
            </w:r>
          </w:p>
        </w:tc>
        <w:tc>
          <w:tcPr>
            <w:tcW w:w="1286" w:type="dxa"/>
            <w:gridSpan w:val="2"/>
            <w:tcBorders>
              <w:top w:val="single" w:color="auto" w:sz="4" w:space="0"/>
              <w:left w:val="single" w:color="auto" w:sz="4" w:space="0"/>
              <w:bottom w:val="single" w:color="auto" w:sz="4" w:space="0"/>
            </w:tcBorders>
            <w:vAlign w:val="center"/>
          </w:tcPr>
          <w:p>
            <w:pPr>
              <w:spacing w:line="360" w:lineRule="exact"/>
              <w:jc w:val="center"/>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998" w:type="dxa"/>
            <w:vMerge w:val="restart"/>
            <w:tcBorders>
              <w:top w:val="single" w:color="auto" w:sz="4" w:space="0"/>
              <w:bottom w:val="single" w:color="auto" w:sz="4" w:space="0"/>
              <w:right w:val="single" w:color="auto" w:sz="4" w:space="0"/>
            </w:tcBorders>
            <w:textDirection w:val="tbRlV"/>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联系方式</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通信地址</w:t>
            </w:r>
          </w:p>
        </w:tc>
        <w:tc>
          <w:tcPr>
            <w:tcW w:w="7603" w:type="dxa"/>
            <w:gridSpan w:val="16"/>
            <w:tcBorders>
              <w:top w:val="single" w:color="auto" w:sz="4" w:space="0"/>
              <w:left w:val="single" w:color="auto" w:sz="4" w:space="0"/>
              <w:bottom w:val="single" w:color="auto" w:sz="4" w:space="0"/>
            </w:tcBorders>
            <w:vAlign w:val="center"/>
          </w:tcPr>
          <w:p>
            <w:pPr>
              <w:widowControl/>
              <w:spacing w:line="36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 xml:space="preserve">                                   邮编：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jc w:val="center"/>
        </w:trPr>
        <w:tc>
          <w:tcPr>
            <w:tcW w:w="998" w:type="dxa"/>
            <w:vMerge w:val="continue"/>
            <w:tcBorders>
              <w:top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家庭住址</w:t>
            </w:r>
          </w:p>
        </w:tc>
        <w:tc>
          <w:tcPr>
            <w:tcW w:w="7603" w:type="dxa"/>
            <w:gridSpan w:val="16"/>
            <w:tcBorders>
              <w:top w:val="single" w:color="auto" w:sz="4" w:space="0"/>
              <w:left w:val="single" w:color="auto" w:sz="4" w:space="0"/>
              <w:bottom w:val="single" w:color="auto" w:sz="4" w:space="0"/>
            </w:tcBorders>
            <w:vAlign w:val="center"/>
          </w:tcPr>
          <w:p>
            <w:pPr>
              <w:widowControl/>
              <w:spacing w:line="360" w:lineRule="exact"/>
              <w:jc w:val="left"/>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11" w:hRule="atLeast"/>
          <w:jc w:val="center"/>
        </w:trPr>
        <w:tc>
          <w:tcPr>
            <w:tcW w:w="998" w:type="dxa"/>
            <w:vMerge w:val="continue"/>
            <w:tcBorders>
              <w:top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电子信箱</w:t>
            </w:r>
          </w:p>
        </w:tc>
        <w:tc>
          <w:tcPr>
            <w:tcW w:w="169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手机</w:t>
            </w:r>
          </w:p>
        </w:tc>
        <w:tc>
          <w:tcPr>
            <w:tcW w:w="2070"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sz w:val="24"/>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固定</w:t>
            </w:r>
          </w:p>
          <w:p>
            <w:pPr>
              <w:widowControl/>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电话</w:t>
            </w:r>
          </w:p>
        </w:tc>
        <w:tc>
          <w:tcPr>
            <w:tcW w:w="2075" w:type="dxa"/>
            <w:gridSpan w:val="4"/>
            <w:tcBorders>
              <w:top w:val="single" w:color="auto" w:sz="4" w:space="0"/>
              <w:left w:val="single" w:color="auto" w:sz="4" w:space="0"/>
              <w:bottom w:val="single" w:color="auto" w:sz="4" w:space="0"/>
            </w:tcBorders>
            <w:vAlign w:val="center"/>
          </w:tcPr>
          <w:p>
            <w:pPr>
              <w:widowControl/>
              <w:spacing w:line="360" w:lineRule="exact"/>
              <w:jc w:val="left"/>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619" w:hRule="atLeast"/>
          <w:jc w:val="center"/>
        </w:trPr>
        <w:tc>
          <w:tcPr>
            <w:tcW w:w="12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学习经历（自高中起填写）</w:t>
            </w:r>
          </w:p>
        </w:tc>
        <w:tc>
          <w:tcPr>
            <w:tcW w:w="8881" w:type="dxa"/>
            <w:gridSpan w:val="18"/>
            <w:tcBorders>
              <w:top w:val="single" w:color="auto" w:sz="4" w:space="0"/>
              <w:left w:val="single" w:color="auto" w:sz="4" w:space="0"/>
              <w:bottom w:val="single" w:color="auto" w:sz="4" w:space="0"/>
            </w:tcBorders>
            <w:vAlign w:val="top"/>
          </w:tcPr>
          <w:p>
            <w:pPr>
              <w:widowControl/>
              <w:spacing w:line="36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（按起始时间、毕业学校、专业、学历及学位顺序填写，可注明期间担任的主要职务）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3462" w:hRule="exact"/>
          <w:jc w:val="center"/>
        </w:trPr>
        <w:tc>
          <w:tcPr>
            <w:tcW w:w="998" w:type="dxa"/>
            <w:tcBorders>
              <w:top w:val="single" w:color="auto" w:sz="4" w:space="0"/>
              <w:bottom w:val="single" w:color="auto" w:sz="4" w:space="0"/>
              <w:right w:val="single" w:color="auto" w:sz="4" w:space="0"/>
            </w:tcBorders>
            <w:textDirection w:val="tbRlV"/>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工作经历</w:t>
            </w:r>
          </w:p>
        </w:tc>
        <w:tc>
          <w:tcPr>
            <w:tcW w:w="9163" w:type="dxa"/>
            <w:gridSpan w:val="19"/>
            <w:tcBorders>
              <w:top w:val="single" w:color="auto" w:sz="4" w:space="0"/>
              <w:left w:val="single" w:color="auto" w:sz="4" w:space="0"/>
              <w:bottom w:val="single" w:color="auto" w:sz="4" w:space="0"/>
            </w:tcBorders>
            <w:vAlign w:val="top"/>
          </w:tcPr>
          <w:p>
            <w:pPr>
              <w:widowControl/>
              <w:spacing w:line="36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t>（按起始时间、工作单位、岗位、担任职务顺序填写）</w:t>
            </w:r>
          </w:p>
          <w:p>
            <w:pPr>
              <w:widowControl/>
              <w:spacing w:line="360" w:lineRule="exact"/>
              <w:jc w:val="left"/>
              <w:rPr>
                <w:rFonts w:ascii="仿宋_GB2312" w:hAnsi="仿宋_GB2312" w:eastAsia="仿宋_GB2312" w:cs="仿宋_GB2312"/>
                <w:bCs/>
                <w:sz w:val="24"/>
              </w:rPr>
            </w:pPr>
          </w:p>
          <w:p>
            <w:pPr>
              <w:widowControl/>
              <w:spacing w:line="360" w:lineRule="exact"/>
              <w:jc w:val="left"/>
              <w:rPr>
                <w:rFonts w:ascii="仿宋_GB2312" w:hAnsi="仿宋_GB2312" w:eastAsia="仿宋_GB2312" w:cs="仿宋_GB2312"/>
                <w:bCs/>
                <w:sz w:val="24"/>
              </w:rPr>
            </w:pPr>
          </w:p>
          <w:p>
            <w:pPr>
              <w:widowControl/>
              <w:spacing w:line="360" w:lineRule="exact"/>
              <w:jc w:val="left"/>
              <w:rPr>
                <w:rFonts w:ascii="仿宋_GB2312" w:hAnsi="仿宋_GB2312" w:eastAsia="仿宋_GB2312" w:cs="仿宋_GB2312"/>
                <w:bCs/>
                <w:sz w:val="24"/>
              </w:rPr>
            </w:pPr>
          </w:p>
          <w:p>
            <w:pPr>
              <w:widowControl/>
              <w:spacing w:line="360" w:lineRule="exact"/>
              <w:jc w:val="left"/>
              <w:rPr>
                <w:rFonts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858" w:hRule="atLeast"/>
          <w:jc w:val="center"/>
        </w:trPr>
        <w:tc>
          <w:tcPr>
            <w:tcW w:w="998" w:type="dxa"/>
            <w:vMerge w:val="restart"/>
            <w:tcBorders>
              <w:top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Cs/>
                <w:sz w:val="24"/>
              </w:rPr>
            </w:pPr>
            <w:r>
              <w:rPr>
                <w:rFonts w:hint="eastAsia" w:ascii="仿宋_GB2312" w:hAnsi="仿宋_GB2312" w:eastAsia="仿宋_GB2312" w:cs="仿宋_GB2312"/>
                <w:bCs/>
                <w:sz w:val="24"/>
              </w:rPr>
              <w:t>家庭主要成员及重要社  会关系</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pStyle w:val="18"/>
              <w:tabs>
                <w:tab w:val="left" w:pos="327"/>
                <w:tab w:val="left" w:pos="732"/>
              </w:tabs>
              <w:spacing w:line="3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称谓</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1280"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出生年月</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政治</w:t>
            </w:r>
          </w:p>
          <w:p>
            <w:pPr>
              <w:pStyle w:val="18"/>
              <w:spacing w:line="3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面貌</w:t>
            </w:r>
          </w:p>
        </w:tc>
        <w:tc>
          <w:tcPr>
            <w:tcW w:w="4059" w:type="dxa"/>
            <w:gridSpan w:val="6"/>
            <w:tcBorders>
              <w:top w:val="single" w:color="auto" w:sz="4" w:space="0"/>
              <w:left w:val="single" w:color="auto" w:sz="4" w:space="0"/>
              <w:bottom w:val="single" w:color="auto" w:sz="4" w:space="0"/>
            </w:tcBorders>
            <w:vAlign w:val="center"/>
          </w:tcPr>
          <w:p>
            <w:pPr>
              <w:pStyle w:val="18"/>
              <w:tabs>
                <w:tab w:val="left" w:pos="575"/>
              </w:tabs>
              <w:spacing w:line="360" w:lineRule="exact"/>
              <w:jc w:val="center"/>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工作单位及职务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80"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4059" w:type="dxa"/>
            <w:gridSpan w:val="6"/>
            <w:tcBorders>
              <w:top w:val="single" w:color="auto" w:sz="4" w:space="0"/>
              <w:left w:val="single" w:color="auto" w:sz="4" w:space="0"/>
              <w:bottom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80"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4059" w:type="dxa"/>
            <w:gridSpan w:val="6"/>
            <w:tcBorders>
              <w:top w:val="single" w:color="auto" w:sz="4" w:space="0"/>
              <w:left w:val="single" w:color="auto" w:sz="4" w:space="0"/>
              <w:bottom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80"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4059" w:type="dxa"/>
            <w:gridSpan w:val="6"/>
            <w:tcBorders>
              <w:top w:val="single" w:color="auto" w:sz="4" w:space="0"/>
              <w:left w:val="single" w:color="auto" w:sz="4" w:space="0"/>
              <w:bottom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80"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4059" w:type="dxa"/>
            <w:gridSpan w:val="6"/>
            <w:tcBorders>
              <w:top w:val="single" w:color="auto" w:sz="4" w:space="0"/>
              <w:left w:val="single" w:color="auto" w:sz="4" w:space="0"/>
              <w:bottom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1280" w:type="dxa"/>
            <w:gridSpan w:val="4"/>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c>
          <w:tcPr>
            <w:tcW w:w="4059" w:type="dxa"/>
            <w:gridSpan w:val="6"/>
            <w:tcBorders>
              <w:top w:val="single" w:color="auto" w:sz="4" w:space="0"/>
              <w:left w:val="single" w:color="auto" w:sz="4" w:space="0"/>
              <w:bottom w:val="single" w:color="auto" w:sz="4" w:space="0"/>
            </w:tcBorders>
            <w:vAlign w:val="center"/>
          </w:tcPr>
          <w:p>
            <w:pPr>
              <w:pStyle w:val="18"/>
              <w:spacing w:line="360" w:lineRule="exact"/>
              <w:ind w:firstLine="6871" w:firstLineChars="2863"/>
              <w:textAlignment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621" w:hRule="exact"/>
          <w:jc w:val="center"/>
        </w:trPr>
        <w:tc>
          <w:tcPr>
            <w:tcW w:w="998" w:type="dxa"/>
            <w:tcBorders>
              <w:top w:val="single" w:color="auto" w:sz="4" w:space="0"/>
              <w:bottom w:val="single" w:color="auto" w:sz="4" w:space="0"/>
              <w:right w:val="single" w:color="auto" w:sz="4" w:space="0"/>
            </w:tcBorders>
            <w:textDirection w:val="tbRlV"/>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本人承诺</w:t>
            </w:r>
          </w:p>
        </w:tc>
        <w:tc>
          <w:tcPr>
            <w:tcW w:w="9163" w:type="dxa"/>
            <w:gridSpan w:val="19"/>
            <w:tcBorders>
              <w:top w:val="single" w:color="auto" w:sz="4" w:space="0"/>
              <w:left w:val="single" w:color="auto" w:sz="4" w:space="0"/>
              <w:bottom w:val="single" w:color="auto" w:sz="4" w:space="0"/>
            </w:tcBorders>
            <w:vAlign w:val="center"/>
          </w:tcPr>
          <w:p>
            <w:pPr>
              <w:pStyle w:val="18"/>
              <w:spacing w:line="360" w:lineRule="exact"/>
              <w:textAlignment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本报名表所填写的信息准确无误，所提交的证件、资料、照片真实有效，若有虚假，所产生的一切后果由本人承担。 报名后本人联系方式保持畅通，如在面试、考察、体检等环节，电话联系方式不畅通，所产生的一切后果由本人承担。</w:t>
            </w:r>
          </w:p>
          <w:p>
            <w:pPr>
              <w:pStyle w:val="18"/>
              <w:spacing w:line="360" w:lineRule="exact"/>
              <w:textAlignment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报名人（签名）：            是否同意调剂岗位：是（），否（）。</w:t>
            </w:r>
          </w:p>
          <w:p>
            <w:pPr>
              <w:pStyle w:val="18"/>
              <w:spacing w:line="360" w:lineRule="exact"/>
              <w:textAlignment w:val="center"/>
              <w:rPr>
                <w:rFonts w:ascii="仿宋_GB2312" w:hAnsi="仿宋_GB2312" w:eastAsia="仿宋_GB2312" w:cs="仿宋_GB2312"/>
                <w:b/>
                <w:sz w:val="24"/>
                <w:szCs w:val="24"/>
              </w:rPr>
            </w:pPr>
          </w:p>
          <w:p>
            <w:pPr>
              <w:widowControl/>
              <w:spacing w:line="360" w:lineRule="exact"/>
              <w:jc w:val="left"/>
              <w:rPr>
                <w:rFonts w:ascii="仿宋_GB2312" w:hAnsi="仿宋_GB2312" w:eastAsia="仿宋_GB2312" w:cs="仿宋_GB2312"/>
                <w:b/>
                <w:sz w:val="24"/>
              </w:rPr>
            </w:pPr>
          </w:p>
          <w:p>
            <w:pPr>
              <w:pStyle w:val="18"/>
              <w:spacing w:line="360" w:lineRule="exact"/>
              <w:textAlignment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873" w:hRule="atLeast"/>
          <w:jc w:val="center"/>
        </w:trPr>
        <w:tc>
          <w:tcPr>
            <w:tcW w:w="1280" w:type="dxa"/>
            <w:gridSpan w:val="2"/>
            <w:tcBorders>
              <w:top w:val="single" w:color="auto" w:sz="4" w:space="0"/>
              <w:bottom w:val="single" w:color="auto" w:sz="4" w:space="0"/>
              <w:right w:val="single" w:color="auto" w:sz="4" w:space="0"/>
            </w:tcBorders>
            <w:textDirection w:val="tbRlV"/>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报考单位资格初审意见</w:t>
            </w:r>
          </w:p>
        </w:tc>
        <w:tc>
          <w:tcPr>
            <w:tcW w:w="8881" w:type="dxa"/>
            <w:gridSpan w:val="18"/>
            <w:tcBorders>
              <w:top w:val="single" w:color="auto" w:sz="4" w:space="0"/>
              <w:left w:val="single" w:color="auto" w:sz="4" w:space="0"/>
              <w:bottom w:val="single" w:color="auto" w:sz="4" w:space="0"/>
            </w:tcBorders>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exact"/>
              <w:jc w:val="center"/>
              <w:rPr>
                <w:rFonts w:hint="eastAsia" w:ascii="仿宋_GB2312" w:hAnsi="仿宋_GB2312" w:eastAsia="仿宋_GB2312" w:cs="仿宋_GB2312"/>
                <w:sz w:val="24"/>
              </w:rPr>
            </w:pPr>
          </w:p>
          <w:p>
            <w:pPr>
              <w:spacing w:line="360" w:lineRule="exact"/>
              <w:jc w:val="center"/>
              <w:rPr>
                <w:rFonts w:hint="eastAsia" w:ascii="仿宋_GB2312" w:hAnsi="仿宋_GB2312" w:eastAsia="仿宋_GB2312" w:cs="仿宋_GB2312"/>
                <w:sz w:val="24"/>
              </w:rPr>
            </w:pPr>
          </w:p>
          <w:p>
            <w:pPr>
              <w:spacing w:line="360" w:lineRule="exact"/>
              <w:ind w:right="480" w:firstLine="5760" w:firstLineChars="2400"/>
              <w:rPr>
                <w:rFonts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943" w:hRule="atLeast"/>
          <w:jc w:val="center"/>
        </w:trPr>
        <w:tc>
          <w:tcPr>
            <w:tcW w:w="1280" w:type="dxa"/>
            <w:gridSpan w:val="2"/>
            <w:tcBorders>
              <w:top w:val="single" w:color="auto" w:sz="4" w:space="0"/>
              <w:right w:val="single" w:color="auto" w:sz="4" w:space="0"/>
            </w:tcBorders>
            <w:textDirection w:val="tbRlV"/>
            <w:vAlign w:val="center"/>
          </w:tcPr>
          <w:p>
            <w:pPr>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组织人社部门资格复审意见</w:t>
            </w:r>
          </w:p>
        </w:tc>
        <w:tc>
          <w:tcPr>
            <w:tcW w:w="8881" w:type="dxa"/>
            <w:gridSpan w:val="18"/>
            <w:tcBorders>
              <w:top w:val="single" w:color="auto" w:sz="4" w:space="0"/>
              <w:left w:val="single" w:color="auto" w:sz="4" w:space="0"/>
            </w:tcBorders>
            <w:vAlign w:val="center"/>
          </w:tcPr>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rPr>
                <w:rFonts w:ascii="仿宋_GB2312" w:hAnsi="仿宋_GB2312" w:eastAsia="仿宋_GB2312" w:cs="仿宋_GB2312"/>
                <w:sz w:val="24"/>
              </w:rPr>
            </w:pPr>
          </w:p>
          <w:p>
            <w:pPr>
              <w:spacing w:line="360" w:lineRule="exact"/>
              <w:ind w:firstLine="5760" w:firstLineChars="2400"/>
              <w:rPr>
                <w:rFonts w:ascii="仿宋_GB2312" w:hAnsi="仿宋_GB2312" w:eastAsia="仿宋_GB2312" w:cs="仿宋_GB2312"/>
                <w:sz w:val="24"/>
              </w:rPr>
            </w:pPr>
            <w:r>
              <w:rPr>
                <w:rFonts w:hint="eastAsia" w:ascii="仿宋_GB2312" w:hAnsi="仿宋_GB2312" w:eastAsia="仿宋_GB2312" w:cs="仿宋_GB2312"/>
                <w:sz w:val="24"/>
              </w:rPr>
              <w:t xml:space="preserve"> （盖章）  </w:t>
            </w:r>
          </w:p>
          <w:p>
            <w:pPr>
              <w:tabs>
                <w:tab w:val="left" w:pos="2230"/>
              </w:tabs>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pacing w:line="560" w:lineRule="exact"/>
        <w:rPr>
          <w:rFonts w:hint="eastAsia" w:ascii="仿宋_GB2312" w:hAnsi="仿宋_GB2312" w:eastAsia="仿宋_GB2312" w:cs="仿宋_GB2312"/>
          <w:b/>
          <w:kern w:val="0"/>
          <w:sz w:val="24"/>
          <w:szCs w:val="24"/>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p>
      <w:pPr>
        <w:ind w:firstLine="600" w:firstLineChars="200"/>
        <w:rPr>
          <w:rFonts w:ascii="仿宋_GB2312" w:hAnsi="Tahoma" w:eastAsia="仿宋_GB2312" w:cs="Tahoma"/>
          <w:sz w:val="30"/>
          <w:szCs w:val="30"/>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04CFB"/>
    <w:multiLevelType w:val="multilevel"/>
    <w:tmpl w:val="2C404CF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0F"/>
    <w:rsid w:val="0015160F"/>
    <w:rsid w:val="001D0265"/>
    <w:rsid w:val="001E3709"/>
    <w:rsid w:val="00246C06"/>
    <w:rsid w:val="00335242"/>
    <w:rsid w:val="00344EFF"/>
    <w:rsid w:val="003750CF"/>
    <w:rsid w:val="003E128A"/>
    <w:rsid w:val="0040722F"/>
    <w:rsid w:val="00472D2A"/>
    <w:rsid w:val="0047395D"/>
    <w:rsid w:val="004752DF"/>
    <w:rsid w:val="00475346"/>
    <w:rsid w:val="004A2F32"/>
    <w:rsid w:val="004C5C9B"/>
    <w:rsid w:val="00561906"/>
    <w:rsid w:val="00561D62"/>
    <w:rsid w:val="005C6CD6"/>
    <w:rsid w:val="005E54D2"/>
    <w:rsid w:val="00623888"/>
    <w:rsid w:val="0063140F"/>
    <w:rsid w:val="00645347"/>
    <w:rsid w:val="00673F8D"/>
    <w:rsid w:val="006B04D4"/>
    <w:rsid w:val="006E33C3"/>
    <w:rsid w:val="006F795F"/>
    <w:rsid w:val="00702439"/>
    <w:rsid w:val="007243DC"/>
    <w:rsid w:val="00736CD5"/>
    <w:rsid w:val="00742A03"/>
    <w:rsid w:val="0074768E"/>
    <w:rsid w:val="008627A4"/>
    <w:rsid w:val="00885D6A"/>
    <w:rsid w:val="008C084C"/>
    <w:rsid w:val="00911B66"/>
    <w:rsid w:val="00953C13"/>
    <w:rsid w:val="009A3958"/>
    <w:rsid w:val="00A6110A"/>
    <w:rsid w:val="00A91B5A"/>
    <w:rsid w:val="00AA05AD"/>
    <w:rsid w:val="00B22669"/>
    <w:rsid w:val="00BC20C1"/>
    <w:rsid w:val="00C364BC"/>
    <w:rsid w:val="00C41FF0"/>
    <w:rsid w:val="00C421E5"/>
    <w:rsid w:val="00C4297F"/>
    <w:rsid w:val="00CB0892"/>
    <w:rsid w:val="00D1169F"/>
    <w:rsid w:val="00D125F8"/>
    <w:rsid w:val="00DB6398"/>
    <w:rsid w:val="00DC4E82"/>
    <w:rsid w:val="00E06923"/>
    <w:rsid w:val="00E1739D"/>
    <w:rsid w:val="00E30CD7"/>
    <w:rsid w:val="00E31627"/>
    <w:rsid w:val="00E74B4E"/>
    <w:rsid w:val="00EA6672"/>
    <w:rsid w:val="00EC1110"/>
    <w:rsid w:val="00ED010A"/>
    <w:rsid w:val="00F21683"/>
    <w:rsid w:val="00F24E1B"/>
    <w:rsid w:val="00F45165"/>
    <w:rsid w:val="2EB97CAF"/>
    <w:rsid w:val="384475D2"/>
    <w:rsid w:val="3D5466F6"/>
    <w:rsid w:val="55A60C15"/>
    <w:rsid w:val="6E0C5C16"/>
    <w:rsid w:val="72B2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rFonts w:ascii="Times New Roman" w:hAnsi="Times New Roman" w:eastAsia="宋体" w:cs="Times New Roman"/>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Hyperlink"/>
    <w:basedOn w:val="7"/>
    <w:qFormat/>
    <w:uiPriority w:val="0"/>
    <w:rPr>
      <w:color w:val="0000FF"/>
      <w:u w:val="single"/>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paragraph" w:customStyle="1" w:styleId="14">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标题 2 Char"/>
    <w:basedOn w:val="7"/>
    <w:link w:val="2"/>
    <w:qFormat/>
    <w:uiPriority w:val="9"/>
    <w:rPr>
      <w:rFonts w:ascii="宋体" w:hAnsi="宋体" w:eastAsia="宋体" w:cs="宋体"/>
      <w:b/>
      <w:bCs/>
      <w:kern w:val="0"/>
      <w:sz w:val="36"/>
      <w:szCs w:val="36"/>
    </w:rPr>
  </w:style>
  <w:style w:type="paragraph" w:customStyle="1" w:styleId="16">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7"/>
    <w:link w:val="3"/>
    <w:semiHidden/>
    <w:qFormat/>
    <w:uiPriority w:val="99"/>
    <w:rPr>
      <w:rFonts w:ascii="Times New Roman" w:hAnsi="Times New Roman" w:eastAsia="宋体" w:cs="Times New Roman"/>
      <w:sz w:val="18"/>
      <w:szCs w:val="18"/>
    </w:rPr>
  </w:style>
  <w:style w:type="paragraph" w:customStyle="1" w:styleId="18">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482</Words>
  <Characters>2749</Characters>
  <Lines>22</Lines>
  <Paragraphs>6</Paragraphs>
  <TotalTime>1</TotalTime>
  <ScaleCrop>false</ScaleCrop>
  <LinksUpToDate>false</LinksUpToDate>
  <CharactersWithSpaces>3225</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2018-11-14T08:03:00Z</dcterms:created>
  <dc:creator>Sky123.Org</dc:creator>
  <cp:lastModifiedBy>Administrator</cp:lastModifiedBy>
  <cp:lastPrinted>2018-11-14T07:57:00Z</cp:lastPrinted>
  <dcterms:modified xsi:type="dcterms:W3CDTF">2018-11-15T00:25:24Z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