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区十一届人大四次会议材料</w:t>
      </w:r>
    </w:p>
    <w:p>
      <w:pPr>
        <w:pStyle w:val="13"/>
        <w:keepNext w:val="0"/>
        <w:keepLines w:val="0"/>
        <w:pageBreakBefore w:val="0"/>
        <w:widowControl w:val="0"/>
        <w:kinsoku/>
        <w:wordWrap/>
        <w:overflowPunct/>
        <w:topLinePunct w:val="0"/>
        <w:autoSpaceDE/>
        <w:autoSpaceDN/>
        <w:bidi w:val="0"/>
        <w:adjustRightInd/>
        <w:snapToGrid/>
        <w:spacing w:after="318" w:afterLines="100" w:line="600" w:lineRule="exact"/>
        <w:ind w:left="0" w:leftChars="0" w:firstLine="1205" w:firstLineChars="400"/>
        <w:textAlignment w:val="auto"/>
        <w:rPr>
          <w:rFonts w:hint="default" w:asciiTheme="majorEastAsia" w:hAnsiTheme="majorEastAsia" w:eastAsiaTheme="majorEastAsia" w:cstheme="majorEastAsia"/>
          <w:b/>
          <w:bCs/>
          <w:color w:val="000000" w:themeColor="text1"/>
          <w:sz w:val="30"/>
          <w:szCs w:val="30"/>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0"/>
          <w:szCs w:val="30"/>
          <w:highlight w:val="none"/>
          <w:lang w:val="en-US" w:eastAsia="zh-CN"/>
          <w14:textFill>
            <w14:solidFill>
              <w14:schemeClr w14:val="tx1"/>
            </w14:solidFill>
          </w14:textFill>
        </w:rPr>
        <w:t>A-9</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华文中宋" w:hAnsi="华文中宋" w:eastAsia="华文中宋" w:cs="华文中宋"/>
          <w:color w:val="000000" w:themeColor="text1"/>
          <w:kern w:val="0"/>
          <w:sz w:val="44"/>
          <w:szCs w:val="44"/>
          <w:highlight w:val="none"/>
          <w14:textFill>
            <w14:solidFill>
              <w14:schemeClr w14:val="tx1"/>
            </w14:solidFill>
          </w14:textFill>
        </w:rPr>
      </w:pPr>
      <w:r>
        <w:rPr>
          <w:rFonts w:hint="eastAsia" w:ascii="华文中宋" w:hAnsi="华文中宋" w:eastAsia="华文中宋" w:cs="华文中宋"/>
          <w:color w:val="000000" w:themeColor="text1"/>
          <w:kern w:val="0"/>
          <w:sz w:val="44"/>
          <w:szCs w:val="44"/>
          <w:highlight w:val="none"/>
          <w:lang w:eastAsia="zh-CN"/>
          <w14:textFill>
            <w14:solidFill>
              <w14:schemeClr w14:val="tx1"/>
            </w14:solidFill>
          </w14:textFill>
        </w:rPr>
        <w:t>零陵区</w:t>
      </w:r>
      <w:r>
        <w:rPr>
          <w:rFonts w:hint="eastAsia" w:ascii="华文中宋" w:hAnsi="华文中宋" w:eastAsia="华文中宋" w:cs="华文中宋"/>
          <w:color w:val="000000" w:themeColor="text1"/>
          <w:kern w:val="0"/>
          <w:sz w:val="44"/>
          <w:szCs w:val="44"/>
          <w:highlight w:val="none"/>
          <w14:textFill>
            <w14:solidFill>
              <w14:schemeClr w14:val="tx1"/>
            </w14:solidFill>
          </w14:textFill>
        </w:rPr>
        <w:t>202</w:t>
      </w:r>
      <w:r>
        <w:rPr>
          <w:rFonts w:hint="eastAsia" w:ascii="华文中宋" w:hAnsi="华文中宋" w:eastAsia="华文中宋" w:cs="华文中宋"/>
          <w:color w:val="000000" w:themeColor="text1"/>
          <w:kern w:val="0"/>
          <w:sz w:val="44"/>
          <w:szCs w:val="44"/>
          <w:highlight w:val="none"/>
          <w:lang w:val="en-US" w:eastAsia="zh-CN"/>
          <w14:textFill>
            <w14:solidFill>
              <w14:schemeClr w14:val="tx1"/>
            </w14:solidFill>
          </w14:textFill>
        </w:rPr>
        <w:t>4</w:t>
      </w:r>
      <w:r>
        <w:rPr>
          <w:rFonts w:hint="eastAsia" w:ascii="华文中宋" w:hAnsi="华文中宋" w:eastAsia="华文中宋" w:cs="华文中宋"/>
          <w:color w:val="000000" w:themeColor="text1"/>
          <w:kern w:val="0"/>
          <w:sz w:val="44"/>
          <w:szCs w:val="44"/>
          <w:highlight w:val="none"/>
          <w14:textFill>
            <w14:solidFill>
              <w14:schemeClr w14:val="tx1"/>
            </w14:solidFill>
          </w14:textFill>
        </w:rPr>
        <w:t>年国民经济和社会发展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华文中宋" w:hAnsi="华文中宋" w:eastAsia="华文中宋" w:cs="华文中宋"/>
          <w:color w:val="000000" w:themeColor="text1"/>
          <w:kern w:val="0"/>
          <w:sz w:val="44"/>
          <w:szCs w:val="44"/>
          <w:highlight w:val="none"/>
          <w14:textFill>
            <w14:solidFill>
              <w14:schemeClr w14:val="tx1"/>
            </w14:solidFill>
          </w14:textFill>
        </w:rPr>
      </w:pPr>
      <w:r>
        <w:rPr>
          <w:rFonts w:hint="eastAsia" w:ascii="华文中宋" w:hAnsi="华文中宋" w:eastAsia="华文中宋" w:cs="华文中宋"/>
          <w:color w:val="000000" w:themeColor="text1"/>
          <w:kern w:val="0"/>
          <w:sz w:val="44"/>
          <w:szCs w:val="44"/>
          <w:highlight w:val="none"/>
          <w14:textFill>
            <w14:solidFill>
              <w14:schemeClr w14:val="tx1"/>
            </w14:solidFill>
          </w14:textFill>
        </w:rPr>
        <w:t>计划执行情况与202</w:t>
      </w:r>
      <w:r>
        <w:rPr>
          <w:rFonts w:hint="eastAsia" w:ascii="华文中宋" w:hAnsi="华文中宋" w:eastAsia="华文中宋" w:cs="华文中宋"/>
          <w:color w:val="000000" w:themeColor="text1"/>
          <w:kern w:val="0"/>
          <w:sz w:val="44"/>
          <w:szCs w:val="44"/>
          <w:highlight w:val="none"/>
          <w:lang w:val="en-US" w:eastAsia="zh-CN"/>
          <w14:textFill>
            <w14:solidFill>
              <w14:schemeClr w14:val="tx1"/>
            </w14:solidFill>
          </w14:textFill>
        </w:rPr>
        <w:t>5</w:t>
      </w:r>
      <w:r>
        <w:rPr>
          <w:rFonts w:hint="eastAsia" w:ascii="华文中宋" w:hAnsi="华文中宋" w:eastAsia="华文中宋" w:cs="华文中宋"/>
          <w:color w:val="000000" w:themeColor="text1"/>
          <w:kern w:val="0"/>
          <w:sz w:val="44"/>
          <w:szCs w:val="44"/>
          <w:highlight w:val="none"/>
          <w14:textFill>
            <w14:solidFill>
              <w14:schemeClr w14:val="tx1"/>
            </w14:solidFill>
          </w14:textFill>
        </w:rPr>
        <w:t>年国民经济和社会</w:t>
      </w:r>
    </w:p>
    <w:p>
      <w:pPr>
        <w:keepNext w:val="0"/>
        <w:keepLines w:val="0"/>
        <w:pageBreakBefore w:val="0"/>
        <w:widowControl w:val="0"/>
        <w:kinsoku/>
        <w:wordWrap/>
        <w:overflowPunct/>
        <w:topLinePunct w:val="0"/>
        <w:autoSpaceDE/>
        <w:autoSpaceDN/>
        <w:bidi w:val="0"/>
        <w:adjustRightInd/>
        <w:snapToGrid/>
        <w:spacing w:after="318" w:afterLines="100" w:line="600" w:lineRule="exact"/>
        <w:jc w:val="center"/>
        <w:textAlignment w:val="auto"/>
        <w:outlineLvl w:val="0"/>
        <w:rPr>
          <w:rFonts w:hint="eastAsia" w:ascii="华文中宋" w:hAnsi="华文中宋" w:eastAsia="华文中宋" w:cs="华文中宋"/>
          <w:color w:val="000000" w:themeColor="text1"/>
          <w:kern w:val="0"/>
          <w:sz w:val="44"/>
          <w:szCs w:val="44"/>
          <w:highlight w:val="none"/>
          <w14:textFill>
            <w14:solidFill>
              <w14:schemeClr w14:val="tx1"/>
            </w14:solidFill>
          </w14:textFill>
        </w:rPr>
      </w:pPr>
      <w:r>
        <w:rPr>
          <w:rFonts w:hint="eastAsia" w:ascii="华文中宋" w:hAnsi="华文中宋" w:eastAsia="华文中宋" w:cs="华文中宋"/>
          <w:color w:val="000000" w:themeColor="text1"/>
          <w:kern w:val="0"/>
          <w:sz w:val="44"/>
          <w:szCs w:val="44"/>
          <w:highlight w:val="none"/>
          <w14:textFill>
            <w14:solidFill>
              <w14:schemeClr w14:val="tx1"/>
            </w14:solidFill>
          </w14:textFill>
        </w:rPr>
        <w:t>发展计划草案的报告</w:t>
      </w:r>
    </w:p>
    <w:p>
      <w:pPr>
        <w:pStyle w:val="20"/>
        <w:keepNext w:val="0"/>
        <w:keepLines w:val="0"/>
        <w:pageBreakBefore w:val="0"/>
        <w:widowControl w:val="0"/>
        <w:kinsoku/>
        <w:wordWrap/>
        <w:overflowPunct/>
        <w:topLinePunct w:val="0"/>
        <w:autoSpaceDE/>
        <w:autoSpaceDN/>
        <w:bidi w:val="0"/>
        <w:adjustRightInd/>
        <w:snapToGrid/>
        <w:spacing w:before="0" w:beforeAutospacing="0" w:line="560" w:lineRule="exact"/>
        <w:jc w:val="both"/>
        <w:textAlignment w:val="auto"/>
        <w:rPr>
          <w:rFonts w:hint="default" w:ascii="楷体_GB2312" w:hAnsi="楷体_GB2312" w:eastAsia="楷体_GB2312" w:cs="楷体_GB2312"/>
          <w:b w:val="0"/>
          <w:bCs w:val="0"/>
          <w:color w:val="000000" w:themeColor="text1"/>
          <w:spacing w:val="-17"/>
          <w:sz w:val="30"/>
          <w:szCs w:val="30"/>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17"/>
          <w:sz w:val="30"/>
          <w:szCs w:val="30"/>
          <w:highlight w:val="none"/>
          <w:lang w:val="en-US" w:eastAsia="zh-CN"/>
          <w14:textFill>
            <w14:solidFill>
              <w14:schemeClr w14:val="tx1"/>
            </w14:solidFill>
          </w14:textFill>
        </w:rPr>
        <w:t>—2024年12月29日在永州市零陵区第十一届人民代表大会第四次会议上</w:t>
      </w:r>
    </w:p>
    <w:p>
      <w:pPr>
        <w:pStyle w:val="20"/>
        <w:keepNext w:val="0"/>
        <w:keepLines w:val="0"/>
        <w:pageBreakBefore w:val="0"/>
        <w:widowControl w:val="0"/>
        <w:kinsoku/>
        <w:wordWrap/>
        <w:overflowPunct/>
        <w:topLinePunct w:val="0"/>
        <w:autoSpaceDE/>
        <w:autoSpaceDN/>
        <w:bidi w:val="0"/>
        <w:adjustRightInd/>
        <w:snapToGrid/>
        <w:spacing w:before="0" w:beforeAutospacing="0" w:after="318" w:afterLines="100" w:line="560" w:lineRule="exact"/>
        <w:ind w:left="0" w:leftChars="0" w:firstLine="640" w:firstLineChars="200"/>
        <w:jc w:val="center"/>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零陵区发展和改革局</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局长  谢良辉</w:t>
      </w:r>
    </w:p>
    <w:p>
      <w:pPr>
        <w:keepNext w:val="0"/>
        <w:keepLines w:val="0"/>
        <w:pageBreakBefore w:val="0"/>
        <w:widowControl w:val="0"/>
        <w:kinsoku/>
        <w:wordWrap/>
        <w:overflowPunct/>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各位代表：</w:t>
      </w:r>
    </w:p>
    <w:p>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受区人民政府委托，现将</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年国民经济和社会发展计划执行情况与202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年计划草案报告提请区十</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届人大</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第四</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次会议审议，并请各位政协委员和列席人员提出意见。</w:t>
      </w:r>
    </w:p>
    <w:p>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一、202</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4</w:t>
      </w:r>
      <w:r>
        <w:rPr>
          <w:rFonts w:hint="eastAsia" w:ascii="黑体" w:hAnsi="黑体" w:eastAsia="黑体" w:cs="黑体"/>
          <w:color w:val="000000" w:themeColor="text1"/>
          <w:kern w:val="0"/>
          <w:sz w:val="32"/>
          <w:szCs w:val="32"/>
          <w:highlight w:val="none"/>
          <w14:textFill>
            <w14:solidFill>
              <w14:schemeClr w14:val="tx1"/>
            </w14:solidFill>
          </w14:textFill>
        </w:rPr>
        <w:t>年国民经济和社会发展计划执行情况</w:t>
      </w:r>
    </w:p>
    <w:p>
      <w:pPr>
        <w:keepNext w:val="0"/>
        <w:keepLines w:val="0"/>
        <w:pageBreakBefore w:val="0"/>
        <w:widowControl w:val="0"/>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eastAsia="仿宋_GB2312" w:cs="仿宋_GB2312"/>
          <w:i w:val="0"/>
          <w:iCs w:val="0"/>
          <w:caps w:val="0"/>
          <w:smallCaps w:val="0"/>
          <w:color w:val="000000" w:themeColor="text1"/>
          <w:spacing w:val="0"/>
          <w:sz w:val="32"/>
          <w:szCs w:val="32"/>
          <w:shd w:val="clear" w:color="auto" w:fill="FFFFFF"/>
          <w:lang w:val="en-US" w:eastAsia="zh-CN"/>
          <w14:textFill>
            <w14:solidFill>
              <w14:schemeClr w14:val="tx1"/>
            </w14:solidFill>
          </w14:textFill>
        </w:rPr>
        <w:t>2024年，是中华人民共和国成立75周年，是实现“十四五”规划目标任务的关键一年。全区上下坚持以习近平新时代中国特色社会主义思想为指导，深入贯彻党的二十大和二十届二中、三中全会精神，全面落实习近平总书记考察湖南重要讲话和指示批示精神，扎实推动党中央、国务院决策部署和省委省政府、市委市政府工作要求落实落地，在区委的坚强领导下，区人大、区政协的监督支持下，锚定加快打造“四区两城”，建设“五力零陵”目标，全面落实“十个统筹”，大力实施“八大行动”，较好地完成了区十一届人大三次会议确定的各项目标任务，经济社会高质量发展迈出坚实步伐。</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全年预计实现地区生产总值290亿元，增长5.3%</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，经济总量向300亿元大关靠近，</w:t>
      </w:r>
      <w:r>
        <w:rPr>
          <w:rFonts w:hint="eastAsia" w:ascii="仿宋_GB2312" w:eastAsia="仿宋_GB2312" w:cs="仿宋_GB2312"/>
          <w:i w:val="0"/>
          <w:iCs w:val="0"/>
          <w:caps w:val="0"/>
          <w:smallCaps w:val="0"/>
          <w:color w:val="000000" w:themeColor="text1"/>
          <w:spacing w:val="0"/>
          <w:sz w:val="32"/>
          <w:szCs w:val="32"/>
          <w:shd w:val="clear" w:color="auto" w:fill="FFFFFF"/>
          <w:lang w:val="en-US" w:eastAsia="zh-CN"/>
          <w14:textFill>
            <w14:solidFill>
              <w14:schemeClr w14:val="tx1"/>
            </w14:solidFill>
          </w14:textFill>
        </w:rPr>
        <w:t>稳居全市前3</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。固定资产投资增长10%，为近5年来同期最高水平。社会消费品零售总额增长7.0%左右，</w:t>
      </w:r>
      <w:r>
        <w:rPr>
          <w:rFonts w:hint="eastAsia" w:ascii="仿宋_GB2312" w:eastAsia="仿宋_GB2312" w:cs="仿宋_GB2312"/>
          <w:i w:val="0"/>
          <w:iCs w:val="0"/>
          <w:caps w:val="0"/>
          <w:smallCaps w:val="0"/>
          <w:color w:val="000000" w:themeColor="text1"/>
          <w:spacing w:val="0"/>
          <w:sz w:val="32"/>
          <w:szCs w:val="32"/>
          <w:shd w:val="clear" w:color="auto" w:fill="FFFFFF"/>
          <w:lang w:val="en-US" w:eastAsia="zh-CN"/>
          <w14:textFill>
            <w14:solidFill>
              <w14:schemeClr w14:val="tx1"/>
            </w14:solidFill>
          </w14:textFill>
        </w:rPr>
        <w:t>稳居全市前2，</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规模工业增加值增长6.0%，</w:t>
      </w:r>
      <w:r>
        <w:rPr>
          <w:rFonts w:hint="eastAsia" w:ascii="仿宋_GB2312" w:eastAsia="仿宋_GB2312" w:cs="仿宋_GB2312"/>
          <w:color w:val="auto"/>
          <w:sz w:val="32"/>
          <w:szCs w:val="32"/>
          <w:shd w:val="clear" w:color="auto" w:fill="FFFFFF"/>
        </w:rPr>
        <w:t>地方一般公共预算收入增长1.1%。城乡居民收入分别增长5.3%、6.5%。城镇调查失业率5.3%。</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2024年国</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民经</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济</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和社会发展</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具</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体</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情</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况</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如</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下：</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color w:val="000000" w:themeColor="text1"/>
          <w:sz w:val="32"/>
          <w:szCs w:val="32"/>
          <w:highlight w:val="none"/>
          <w:lang w:eastAsia="zh-CN"/>
          <w14:textFill>
            <w14:solidFill>
              <w14:schemeClr w14:val="tx1"/>
            </w14:solidFill>
          </w14:textFill>
        </w:rPr>
      </w:pPr>
      <w:r>
        <w:rPr>
          <w:rFonts w:hint="eastAsia" w:ascii="楷体" w:hAnsi="楷体" w:eastAsia="楷体" w:cs="楷体"/>
          <w:b/>
          <w:bCs/>
          <w:i w:val="0"/>
          <w:iCs w:val="0"/>
          <w:color w:val="000000" w:themeColor="text1"/>
          <w:spacing w:val="0"/>
          <w:kern w:val="0"/>
          <w:sz w:val="32"/>
          <w:szCs w:val="32"/>
          <w:highlight w:val="none"/>
          <w:vertAlign w:val="baseline"/>
          <w:lang w:val="en-US" w:eastAsia="zh-CN" w:bidi="ar-SA"/>
          <w14:textFill>
            <w14:solidFill>
              <w14:schemeClr w14:val="tx1"/>
            </w14:solidFill>
          </w14:textFill>
        </w:rPr>
        <w:t>1.增动能，强支撑，三大产业稳中有进</w:t>
      </w:r>
      <w:r>
        <w:rPr>
          <w:rFonts w:hint="default" w:ascii="楷体" w:hAnsi="楷体" w:eastAsia="楷体" w:cs="楷体"/>
          <w:b/>
          <w:bCs/>
          <w:i w:val="0"/>
          <w:iCs w:val="0"/>
          <w:color w:val="000000" w:themeColor="text1"/>
          <w:spacing w:val="0"/>
          <w:kern w:val="0"/>
          <w:sz w:val="32"/>
          <w:szCs w:val="32"/>
          <w:highlight w:val="none"/>
          <w:vertAlign w:val="baseline"/>
          <w:lang w:val="en-US" w:eastAsia="zh-CN" w:bidi="ar-SA"/>
          <w14:textFill>
            <w14:solidFill>
              <w14:schemeClr w14:val="tx1"/>
            </w14:solidFill>
          </w14:textFill>
        </w:rPr>
        <w:t>。</w:t>
      </w:r>
      <w:r>
        <w:rPr>
          <w:rFonts w:hint="eastAsia" w:ascii="楷体" w:hAnsi="楷体" w:eastAsia="楷体" w:cs="楷体"/>
          <w:b/>
          <w:bCs/>
          <w:i w:val="0"/>
          <w:iCs w:val="0"/>
          <w:color w:val="000000" w:themeColor="text1"/>
          <w:spacing w:val="0"/>
          <w:kern w:val="0"/>
          <w:sz w:val="32"/>
          <w:szCs w:val="32"/>
          <w:highlight w:val="none"/>
          <w:vertAlign w:val="baseline"/>
          <w:lang w:val="en-US" w:eastAsia="zh-CN" w:bidi="ar-SA"/>
          <w14:textFill>
            <w14:solidFill>
              <w14:schemeClr w14:val="tx1"/>
            </w14:solidFill>
          </w14:textFill>
        </w:rPr>
        <w:t>一是</w:t>
      </w:r>
      <w:r>
        <w:rPr>
          <w:rFonts w:hint="default"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工业</w:t>
      </w:r>
      <w:r>
        <w:rPr>
          <w:rFonts w:hint="eastAsia"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发展势头强劲</w:t>
      </w:r>
      <w:r>
        <w:rPr>
          <w:rFonts w:hint="default"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w:t>
      </w:r>
      <w:r>
        <w:rPr>
          <w:rFonts w:hint="eastAsia" w:ascii="仿宋_GB2312" w:eastAsia="仿宋_GB2312" w:cs="仿宋_GB2312"/>
          <w:i w:val="0"/>
          <w:iCs w:val="0"/>
          <w:caps w:val="0"/>
          <w:smallCaps w:val="0"/>
          <w:color w:val="000000" w:themeColor="text1"/>
          <w:spacing w:val="0"/>
          <w:sz w:val="32"/>
          <w:szCs w:val="32"/>
          <w:shd w:val="clear" w:color="auto" w:fill="FFFFFF"/>
          <w:lang w:val="en-US" w:eastAsia="zh-CN"/>
          <w14:textFill>
            <w14:solidFill>
              <w14:schemeClr w14:val="tx1"/>
            </w14:solidFill>
          </w14:textFill>
        </w:rPr>
        <w:t>园区调扩区经过三年的艰苦努力正式获批，“一区三园”产业发展格局正式形成。铂系稀贵金属加工利用、钽铌锡二次资源利用项目开工建设。金鸥包装、气派家智能制造、AI智能家居装备等17个产业项目建成投产。新增规模工业企业12家、高新技术企业22家、省级专精特新企业11家。全年实现规模工业总产值230亿元，同比增长7%。工业企业实缴税金3.58亿元。鑫城锰业获评“全国绿色工厂”，高新区特优中药材提取入选“省先进制造业产业集群”。</w:t>
      </w:r>
      <w:r>
        <w:rPr>
          <w:rFonts w:hint="eastAsia"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二是</w:t>
      </w:r>
      <w:r>
        <w:rPr>
          <w:rFonts w:hint="default"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农业</w:t>
      </w:r>
      <w:r>
        <w:rPr>
          <w:rFonts w:hint="eastAsia"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发展稳中向好</w:t>
      </w:r>
      <w:r>
        <w:rPr>
          <w:rFonts w:hint="default"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w:t>
      </w:r>
      <w:r>
        <w:rPr>
          <w:rFonts w:hint="eastAsia" w:ascii="仿宋_GB2312" w:eastAsia="仿宋_GB2312"/>
          <w:color w:val="auto"/>
          <w:sz w:val="32"/>
          <w:szCs w:val="32"/>
        </w:rPr>
        <w:t>新建高标准农田2.12万亩，完成耕地恢复3598.8亩</w:t>
      </w:r>
      <w:r>
        <w:rPr>
          <w:rFonts w:hint="eastAsia" w:ascii="仿宋_GB2312" w:eastAsia="仿宋_GB2312"/>
          <w:color w:val="auto"/>
          <w:sz w:val="32"/>
          <w:szCs w:val="32"/>
          <w:lang w:eastAsia="zh-CN"/>
        </w:rPr>
        <w:t>。</w:t>
      </w:r>
      <w:r>
        <w:rPr>
          <w:rFonts w:hint="eastAsia" w:ascii="仿宋_GB2312" w:eastAsia="仿宋_GB2312"/>
          <w:color w:val="auto"/>
          <w:sz w:val="32"/>
          <w:szCs w:val="32"/>
        </w:rPr>
        <w:t>粮食播种面积86.7万亩，总产38.5万吨。建成“千字号”基地5个、“</w:t>
      </w:r>
      <w:r>
        <w:rPr>
          <w:rFonts w:hint="eastAsia" w:ascii="仿宋_GB2312" w:eastAsia="仿宋_GB2312"/>
          <w:color w:val="auto"/>
          <w:sz w:val="32"/>
          <w:szCs w:val="32"/>
          <w:lang w:val="en-US" w:eastAsia="zh-CN"/>
        </w:rPr>
        <w:t>百</w:t>
      </w:r>
      <w:r>
        <w:rPr>
          <w:rFonts w:hint="eastAsia" w:ascii="仿宋_GB2312" w:eastAsia="仿宋_GB2312"/>
          <w:color w:val="auto"/>
          <w:sz w:val="32"/>
          <w:szCs w:val="32"/>
        </w:rPr>
        <w:t>字号”特色基地12个、</w:t>
      </w:r>
      <w:r>
        <w:rPr>
          <w:rFonts w:hint="eastAsia" w:ascii="仿宋_GB2312" w:eastAsia="仿宋_GB2312" w:cs="仿宋_GB2312"/>
          <w:color w:val="auto"/>
          <w:sz w:val="32"/>
          <w:szCs w:val="32"/>
        </w:rPr>
        <w:t>粤港澳大湾区菜篮子基地2个。</w:t>
      </w:r>
      <w:r>
        <w:rPr>
          <w:rFonts w:hint="eastAsia" w:ascii="仿宋_GB2312" w:eastAsia="仿宋_GB2312"/>
          <w:color w:val="auto"/>
          <w:sz w:val="32"/>
          <w:szCs w:val="32"/>
        </w:rPr>
        <w:t>完成蔬菜播种面积43.2万亩，出栏生猪85.8万头、家禽808万羽，水产1.8万吨。新签约5000万元以上农业产业项目6个，规模以上农产品加工企业6家。畜牧业统计监测工作荣获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全国</w:t>
      </w:r>
      <w:r>
        <w:rPr>
          <w:rFonts w:hint="eastAsia" w:ascii="仿宋_GB2312" w:eastAsia="仿宋_GB2312"/>
          <w:color w:val="auto"/>
          <w:sz w:val="32"/>
          <w:szCs w:val="32"/>
        </w:rPr>
        <w:t>优秀生产监测县</w:t>
      </w:r>
      <w:r>
        <w:rPr>
          <w:rFonts w:hint="eastAsia" w:ascii="仿宋_GB2312" w:eastAsia="仿宋_GB2312"/>
          <w:color w:val="auto"/>
          <w:sz w:val="32"/>
          <w:szCs w:val="32"/>
          <w:lang w:eastAsia="zh-CN"/>
        </w:rPr>
        <w:t>”</w:t>
      </w:r>
      <w:r>
        <w:rPr>
          <w:rFonts w:hint="eastAsia" w:ascii="仿宋_GB2312" w:eastAsia="仿宋_GB2312"/>
          <w:color w:val="auto"/>
          <w:sz w:val="32"/>
          <w:szCs w:val="32"/>
        </w:rPr>
        <w:t>和</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全国</w:t>
      </w:r>
      <w:r>
        <w:rPr>
          <w:rFonts w:hint="eastAsia" w:ascii="仿宋_GB2312" w:eastAsia="仿宋_GB2312"/>
          <w:color w:val="auto"/>
          <w:sz w:val="32"/>
          <w:szCs w:val="32"/>
        </w:rPr>
        <w:t>优秀市场监测县</w:t>
      </w:r>
      <w:r>
        <w:rPr>
          <w:rFonts w:hint="eastAsia" w:ascii="仿宋_GB2312" w:eastAsia="仿宋_GB2312"/>
          <w:color w:val="auto"/>
          <w:sz w:val="32"/>
          <w:szCs w:val="32"/>
          <w:lang w:eastAsia="zh-CN"/>
        </w:rPr>
        <w:t>”。</w:t>
      </w:r>
      <w:r>
        <w:rPr>
          <w:rFonts w:hint="eastAsia" w:ascii="仿宋_GB2312" w:eastAsia="仿宋_GB2312"/>
          <w:color w:val="auto"/>
          <w:sz w:val="32"/>
          <w:szCs w:val="32"/>
        </w:rPr>
        <w:t>雅大科技获评</w:t>
      </w:r>
      <w:r>
        <w:rPr>
          <w:rFonts w:hint="eastAsia" w:ascii="仿宋_GB2312" w:eastAsia="仿宋_GB2312"/>
          <w:color w:val="auto"/>
          <w:sz w:val="32"/>
          <w:szCs w:val="32"/>
          <w:lang w:eastAsia="zh-CN"/>
        </w:rPr>
        <w:t>“</w:t>
      </w:r>
      <w:r>
        <w:rPr>
          <w:rFonts w:hint="eastAsia" w:ascii="仿宋_GB2312" w:eastAsia="仿宋_GB2312"/>
          <w:color w:val="auto"/>
          <w:sz w:val="32"/>
          <w:szCs w:val="32"/>
        </w:rPr>
        <w:t>省级农业产业化龙头企业</w:t>
      </w:r>
      <w:r>
        <w:rPr>
          <w:rFonts w:hint="eastAsia" w:ascii="仿宋_GB2312" w:eastAsia="仿宋_GB2312"/>
          <w:color w:val="auto"/>
          <w:sz w:val="32"/>
          <w:szCs w:val="32"/>
          <w:lang w:eastAsia="zh-CN"/>
        </w:rPr>
        <w:t>”。</w:t>
      </w:r>
      <w:r>
        <w:rPr>
          <w:rFonts w:hint="eastAsia" w:ascii="仿宋_GB2312" w:eastAsia="仿宋_GB2312" w:cs="仿宋_GB2312"/>
          <w:color w:val="auto"/>
          <w:sz w:val="32"/>
          <w:szCs w:val="32"/>
          <w:shd w:val="clear" w:color="auto" w:fill="FFFFFF"/>
        </w:rPr>
        <w:t>老芬香鱼稻米荣获</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2024年中部农博会金奖</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w:t>
      </w:r>
      <w:r>
        <w:rPr>
          <w:rFonts w:hint="eastAsia"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三是</w:t>
      </w:r>
      <w:r>
        <w:rPr>
          <w:rFonts w:hint="default"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文旅</w:t>
      </w:r>
      <w:r>
        <w:rPr>
          <w:rFonts w:hint="eastAsia"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发展活力迸发</w:t>
      </w:r>
      <w:r>
        <w:rPr>
          <w:rFonts w:hint="default" w:ascii="仿宋_GB2312" w:hAnsi="宋体" w:eastAsia="仿宋_GB2312" w:cs="仿宋_GB2312"/>
          <w:b/>
          <w:bCs/>
          <w:i w:val="0"/>
          <w:iCs w:val="0"/>
          <w:color w:val="000000" w:themeColor="text1"/>
          <w:kern w:val="0"/>
          <w:sz w:val="32"/>
          <w:szCs w:val="32"/>
          <w:highlight w:val="none"/>
          <w:vertAlign w:val="baseline"/>
          <w:lang w:val="en-US" w:eastAsia="zh-CN" w:bidi="ar-SA"/>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清明访柳·乐游潇湘”“潇湘之源·古建零陵”入选全国乡村旅游精品线路，“柳宗元文化旅游区文旅融合发展案例”入选全国文化遗产旅游“百强案例”。柳子家宴获“天下湘菜·祝融奖”。第五届柳宗元文化旅游周、首届“草圣”怀素书法艺术周、一眼千年·零陵古城cosplay、“王婆说媒”等系列活动火爆出圈。国台办喊话台湾青少年到永州诵读柳宗元《始得西山宴游记》，马英九先生在哈尔滨与台青同胞诵读柳宗元《江雪》。</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val="0"/>
        <w:snapToGrid w:val="0"/>
        <w:spacing w:line="560" w:lineRule="exact"/>
        <w:ind w:firstLine="643" w:firstLineChars="200"/>
        <w:jc w:val="both"/>
        <w:textAlignment w:val="auto"/>
        <w:rPr>
          <w:rStyle w:val="19"/>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Times New Roman" w:hAnsi="Times New Roman" w:eastAsia="楷体" w:cs="Times New Roman"/>
          <w:b/>
          <w:bCs/>
          <w:color w:val="000000" w:themeColor="text1"/>
          <w:spacing w:val="0"/>
          <w:kern w:val="0"/>
          <w:sz w:val="32"/>
          <w:szCs w:val="32"/>
          <w:highlight w:val="none"/>
          <w:lang w:val="en-US" w:eastAsia="zh-CN"/>
          <w14:textFill>
            <w14:solidFill>
              <w14:schemeClr w14:val="tx1"/>
            </w14:solidFill>
          </w14:textFill>
        </w:rPr>
        <w:t>2.</w:t>
      </w:r>
      <w:r>
        <w:rPr>
          <w:rFonts w:hint="eastAsia" w:ascii="Times New Roman" w:hAnsi="Times New Roman" w:eastAsia="楷体" w:cs="Times New Roman"/>
          <w:b/>
          <w:color w:val="000000" w:themeColor="text1"/>
          <w:spacing w:val="0"/>
          <w:kern w:val="0"/>
          <w:sz w:val="32"/>
          <w:szCs w:val="32"/>
          <w:lang w:val="en-US" w:eastAsia="zh-CN" w:bidi="ar-SA"/>
          <w14:textFill>
            <w14:solidFill>
              <w14:schemeClr w14:val="tx1"/>
            </w14:solidFill>
          </w14:textFill>
        </w:rPr>
        <w:t>稳增长，强发展，</w:t>
      </w:r>
      <w:r>
        <w:rPr>
          <w:rFonts w:hint="eastAsia" w:ascii="Times New Roman" w:hAnsi="Times New Roman" w:eastAsia="楷体" w:cs="Times New Roman"/>
          <w:b/>
          <w:bCs/>
          <w:color w:val="000000" w:themeColor="text1"/>
          <w:spacing w:val="0"/>
          <w:kern w:val="0"/>
          <w:sz w:val="32"/>
          <w:szCs w:val="32"/>
          <w:highlight w:val="none"/>
          <w:lang w:val="en-US" w:eastAsia="zh-CN"/>
          <w14:textFill>
            <w14:solidFill>
              <w14:schemeClr w14:val="tx1"/>
            </w14:solidFill>
          </w14:textFill>
        </w:rPr>
        <w:t>经济活力有效释放</w:t>
      </w:r>
      <w:r>
        <w:rPr>
          <w:rFonts w:hint="eastAsia" w:ascii="楷体_GB2312" w:hAnsi="楷体_GB2312" w:eastAsia="楷体_GB2312" w:cs="楷体_GB2312"/>
          <w:b/>
          <w:bCs/>
          <w:color w:val="000000" w:themeColor="text1"/>
          <w:sz w:val="32"/>
          <w:szCs w:val="32"/>
          <w:u w:val="none"/>
          <w:lang w:val="en-US" w:eastAsia="zh-CN"/>
          <w14:textFill>
            <w14:solidFill>
              <w14:schemeClr w14:val="tx1"/>
            </w14:solidFill>
          </w14:textFill>
        </w:rPr>
        <w:t>。</w:t>
      </w:r>
      <w:r>
        <w:rPr>
          <w:rStyle w:val="19"/>
          <w:rFonts w:hint="default" w:ascii="Times New Roman" w:hAnsi="Times New Roman" w:eastAsia="仿宋_GB2312" w:cs="Times New Roman"/>
          <w:color w:val="000000" w:themeColor="text1"/>
          <w:spacing w:val="0"/>
          <w:w w:val="100"/>
          <w:kern w:val="0"/>
          <w:sz w:val="32"/>
          <w:szCs w:val="32"/>
          <w:lang w:val="en-US" w:eastAsia="zh-CN" w:bidi="ar-SA"/>
          <w14:textFill>
            <w14:solidFill>
              <w14:schemeClr w14:val="tx1"/>
            </w14:solidFill>
          </w14:textFill>
        </w:rPr>
        <w:t>主动融入区域发展格局，全面落实发展思路，</w:t>
      </w:r>
      <w:r>
        <w:rPr>
          <w:rStyle w:val="19"/>
          <w:rFonts w:hint="eastAsia" w:ascii="Times New Roman" w:hAnsi="Times New Roman" w:eastAsia="仿宋_GB2312" w:cs="Times New Roman"/>
          <w:color w:val="000000" w:themeColor="text1"/>
          <w:spacing w:val="0"/>
          <w:w w:val="100"/>
          <w:kern w:val="0"/>
          <w:sz w:val="32"/>
          <w:szCs w:val="32"/>
          <w:lang w:val="en-US" w:eastAsia="zh-CN" w:bidi="ar-SA"/>
          <w14:textFill>
            <w14:solidFill>
              <w14:schemeClr w14:val="tx1"/>
            </w14:solidFill>
          </w14:textFill>
        </w:rPr>
        <w:t>扎实推进</w:t>
      </w:r>
      <w:r>
        <w:rPr>
          <w:rStyle w:val="19"/>
          <w:rFonts w:hint="default" w:ascii="Times New Roman" w:hAnsi="Times New Roman" w:eastAsia="仿宋_GB2312" w:cs="Times New Roman"/>
          <w:color w:val="000000" w:themeColor="text1"/>
          <w:spacing w:val="0"/>
          <w:w w:val="100"/>
          <w:kern w:val="0"/>
          <w:sz w:val="32"/>
          <w:szCs w:val="32"/>
          <w:lang w:val="en-US" w:eastAsia="zh-CN" w:bidi="ar-SA"/>
          <w14:textFill>
            <w14:solidFill>
              <w14:schemeClr w14:val="tx1"/>
            </w14:solidFill>
          </w14:textFill>
        </w:rPr>
        <w:t>“</w:t>
      </w:r>
      <w:r>
        <w:rPr>
          <w:rStyle w:val="19"/>
          <w:rFonts w:hint="eastAsia" w:ascii="Times New Roman" w:hAnsi="Times New Roman" w:eastAsia="仿宋_GB2312" w:cs="Times New Roman"/>
          <w:color w:val="000000" w:themeColor="text1"/>
          <w:spacing w:val="0"/>
          <w:w w:val="100"/>
          <w:kern w:val="0"/>
          <w:sz w:val="32"/>
          <w:szCs w:val="32"/>
          <w:lang w:val="en-US" w:eastAsia="zh-CN" w:bidi="ar-SA"/>
          <w14:textFill>
            <w14:solidFill>
              <w14:schemeClr w14:val="tx1"/>
            </w14:solidFill>
          </w14:textFill>
        </w:rPr>
        <w:t>八大行动</w:t>
      </w:r>
      <w:r>
        <w:rPr>
          <w:rStyle w:val="19"/>
          <w:rFonts w:hint="default" w:ascii="Times New Roman" w:hAnsi="Times New Roman" w:eastAsia="仿宋_GB2312" w:cs="Times New Roman"/>
          <w:color w:val="000000" w:themeColor="text1"/>
          <w:spacing w:val="0"/>
          <w:w w:val="100"/>
          <w:kern w:val="0"/>
          <w:sz w:val="32"/>
          <w:szCs w:val="32"/>
          <w:lang w:val="en-US" w:eastAsia="zh-CN" w:bidi="ar-SA"/>
          <w14:textFill>
            <w14:solidFill>
              <w14:schemeClr w14:val="tx1"/>
            </w14:solidFill>
          </w14:textFill>
        </w:rPr>
        <w:t>”，推动经济运行争先进位、质效兼优、向上向好</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hAnsi="宋体" w:eastAsia="仿宋_GB2312" w:cs="仿宋_GB2312"/>
          <w:b/>
          <w:bCs/>
          <w:color w:val="000000" w:themeColor="text1"/>
          <w:kern w:val="0"/>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b/>
          <w:bCs w:val="0"/>
          <w:color w:val="000000" w:themeColor="text1"/>
          <w:spacing w:val="0"/>
          <w:kern w:val="0"/>
          <w:sz w:val="32"/>
          <w:szCs w:val="32"/>
          <w:lang w:val="en-US" w:eastAsia="zh-CN" w:bidi="ar-SA"/>
          <w14:textFill>
            <w14:solidFill>
              <w14:schemeClr w14:val="tx1"/>
            </w14:solidFill>
          </w14:textFill>
        </w:rPr>
        <w:t>项目</w:t>
      </w:r>
      <w:r>
        <w:rPr>
          <w:rFonts w:hint="eastAsia" w:ascii="Times New Roman" w:hAnsi="Times New Roman" w:eastAsia="仿宋_GB2312" w:cs="Times New Roman"/>
          <w:b/>
          <w:bCs w:val="0"/>
          <w:color w:val="000000" w:themeColor="text1"/>
          <w:spacing w:val="0"/>
          <w:kern w:val="0"/>
          <w:sz w:val="32"/>
          <w:szCs w:val="32"/>
          <w:lang w:val="en-US" w:eastAsia="zh-CN" w:bidi="ar-SA"/>
          <w14:textFill>
            <w14:solidFill>
              <w14:schemeClr w14:val="tx1"/>
            </w14:solidFill>
          </w14:textFill>
        </w:rPr>
        <w:t>争</w:t>
      </w:r>
      <w:r>
        <w:rPr>
          <w:rFonts w:hint="default" w:ascii="Times New Roman" w:hAnsi="Times New Roman" w:eastAsia="仿宋_GB2312" w:cs="Times New Roman"/>
          <w:b/>
          <w:bCs w:val="0"/>
          <w:color w:val="000000" w:themeColor="text1"/>
          <w:spacing w:val="0"/>
          <w:kern w:val="0"/>
          <w:sz w:val="32"/>
          <w:szCs w:val="32"/>
          <w:lang w:val="en-US" w:eastAsia="zh-CN" w:bidi="ar-SA"/>
          <w14:textFill>
            <w14:solidFill>
              <w14:schemeClr w14:val="tx1"/>
            </w14:solidFill>
          </w14:textFill>
        </w:rPr>
        <w:t>资</w:t>
      </w:r>
      <w:r>
        <w:rPr>
          <w:rFonts w:hint="eastAsia" w:ascii="Times New Roman" w:hAnsi="Times New Roman" w:eastAsia="仿宋_GB2312" w:cs="Times New Roman"/>
          <w:b/>
          <w:bCs w:val="0"/>
          <w:color w:val="000000" w:themeColor="text1"/>
          <w:spacing w:val="0"/>
          <w:kern w:val="0"/>
          <w:sz w:val="32"/>
          <w:szCs w:val="32"/>
          <w:lang w:val="en-US" w:eastAsia="zh-CN" w:bidi="ar-SA"/>
          <w14:textFill>
            <w14:solidFill>
              <w14:schemeClr w14:val="tx1"/>
            </w14:solidFill>
          </w14:textFill>
        </w:rPr>
        <w:t>蹄疾步稳</w:t>
      </w:r>
      <w:r>
        <w:rPr>
          <w:rFonts w:hint="eastAsia" w:ascii="仿宋_GB2312" w:hAnsi="宋体" w:eastAsia="仿宋_GB2312" w:cs="仿宋_GB2312"/>
          <w:b/>
          <w:bCs/>
          <w:color w:val="000000" w:themeColor="text1"/>
          <w:kern w:val="0"/>
          <w:sz w:val="32"/>
          <w:szCs w:val="32"/>
          <w:highlight w:val="none"/>
          <w:lang w:val="en-US" w:eastAsia="zh-CN"/>
          <w14:textFill>
            <w14:solidFill>
              <w14:schemeClr w14:val="tx1"/>
            </w14:solidFill>
          </w14:textFill>
        </w:rPr>
        <w:t>。项目方面，</w:t>
      </w:r>
      <w:r>
        <w:rPr>
          <w:rFonts w:hint="eastAsia" w:ascii="仿宋_GB2312" w:eastAsia="仿宋_GB2312" w:cs="宋体"/>
          <w:color w:val="000000" w:themeColor="text1"/>
          <w:sz w:val="32"/>
          <w:szCs w:val="32"/>
          <w:lang w:val="en-US" w:eastAsia="zh-CN"/>
          <w14:textFill>
            <w14:solidFill>
              <w14:schemeClr w14:val="tx1"/>
            </w14:solidFill>
          </w14:textFill>
        </w:rPr>
        <w:t>全年铺排重点项目148个，完成年度投资128.8亿元。24个省市重点项目完成年度投资54.7亿元。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争资方面，</w:t>
      </w:r>
      <w:r>
        <w:rPr>
          <w:rFonts w:hint="eastAsia" w:ascii="仿宋_GB2312" w:eastAsia="仿宋_GB2312" w:cs="宋体"/>
          <w:color w:val="000000" w:themeColor="text1"/>
          <w:sz w:val="32"/>
          <w:szCs w:val="32"/>
          <w:lang w:val="en-US" w:eastAsia="zh-CN"/>
          <w14:textFill>
            <w14:solidFill>
              <w14:schemeClr w14:val="tx1"/>
            </w14:solidFill>
          </w14:textFill>
        </w:rPr>
        <w:t>谋划“两重”“两新”项目160个，申请资金6.26亿元。全年争取专项债及一般债15.97亿元、超长期国债项目资金7084万元、中央预算内资金1.48亿元。</w:t>
      </w:r>
      <w:r>
        <w:rPr>
          <w:rFonts w:hint="eastAsia" w:ascii="仿宋_GB2312" w:hAnsi="宋体" w:eastAsia="仿宋_GB2312" w:cs="仿宋_GB2312"/>
          <w:b/>
          <w:bCs/>
          <w:color w:val="000000" w:themeColor="text1"/>
          <w:kern w:val="0"/>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bCs w:val="0"/>
          <w:color w:val="000000" w:themeColor="text1"/>
          <w:spacing w:val="0"/>
          <w:kern w:val="0"/>
          <w:sz w:val="32"/>
          <w:szCs w:val="32"/>
          <w:highlight w:val="none"/>
          <w:lang w:val="en-US" w:eastAsia="zh-CN" w:bidi="ar-SA"/>
          <w14:textFill>
            <w14:solidFill>
              <w14:schemeClr w14:val="tx1"/>
            </w14:solidFill>
          </w14:textFill>
        </w:rPr>
        <w:t>对外贸易扩量提质</w:t>
      </w:r>
      <w:r>
        <w:rPr>
          <w:rFonts w:hint="eastAsia" w:ascii="仿宋_GB2312" w:hAnsi="宋体" w:eastAsia="仿宋_GB2312" w:cs="仿宋_GB2312"/>
          <w:b/>
          <w:bCs/>
          <w:color w:val="000000" w:themeColor="text1"/>
          <w:kern w:val="0"/>
          <w:sz w:val="32"/>
          <w:szCs w:val="32"/>
          <w:highlight w:val="none"/>
          <w:lang w:val="en-US" w:eastAsia="zh-CN"/>
          <w14:textFill>
            <w14:solidFill>
              <w14:schemeClr w14:val="tx1"/>
            </w14:solidFill>
          </w14:textFill>
        </w:rPr>
        <w:t>。</w:t>
      </w:r>
      <w:r>
        <w:rPr>
          <w:rFonts w:hint="eastAsia" w:ascii="仿宋_GB2312" w:eastAsia="仿宋_GB2312"/>
          <w:color w:val="auto"/>
          <w:sz w:val="32"/>
          <w:szCs w:val="32"/>
        </w:rPr>
        <w:t>新增外贸实绩企业3家、外资企业1家</w:t>
      </w:r>
      <w:r>
        <w:rPr>
          <w:rFonts w:hint="eastAsia" w:ascii="仿宋_GB2312" w:eastAsia="仿宋_GB2312"/>
          <w:color w:val="auto"/>
          <w:sz w:val="32"/>
          <w:szCs w:val="32"/>
          <w:lang w:eastAsia="zh-CN"/>
        </w:rPr>
        <w:t>。</w:t>
      </w:r>
      <w:r>
        <w:rPr>
          <w:rFonts w:hint="eastAsia" w:ascii="仿宋_GB2312" w:eastAsia="仿宋_GB2312"/>
          <w:color w:val="auto"/>
          <w:sz w:val="32"/>
          <w:szCs w:val="32"/>
        </w:rPr>
        <w:t>全年完成外贸进出口总额18亿元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其中</w:t>
      </w:r>
      <w:r>
        <w:rPr>
          <w:rFonts w:hint="eastAsia" w:ascii="仿宋_GB2312" w:eastAsia="仿宋_GB2312"/>
          <w:color w:val="auto"/>
          <w:sz w:val="32"/>
          <w:szCs w:val="32"/>
        </w:rPr>
        <w:t>蔬菜出口12亿元。完成外商直接投资440万美元、内联引资72亿元，分别增长62%、13%。区属国有企业腾运贸易公司完成首笔外贸出口业务。</w:t>
      </w:r>
      <w:r>
        <w:rPr>
          <w:rFonts w:hint="eastAsia" w:ascii="Times New Roman" w:hAnsi="Times New Roman" w:eastAsia="仿宋_GB2312" w:cs="Times New Roman"/>
          <w:b/>
          <w:bCs w:val="0"/>
          <w:color w:val="000000" w:themeColor="text1"/>
          <w:spacing w:val="0"/>
          <w:kern w:val="0"/>
          <w:sz w:val="32"/>
          <w:szCs w:val="32"/>
          <w:lang w:val="en-US" w:eastAsia="zh-CN" w:bidi="ar-SA"/>
          <w14:textFill>
            <w14:solidFill>
              <w14:schemeClr w14:val="tx1"/>
            </w14:solidFill>
          </w14:textFill>
        </w:rPr>
        <w:t>三是</w:t>
      </w:r>
      <w:r>
        <w:rPr>
          <w:rFonts w:hint="default" w:ascii="Times New Roman" w:hAnsi="Times New Roman" w:eastAsia="仿宋_GB2312" w:cs="Times New Roman"/>
          <w:b/>
          <w:bCs w:val="0"/>
          <w:color w:val="000000" w:themeColor="text1"/>
          <w:spacing w:val="0"/>
          <w:kern w:val="0"/>
          <w:sz w:val="32"/>
          <w:szCs w:val="32"/>
          <w:lang w:val="en-US" w:eastAsia="zh-CN" w:bidi="ar-SA"/>
          <w14:textFill>
            <w14:solidFill>
              <w14:schemeClr w14:val="tx1"/>
            </w14:solidFill>
          </w14:textFill>
        </w:rPr>
        <w:t>市场消费持续恢复</w:t>
      </w:r>
      <w:r>
        <w:rPr>
          <w:rStyle w:val="19"/>
          <w:rFonts w:hint="default" w:ascii="Times New Roman" w:hAnsi="Times New Roman" w:eastAsia="仿宋_GB2312" w:cs="Times New Roman"/>
          <w:b/>
          <w:bCs/>
          <w:i w:val="0"/>
          <w:iCs w:val="0"/>
          <w:caps w:val="0"/>
          <w:color w:val="000000" w:themeColor="text1"/>
          <w:spacing w:val="0"/>
          <w:w w:val="100"/>
          <w:kern w:val="2"/>
          <w:sz w:val="32"/>
          <w:szCs w:val="32"/>
          <w:highlight w:val="none"/>
          <w:vertAlign w:val="baseline"/>
          <w:lang w:val="en-US" w:eastAsia="zh-CN" w:bidi="ar-SA"/>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坚持把恢复和扩大消费摆在优先位置，</w:t>
      </w:r>
      <w:r>
        <w:rPr>
          <w:rFonts w:hint="eastAsia" w:ascii="仿宋_GB2312" w:eastAsia="仿宋_GB2312" w:cs="宋体"/>
          <w:color w:val="000000" w:themeColor="text1"/>
          <w:sz w:val="32"/>
          <w:szCs w:val="32"/>
          <w:lang w:val="en-US" w:eastAsia="zh-CN"/>
          <w14:textFill>
            <w14:solidFill>
              <w14:schemeClr w14:val="tx1"/>
            </w14:solidFill>
          </w14:textFill>
        </w:rPr>
        <w:t>抢抓“两重”“两新”政策机遇，</w:t>
      </w:r>
      <w:r>
        <w:rPr>
          <w:rFonts w:hint="eastAsia" w:ascii="仿宋_GB2312" w:eastAsia="仿宋_GB2312"/>
          <w:color w:val="auto"/>
          <w:sz w:val="32"/>
          <w:szCs w:val="32"/>
        </w:rPr>
        <w:t>“以旧换新”带动汽车家电销售8亿元，申领补贴7300余万元，排名全市第1，主要做法被省商务厅推介，获央视《共同关注》栏目报道</w:t>
      </w:r>
      <w:r>
        <w:rPr>
          <w:rStyle w:val="19"/>
          <w:rFonts w:hint="default" w:ascii="Times New Roman" w:hAnsi="Times New Roman" w:eastAsia="仿宋_GB2312" w:cs="Times New Roman"/>
          <w:b w:val="0"/>
          <w:bCs w:val="0"/>
          <w:i w:val="0"/>
          <w:iCs w:val="0"/>
          <w:caps w:val="0"/>
          <w:color w:val="000000" w:themeColor="text1"/>
          <w:spacing w:val="0"/>
          <w:w w:val="100"/>
          <w:kern w:val="2"/>
          <w:sz w:val="32"/>
          <w:szCs w:val="32"/>
          <w:highlight w:val="none"/>
          <w:vertAlign w:val="baseline"/>
          <w:lang w:val="en-US" w:eastAsia="zh-CN" w:bidi="ar-SA"/>
          <w14:textFill>
            <w14:solidFill>
              <w14:schemeClr w14:val="tx1"/>
            </w14:solidFill>
          </w14:textFill>
        </w:rPr>
        <w:t>；</w:t>
      </w:r>
      <w:r>
        <w:rPr>
          <w:rStyle w:val="19"/>
          <w:rFonts w:hint="eastAsia" w:ascii="仿宋_GB2312" w:hAnsi="仿宋_GB2312" w:eastAsia="仿宋_GB2312" w:cs="仿宋_GB2312"/>
          <w:b w:val="0"/>
          <w:bCs w:val="0"/>
          <w:i w:val="0"/>
          <w:caps w:val="0"/>
          <w:color w:val="000000" w:themeColor="text1"/>
          <w:spacing w:val="0"/>
          <w:w w:val="100"/>
          <w:kern w:val="2"/>
          <w:sz w:val="32"/>
          <w:szCs w:val="32"/>
          <w:lang w:val="en-US" w:eastAsia="zh-CN" w:bidi="ar-SA"/>
          <w14:textFill>
            <w14:solidFill>
              <w14:schemeClr w14:val="tx1"/>
            </w14:solidFill>
          </w14:textFill>
        </w:rPr>
        <w:t>古装经济实现营业收入5000余万元，国庆期间，柳宗元文化旅游区累计接待游客量排名全省A级旅游景区前10名。全年接待研学学生超过4万人次，接待游客703万人次。</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val="0"/>
        <w:snapToGrid w:val="0"/>
        <w:spacing w:line="560" w:lineRule="exact"/>
        <w:ind w:firstLine="643" w:firstLineChars="200"/>
        <w:jc w:val="both"/>
        <w:textAlignment w:val="auto"/>
        <w:rPr>
          <w:rFonts w:ascii="仿宋_GB2312" w:eastAsia="仿宋_GB2312" w:cs="仿宋_GB2312"/>
          <w:color w:val="auto"/>
          <w:sz w:val="32"/>
          <w:szCs w:val="32"/>
          <w:shd w:val="clear" w:color="auto" w:fill="FFFFFF"/>
        </w:rPr>
      </w:pPr>
      <w:r>
        <w:rPr>
          <w:rFonts w:hint="eastAsia" w:ascii="楷体" w:hAnsi="楷体" w:eastAsia="楷体" w:cs="楷体"/>
          <w:b/>
          <w:bCs/>
          <w:i w:val="0"/>
          <w:iCs w:val="0"/>
          <w:color w:val="000000" w:themeColor="text1"/>
          <w:spacing w:val="0"/>
          <w:kern w:val="0"/>
          <w:sz w:val="32"/>
          <w:szCs w:val="32"/>
          <w:highlight w:val="none"/>
          <w:vertAlign w:val="baseline"/>
          <w:lang w:val="en-US" w:eastAsia="zh-CN" w:bidi="ar-SA"/>
          <w14:textFill>
            <w14:solidFill>
              <w14:schemeClr w14:val="tx1"/>
            </w14:solidFill>
          </w14:textFill>
        </w:rPr>
        <w:t>3.常创新，频优化，改革攻坚卓有成效。</w:t>
      </w:r>
      <w:r>
        <w:rPr>
          <w:rFonts w:hint="default" w:ascii="仿宋_GB2312" w:hAnsi="仿宋_GB2312" w:eastAsia="仿宋_GB2312" w:cs="仿宋_GB2312"/>
          <w:b/>
          <w:bCs/>
          <w:i w:val="0"/>
          <w:iCs w:val="0"/>
          <w:caps w:val="0"/>
          <w:color w:val="000000" w:themeColor="text1"/>
          <w:spacing w:val="0"/>
          <w:sz w:val="32"/>
          <w:szCs w:val="32"/>
          <w:shd w:val="clear" w:color="auto" w:fill="FFFFFF"/>
          <w:lang w:eastAsia="zh-CN"/>
          <w14:textFill>
            <w14:solidFill>
              <w14:schemeClr w14:val="tx1"/>
            </w14:solidFill>
          </w14:textFill>
        </w:rPr>
        <w:t>一是改</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革攻坚</w:t>
      </w:r>
      <w:r>
        <w:rPr>
          <w:rFonts w:hint="default" w:ascii="仿宋_GB2312" w:hAnsi="仿宋_GB2312" w:eastAsia="仿宋_GB2312" w:cs="仿宋_GB2312"/>
          <w:b/>
          <w:bCs/>
          <w:i w:val="0"/>
          <w:iCs w:val="0"/>
          <w:caps w:val="0"/>
          <w:color w:val="000000" w:themeColor="text1"/>
          <w:spacing w:val="0"/>
          <w:sz w:val="32"/>
          <w:szCs w:val="32"/>
          <w:shd w:val="clear" w:color="auto" w:fill="FFFFFF"/>
          <w:lang w:eastAsia="zh-CN"/>
          <w14:textFill>
            <w14:solidFill>
              <w14:schemeClr w14:val="tx1"/>
            </w14:solidFill>
          </w14:textFill>
        </w:rPr>
        <w:t>向</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纵深拓展</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eastAsia="仿宋_GB2312" w:cs="仿宋_GB2312"/>
          <w:color w:val="auto"/>
          <w:sz w:val="32"/>
          <w:szCs w:val="32"/>
          <w:shd w:val="clear" w:color="auto" w:fill="FFFFFF"/>
        </w:rPr>
        <w:t>639个事项实现“一网通办”，122类证照实现在线办理“不见面”审批。“高效办成一件事”改革</w:t>
      </w:r>
      <w:r>
        <w:rPr>
          <w:rFonts w:hint="eastAsia" w:ascii="仿宋_GB2312" w:eastAsia="仿宋_GB2312" w:cs="仿宋_GB2312"/>
          <w:color w:val="auto"/>
          <w:sz w:val="32"/>
          <w:szCs w:val="32"/>
          <w:shd w:val="clear" w:color="auto" w:fill="FFFFFF"/>
          <w:lang w:val="en-US" w:eastAsia="zh-CN"/>
        </w:rPr>
        <w:t>推动</w:t>
      </w:r>
      <w:r>
        <w:rPr>
          <w:rFonts w:hint="eastAsia" w:ascii="仿宋_GB2312" w:eastAsia="仿宋_GB2312" w:cs="仿宋_GB2312"/>
          <w:color w:val="auto"/>
          <w:sz w:val="32"/>
          <w:szCs w:val="32"/>
          <w:shd w:val="clear" w:color="auto" w:fill="FFFFFF"/>
        </w:rPr>
        <w:t>17个“一件事”落地运行。药品耗材集中带量采购改革全面推行。渐进式延迟法定退休年龄改革有序铺开。“土地”超市建成投用。政府采购项目全流程电子化交易改革节支1200万元。</w:t>
      </w:r>
      <w:r>
        <w:rPr>
          <w:rFonts w:hint="eastAsia" w:ascii="仿宋_GB2312" w:eastAsia="仿宋_GB2312" w:cs="仿宋_GB2312"/>
          <w:b/>
          <w:bCs/>
          <w:color w:val="000000" w:themeColor="text1"/>
          <w:sz w:val="32"/>
          <w:szCs w:val="32"/>
          <w:lang w:val="en-US" w:eastAsia="zh-CN"/>
          <w14:textFill>
            <w14:solidFill>
              <w14:schemeClr w14:val="tx1"/>
            </w14:solidFill>
          </w14:textFill>
        </w:rPr>
        <w:t>二是</w:t>
      </w:r>
      <w:r>
        <w:rPr>
          <w:rFonts w:hint="default" w:ascii="仿宋_GB2312" w:eastAsia="仿宋_GB2312" w:cs="仿宋_GB2312"/>
          <w:b/>
          <w:bCs/>
          <w:color w:val="000000" w:themeColor="text1"/>
          <w:sz w:val="32"/>
          <w:szCs w:val="32"/>
          <w:lang w:eastAsia="zh-CN"/>
          <w14:textFill>
            <w14:solidFill>
              <w14:schemeClr w14:val="tx1"/>
            </w14:solidFill>
          </w14:textFill>
        </w:rPr>
        <w:t>改革攻坚以</w:t>
      </w:r>
      <w:r>
        <w:rPr>
          <w:rFonts w:hint="eastAsia" w:ascii="仿宋_GB2312" w:eastAsia="仿宋_GB2312" w:cs="仿宋_GB2312"/>
          <w:b/>
          <w:bCs/>
          <w:color w:val="000000" w:themeColor="text1"/>
          <w:sz w:val="32"/>
          <w:szCs w:val="32"/>
          <w:lang w:val="en-US" w:eastAsia="zh-CN"/>
          <w14:textFill>
            <w14:solidFill>
              <w14:schemeClr w14:val="tx1"/>
            </w14:solidFill>
          </w14:textFill>
        </w:rPr>
        <w:t>创新驱动。</w:t>
      </w:r>
      <w:r>
        <w:rPr>
          <w:rFonts w:hint="eastAsia" w:ascii="仿宋_GB2312" w:eastAsia="仿宋_GB2312" w:cs="仿宋_GB2312"/>
          <w:color w:val="000000" w:themeColor="text1"/>
          <w:sz w:val="32"/>
          <w:szCs w:val="32"/>
          <w:highlight w:val="none"/>
          <w14:textFill>
            <w14:solidFill>
              <w14:schemeClr w14:val="tx1"/>
            </w14:solidFill>
          </w14:textFill>
        </w:rPr>
        <w:t>2024年申报高新技术企业22家，第一批公示4家，2024年组织申报湖南省生料酿酒发酵剂科技成果转化中试基地、湖南省新型触摸显示器件科技成果转化中试基地和湖南省创新联合体，完成科技型中小企业入库164家，高新技术产业增加值为季报数。科技特派员工作站实现全覆盖。成功申报</w:t>
      </w:r>
      <w:r>
        <w:rPr>
          <w:rFonts w:hint="eastAsia" w:ascii="仿宋_GB2312" w:eastAsia="仿宋_GB2312" w:cs="仿宋_GB2312"/>
          <w:color w:val="000000" w:themeColor="text1"/>
          <w:sz w:val="32"/>
          <w:szCs w:val="32"/>
          <w:highlight w:val="none"/>
          <w:lang w:eastAsia="zh-CN"/>
          <w14:textFill>
            <w14:solidFill>
              <w14:schemeClr w14:val="tx1"/>
            </w14:solidFill>
          </w14:textFill>
        </w:rPr>
        <w:t>省级</w:t>
      </w:r>
      <w:r>
        <w:rPr>
          <w:rFonts w:hint="eastAsia" w:ascii="仿宋_GB2312" w:eastAsia="仿宋_GB2312" w:cs="仿宋_GB2312"/>
          <w:color w:val="000000" w:themeColor="text1"/>
          <w:sz w:val="32"/>
          <w:szCs w:val="32"/>
          <w:highlight w:val="none"/>
          <w14:textFill>
            <w14:solidFill>
              <w14:schemeClr w14:val="tx1"/>
            </w14:solidFill>
          </w14:textFill>
        </w:rPr>
        <w:t>专精特新“小巨人”11家。</w:t>
      </w:r>
      <w:r>
        <w:rPr>
          <w:rFonts w:hint="eastAsia" w:ascii="仿宋_GB2312" w:eastAsia="仿宋_GB2312" w:cs="仿宋_GB2312"/>
          <w:b/>
          <w:bCs/>
          <w:color w:val="000000" w:themeColor="text1"/>
          <w:sz w:val="32"/>
          <w:szCs w:val="32"/>
          <w:lang w:val="en-US" w:eastAsia="zh-CN"/>
          <w14:textFill>
            <w14:solidFill>
              <w14:schemeClr w14:val="tx1"/>
            </w14:solidFill>
          </w14:textFill>
        </w:rPr>
        <w:t>三是</w:t>
      </w:r>
      <w:r>
        <w:rPr>
          <w:rFonts w:hint="default" w:ascii="仿宋_GB2312" w:eastAsia="仿宋_GB2312" w:cs="仿宋_GB2312"/>
          <w:b/>
          <w:bCs/>
          <w:color w:val="000000" w:themeColor="text1"/>
          <w:sz w:val="32"/>
          <w:szCs w:val="32"/>
          <w:lang w:eastAsia="zh-CN"/>
          <w14:textFill>
            <w14:solidFill>
              <w14:schemeClr w14:val="tx1"/>
            </w14:solidFill>
          </w14:textFill>
        </w:rPr>
        <w:t>改革攻坚促优化服务</w:t>
      </w:r>
      <w:r>
        <w:rPr>
          <w:rFonts w:hint="eastAsia" w:asci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eastAsia="仿宋_GB2312" w:cs="仿宋_GB2312"/>
          <w:color w:val="auto"/>
          <w:sz w:val="32"/>
          <w:szCs w:val="32"/>
          <w:shd w:val="clear" w:color="auto" w:fill="FFFFFF"/>
        </w:rPr>
        <w:t>扎实开展“送解优”行动，帮助企业解决问题121个，累计兑现奖补资金7428.6万元</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政策性减税降费3.42亿元。“入企扫码”机制全面运行，</w:t>
      </w:r>
      <w:r>
        <w:rPr>
          <w:rFonts w:hint="eastAsia" w:ascii="仿宋_GB2312" w:eastAsia="仿宋_GB2312" w:cs="仿宋_GB2312"/>
          <w:color w:val="auto"/>
          <w:sz w:val="32"/>
          <w:szCs w:val="32"/>
        </w:rPr>
        <w:t>执法检查频次同比减少50%</w:t>
      </w:r>
      <w:r>
        <w:rPr>
          <w:rFonts w:hint="eastAsia" w:ascii="仿宋_GB2312" w:eastAsia="仿宋_GB2312" w:cs="仿宋_GB2312"/>
          <w:color w:val="auto"/>
          <w:sz w:val="32"/>
          <w:szCs w:val="32"/>
          <w:shd w:val="clear" w:color="auto" w:fill="FFFFFF"/>
        </w:rPr>
        <w:t>。</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楷体" w:hAnsi="楷体" w:eastAsia="楷体" w:cs="楷体"/>
          <w:b/>
          <w:bCs/>
          <w:i w:val="0"/>
          <w:iCs w:val="0"/>
          <w:color w:val="000000" w:themeColor="text1"/>
          <w:spacing w:val="0"/>
          <w:kern w:val="0"/>
          <w:sz w:val="32"/>
          <w:szCs w:val="32"/>
          <w:highlight w:val="none"/>
          <w:vertAlign w:val="baseline"/>
          <w:lang w:val="en-US" w:eastAsia="zh-CN" w:bidi="ar-SA"/>
          <w14:textFill>
            <w14:solidFill>
              <w14:schemeClr w14:val="tx1"/>
            </w14:solidFill>
          </w14:textFill>
        </w:rPr>
        <w:t>4.强统筹，兼城乡，迈向融合发展新高度</w:t>
      </w:r>
      <w:r>
        <w:rPr>
          <w:rFonts w:hint="default" w:ascii="楷体" w:hAnsi="楷体" w:eastAsia="楷体" w:cs="楷体"/>
          <w:b/>
          <w:bCs/>
          <w:i w:val="0"/>
          <w:iCs w:val="0"/>
          <w:color w:val="000000" w:themeColor="text1"/>
          <w:spacing w:val="0"/>
          <w:kern w:val="0"/>
          <w:sz w:val="32"/>
          <w:szCs w:val="32"/>
          <w:highlight w:val="none"/>
          <w:vertAlign w:val="baseline"/>
          <w:lang w:val="en-US" w:eastAsia="zh-CN" w:bidi="ar-SA"/>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城市不断更新。</w:t>
      </w:r>
      <w:r>
        <w:rPr>
          <w:rFonts w:hint="eastAsia" w:ascii="仿宋_GB2312" w:eastAsia="仿宋_GB2312" w:cs="仿宋_GB2312"/>
          <w:color w:val="auto"/>
          <w:sz w:val="32"/>
          <w:szCs w:val="32"/>
          <w:shd w:val="clear" w:color="auto" w:fill="FFFFFF"/>
        </w:rPr>
        <w:t>南津渡大桥维修加固正式启动</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荷叶塘小学人行天桥项目挂网招标。68个老旧小区、170套保障性租赁住房改造全面完成，五里堆612套公租房主体完工。永州市建筑垃圾资源化利用项目第一条生产线试运行。河西片区首座3万立方LNG气站建成投用</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更新燃气管网7.6千米，新增</w:t>
      </w:r>
      <w:r>
        <w:rPr>
          <w:rFonts w:ascii="仿宋_GB2312" w:eastAsia="仿宋_GB2312" w:cs="仿宋_GB2312"/>
          <w:color w:val="auto"/>
          <w:sz w:val="32"/>
          <w:szCs w:val="32"/>
          <w:shd w:val="clear" w:color="auto" w:fill="FFFFFF"/>
        </w:rPr>
        <w:t>管道燃气</w:t>
      </w:r>
      <w:r>
        <w:rPr>
          <w:rFonts w:hint="eastAsia" w:ascii="仿宋_GB2312" w:eastAsia="仿宋_GB2312" w:cs="仿宋_GB2312"/>
          <w:color w:val="auto"/>
          <w:sz w:val="32"/>
          <w:szCs w:val="32"/>
          <w:shd w:val="clear" w:color="auto" w:fill="FFFFFF"/>
        </w:rPr>
        <w:t>用户1.05万户。提质改造供水管网76千米、污水管网6.29千米</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新增城区公共停车泊位412个</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建成运营充电站7个、5G基站131个。</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乡村加快振兴。</w:t>
      </w:r>
      <w:r>
        <w:rPr>
          <w:rFonts w:hint="eastAsia" w:ascii="仿宋_GB2312" w:eastAsia="仿宋_GB2312" w:cs="仿宋_GB2312"/>
          <w:i w:val="0"/>
          <w:iCs w:val="0"/>
          <w:caps w:val="0"/>
          <w:smallCaps w:val="0"/>
          <w:color w:val="000000" w:themeColor="text1"/>
          <w:spacing w:val="0"/>
          <w:sz w:val="32"/>
          <w:szCs w:val="32"/>
          <w:shd w:val="clear" w:color="auto" w:fill="FFFFFF"/>
          <w:lang w:val="en-US" w:eastAsia="zh-CN"/>
          <w14:textFill>
            <w14:solidFill>
              <w14:schemeClr w14:val="tx1"/>
            </w14:solidFill>
          </w14:textFill>
        </w:rPr>
        <w:t>持续巩固拓展脱贫攻坚成果，</w:t>
      </w:r>
      <w:r>
        <w:rPr>
          <w:rFonts w:hint="eastAsia" w:ascii="仿宋_GB2312" w:eastAsia="仿宋_GB2312" w:cs="仿宋_GB2312"/>
          <w:color w:val="auto"/>
          <w:sz w:val="32"/>
          <w:szCs w:val="32"/>
          <w:shd w:val="clear" w:color="auto" w:fill="FFFFFF"/>
        </w:rPr>
        <w:t>监测对象103户302人稳定消除</w:t>
      </w:r>
      <w:r>
        <w:rPr>
          <w:rFonts w:ascii="仿宋_GB2312" w:eastAsia="仿宋_GB2312" w:cs="仿宋_GB2312"/>
          <w:color w:val="auto"/>
          <w:sz w:val="32"/>
          <w:szCs w:val="32"/>
          <w:shd w:val="clear" w:color="auto" w:fill="FFFFFF"/>
        </w:rPr>
        <w:t>致贫</w:t>
      </w:r>
      <w:r>
        <w:rPr>
          <w:rFonts w:hint="eastAsia" w:ascii="仿宋_GB2312" w:eastAsia="仿宋_GB2312" w:cs="仿宋_GB2312"/>
          <w:color w:val="auto"/>
          <w:sz w:val="32"/>
          <w:szCs w:val="32"/>
          <w:shd w:val="clear" w:color="auto" w:fill="FFFFFF"/>
        </w:rPr>
        <w:t>风险，脱贫劳动力稳定就业2.1万人。148个行政村（社区）集体经济收入达到10万元以上。区供销合作社获评“全国供销合作社系统先进集体”，香零山村、何家坪村获评“全省抓党建促乡村振兴示范村”。提质改造水口山、珠山、黄田铺、石岩头4个乡镇农贸市场，新增摊位568个。完成石坝仔、珠塘等45座水库除险加固。新改建农村户厕1315座。新增农村通自来水人口1.87万人。建成资源产业路和撤并村便捷路71.2公里、农村公路安防设施243.9公里，获评“全国四好农村路示范县”。</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文明深入人心。</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深入开展文明城市创建活动，巩固提升卫生城市创建成果，城市颜值品质和市民文明程度实现双提升。深化拓展乡村振兴月例会成果，大力推进党员包户“137”工程，将乡村治理各项内容纳入村规民约，形成移风易俗“美丽约定”，打造共建共治共享的乡村善治格局。</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color w:val="auto"/>
          <w:sz w:val="32"/>
          <w:szCs w:val="32"/>
          <w:shd w:val="clear" w:color="auto" w:fill="FFFFFF"/>
        </w:rPr>
      </w:pPr>
      <w:r>
        <w:rPr>
          <w:rFonts w:hint="eastAsia" w:ascii="楷体" w:hAnsi="楷体" w:eastAsia="楷体" w:cs="楷体"/>
          <w:b/>
          <w:bCs/>
          <w:i w:val="0"/>
          <w:iCs w:val="0"/>
          <w:color w:val="000000" w:themeColor="text1"/>
          <w:spacing w:val="0"/>
          <w:kern w:val="0"/>
          <w:sz w:val="32"/>
          <w:szCs w:val="32"/>
          <w:highlight w:val="none"/>
          <w:vertAlign w:val="baseline"/>
          <w:lang w:val="en-US" w:eastAsia="zh-CN" w:bidi="ar-SA"/>
          <w14:textFill>
            <w14:solidFill>
              <w14:schemeClr w14:val="tx1"/>
            </w14:solidFill>
          </w14:textFill>
        </w:rPr>
        <w:t>5.保民生，惠民心，用心用情增福祉</w:t>
      </w:r>
      <w:r>
        <w:rPr>
          <w:rFonts w:hint="default" w:ascii="楷体" w:hAnsi="楷体" w:eastAsia="楷体" w:cs="楷体"/>
          <w:b/>
          <w:bCs/>
          <w:i w:val="0"/>
          <w:iCs w:val="0"/>
          <w:color w:val="000000" w:themeColor="text1"/>
          <w:spacing w:val="0"/>
          <w:kern w:val="0"/>
          <w:sz w:val="32"/>
          <w:szCs w:val="32"/>
          <w:highlight w:val="none"/>
          <w:vertAlign w:val="baseline"/>
          <w:lang w:val="en-US" w:eastAsia="zh-CN" w:bidi="ar-SA"/>
          <w14:textFill>
            <w14:solidFill>
              <w14:schemeClr w14:val="tx1"/>
            </w14:solidFill>
          </w14:textFill>
        </w:rPr>
        <w:t>。</w:t>
      </w:r>
      <w:r>
        <w:rPr>
          <w:rFonts w:hint="eastAsia" w:ascii="仿宋_GB2312" w:eastAsia="仿宋_GB2312" w:cs="仿宋_GB2312"/>
          <w:color w:val="auto"/>
          <w:sz w:val="32"/>
          <w:szCs w:val="32"/>
          <w:shd w:val="clear" w:color="auto" w:fill="FFFFFF"/>
        </w:rPr>
        <w:t>民生支出占财政总支出80.5%，较去年提升近5个百分点，37项省市重点民生实事全面完成。</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社会保障更加全面</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eastAsia="仿宋_GB2312" w:cs="仿宋_GB2312"/>
          <w:color w:val="auto"/>
          <w:sz w:val="32"/>
          <w:szCs w:val="32"/>
          <w:shd w:val="clear" w:color="auto" w:fill="FFFFFF"/>
        </w:rPr>
        <w:t>城镇新增就业6446人、农村劳动力转移就业5112人。城乡低保、特困人员、残疾人、孤儿及事实无人抚养儿童保障标准稳步提高，累计发放困难群众保障金1.05亿元。城乡居民常住人口医保参保率达95%以上，困难群众实现“应保尽保”。建成5个标准化老年食堂，登记就餐老年群众3000余人。新创建示范性儿童之家2个</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新增普惠性托位400个。</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教育供给更加均衡。</w:t>
      </w:r>
      <w:r>
        <w:rPr>
          <w:rFonts w:hint="eastAsia" w:ascii="仿宋_GB2312" w:eastAsia="仿宋_GB2312" w:cs="仿宋_GB2312"/>
          <w:color w:val="auto"/>
          <w:sz w:val="32"/>
          <w:szCs w:val="32"/>
          <w:shd w:val="clear" w:color="auto" w:fill="FFFFFF"/>
        </w:rPr>
        <w:t>义务教育质量监测成绩位居全市前3</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高考本科上线率、600分以上高分人数、清华北大上线人数均排全市第1。完成富家桥中学、梳子铺中学、五里堆学校3所省级标准化寄宿制学校建设。提质改造大庆坪学校、水口山镇中学等20所农村薄弱学校。21所公办学校实现免费午餐，惠及4400余名师生。用心用情实施学生营养改善行动，全力保障学生健康营养需求，主要做法在全省作典型发言。阳明芙蓉学校“双减”课后服务案例获省市推介。杨梓塘</w:t>
      </w:r>
      <w:r>
        <w:rPr>
          <w:rFonts w:hint="eastAsia" w:ascii="仿宋_GB2312" w:eastAsia="仿宋_GB2312" w:cs="仿宋_GB2312"/>
          <w:color w:val="auto"/>
          <w:sz w:val="32"/>
          <w:szCs w:val="32"/>
          <w:shd w:val="clear" w:color="auto" w:fill="FFFFFF"/>
          <w:lang w:val="en-US" w:eastAsia="zh-CN"/>
        </w:rPr>
        <w:t>小学</w:t>
      </w:r>
      <w:r>
        <w:rPr>
          <w:rFonts w:hint="eastAsia" w:ascii="仿宋_GB2312" w:eastAsia="仿宋_GB2312" w:cs="仿宋_GB2312"/>
          <w:color w:val="auto"/>
          <w:sz w:val="32"/>
          <w:szCs w:val="32"/>
          <w:shd w:val="clear" w:color="auto" w:fill="FFFFFF"/>
        </w:rPr>
        <w:t>、黄古山小学在2024年全国蹦床比赛中，分获特等奖和一等奖。永州工商职业中专斩获世界职业院校技能大赛铜奖。</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医疗服务更加优质</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eastAsia="仿宋_GB2312" w:cs="仿宋_GB2312"/>
          <w:color w:val="auto"/>
          <w:sz w:val="32"/>
          <w:szCs w:val="32"/>
          <w:shd w:val="clear" w:color="auto" w:fill="FFFFFF"/>
        </w:rPr>
        <w:t>在全市率先推行二级公立医疗机构“一号管三天”就诊模式和“有事找院长”工作机制。永州市老年医院、第四人民医院新院正式运营。两个医共体每年各设立200万元人才基金，</w:t>
      </w:r>
      <w:r>
        <w:rPr>
          <w:rFonts w:ascii="仿宋_GB2312" w:eastAsia="仿宋_GB2312" w:cs="仿宋_GB2312"/>
          <w:color w:val="auto"/>
          <w:sz w:val="32"/>
          <w:szCs w:val="32"/>
          <w:shd w:val="clear" w:color="auto" w:fill="FFFFFF"/>
        </w:rPr>
        <w:t>新</w:t>
      </w:r>
      <w:r>
        <w:rPr>
          <w:rFonts w:hint="eastAsia" w:ascii="仿宋_GB2312" w:eastAsia="仿宋_GB2312" w:cs="仿宋_GB2312"/>
          <w:color w:val="auto"/>
          <w:sz w:val="32"/>
          <w:szCs w:val="32"/>
          <w:shd w:val="clear" w:color="auto" w:fill="FFFFFF"/>
        </w:rPr>
        <w:t>引进副高级职称人才2名、全日制硕士研究生8名。省人民医院在第四人民医院建</w:t>
      </w:r>
      <w:r>
        <w:rPr>
          <w:rFonts w:ascii="仿宋_GB2312" w:eastAsia="仿宋_GB2312" w:cs="仿宋_GB2312"/>
          <w:color w:val="auto"/>
          <w:sz w:val="32"/>
          <w:szCs w:val="32"/>
          <w:shd w:val="clear" w:color="auto" w:fill="FFFFFF"/>
        </w:rPr>
        <w:t>立</w:t>
      </w:r>
      <w:r>
        <w:rPr>
          <w:rFonts w:hint="eastAsia" w:ascii="仿宋_GB2312" w:eastAsia="仿宋_GB2312" w:cs="仿宋_GB2312"/>
          <w:color w:val="auto"/>
          <w:sz w:val="32"/>
          <w:szCs w:val="32"/>
          <w:shd w:val="clear" w:color="auto" w:fill="FFFFFF"/>
        </w:rPr>
        <w:t>博士工作站。区中医医院骨伤科、针灸科、康复中心成功创建省级临床重点专科。区妇幼保健院成功创建“二甲妇保院”。</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文体事业更加活跃</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eastAsia="仿宋_GB2312" w:cs="仿宋_GB2312"/>
          <w:color w:val="auto"/>
          <w:sz w:val="32"/>
          <w:szCs w:val="32"/>
          <w:shd w:val="clear" w:color="auto" w:fill="FFFFFF"/>
        </w:rPr>
        <w:t>开展送戏下乡、送书下乡、“非遗四进”活动200余场，获评“全省公共文化服务体系高质量发展绩效评价优秀县区”。柳子街入选住建部历史建筑保护利用试点城市先行历史文化街区</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大西门入选第二批湖南省历史文化街区。怀</w:t>
      </w:r>
      <w:r>
        <w:rPr>
          <w:rFonts w:hint="eastAsia" w:ascii="仿宋_GB2312" w:eastAsia="仿宋_GB2312" w:cs="仿宋_GB2312"/>
          <w:color w:val="auto"/>
          <w:sz w:val="32"/>
          <w:szCs w:val="32"/>
        </w:rPr>
        <w:t>素书法艺术馆正式开馆。</w:t>
      </w:r>
      <w:r>
        <w:rPr>
          <w:rFonts w:hint="eastAsia" w:ascii="仿宋_GB2312" w:eastAsia="仿宋_GB2312" w:cs="仿宋_GB2312"/>
          <w:color w:val="auto"/>
          <w:sz w:val="32"/>
          <w:szCs w:val="32"/>
          <w:shd w:val="clear" w:color="auto" w:fill="FFFFFF"/>
        </w:rPr>
        <w:t>蒋家大院、胡家大院保护修缮工程</w:t>
      </w:r>
      <w:r>
        <w:rPr>
          <w:rFonts w:ascii="仿宋_GB2312" w:eastAsia="仿宋_GB2312" w:cs="仿宋_GB2312"/>
          <w:color w:val="auto"/>
          <w:sz w:val="32"/>
          <w:szCs w:val="32"/>
          <w:shd w:val="clear" w:color="auto" w:fill="FFFFFF"/>
        </w:rPr>
        <w:t>全面</w:t>
      </w:r>
      <w:r>
        <w:rPr>
          <w:rFonts w:hint="eastAsia" w:ascii="仿宋_GB2312" w:eastAsia="仿宋_GB2312" w:cs="仿宋_GB2312"/>
          <w:color w:val="auto"/>
          <w:sz w:val="32"/>
          <w:szCs w:val="32"/>
          <w:shd w:val="clear" w:color="auto" w:fill="FFFFFF"/>
        </w:rPr>
        <w:t>完成</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i w:val="0"/>
          <w:iCs w:val="0"/>
          <w:caps w:val="0"/>
          <w:smallCaps w:val="0"/>
          <w:color w:val="auto"/>
          <w:spacing w:val="0"/>
          <w:sz w:val="32"/>
          <w:szCs w:val="32"/>
          <w:shd w:val="clear" w:color="auto" w:fill="FFFFFF"/>
          <w:lang w:val="en-US" w:eastAsia="zh-CN"/>
        </w:rPr>
        <w:t>许家桥将军府保护修缮工程有序推进</w:t>
      </w:r>
      <w:r>
        <w:rPr>
          <w:rFonts w:ascii="仿宋_GB2312" w:eastAsia="仿宋_GB2312" w:cs="仿宋_GB2312"/>
          <w:color w:val="auto"/>
          <w:sz w:val="32"/>
          <w:szCs w:val="32"/>
          <w:shd w:val="clear" w:color="auto" w:fill="FFFFFF"/>
        </w:rPr>
        <w:t>。</w:t>
      </w:r>
      <w:r>
        <w:rPr>
          <w:rFonts w:hint="eastAsia" w:ascii="仿宋_GB2312" w:eastAsia="仿宋_GB2312" w:cs="仿宋_GB2312"/>
          <w:color w:val="auto"/>
          <w:sz w:val="32"/>
          <w:szCs w:val="32"/>
          <w:shd w:val="clear" w:color="auto" w:fill="FFFFFF"/>
        </w:rPr>
        <w:t>央视一套《文脉春秋》</w:t>
      </w:r>
      <w:r>
        <w:rPr>
          <w:rFonts w:hint="eastAsia" w:ascii="仿宋_GB2312" w:eastAsia="仿宋_GB2312" w:cs="仿宋_GB2312"/>
          <w:color w:val="auto"/>
          <w:sz w:val="32"/>
          <w:szCs w:val="32"/>
          <w:shd w:val="clear" w:color="auto" w:fill="FFFFFF"/>
          <w:lang w:val="en-US" w:eastAsia="zh-CN"/>
        </w:rPr>
        <w:t>栏目</w:t>
      </w:r>
      <w:r>
        <w:rPr>
          <w:rFonts w:hint="eastAsia" w:ascii="仿宋_GB2312" w:eastAsia="仿宋_GB2312" w:cs="仿宋_GB2312"/>
          <w:color w:val="auto"/>
          <w:sz w:val="32"/>
          <w:szCs w:val="32"/>
          <w:shd w:val="clear" w:color="auto" w:fill="FFFFFF"/>
        </w:rPr>
        <w:t>专题推介永州国家历史文化名城。在2024年湖南省青少年锦标赛、湖南省第十一届武术大赛中，分获3金1银、32金16银优异成绩。永州市烈士纪念园获评“国家级烈士纪念设施”</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零陵体育馆获评“湖南省最受欢迎公共体育场馆”。</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 w:cs="Times New Roman"/>
          <w:b/>
          <w:color w:val="000000" w:themeColor="text1"/>
          <w:spacing w:val="0"/>
          <w:kern w:val="0"/>
          <w:sz w:val="32"/>
          <w:szCs w:val="32"/>
          <w:lang w:val="en-US" w:eastAsia="zh-CN" w:bidi="ar-SA"/>
          <w14:textFill>
            <w14:solidFill>
              <w14:schemeClr w14:val="tx1"/>
            </w14:solidFill>
          </w14:textFill>
        </w:rPr>
        <w:t>6.守底线，保安全，社会稳定全面提升</w:t>
      </w:r>
      <w:r>
        <w:rPr>
          <w:rFonts w:hint="default" w:ascii="Times New Roman" w:hAnsi="Times New Roman" w:eastAsia="楷体" w:cs="Times New Roman"/>
          <w:b/>
          <w:color w:val="000000" w:themeColor="text1"/>
          <w:spacing w:val="0"/>
          <w:kern w:val="0"/>
          <w:sz w:val="32"/>
          <w:szCs w:val="32"/>
          <w:lang w:val="en-US" w:eastAsia="zh-CN" w:bidi="ar-SA"/>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筑牢安全根基。</w:t>
      </w:r>
      <w:r>
        <w:rPr>
          <w:rFonts w:hint="eastAsia" w:ascii="仿宋_GB2312" w:eastAsia="仿宋_GB2312" w:cs="仿宋_GB2312"/>
          <w:color w:val="auto"/>
          <w:sz w:val="32"/>
          <w:szCs w:val="32"/>
        </w:rPr>
        <w:t>深入开展道路交通“两项整治”专项行动，排查整治国省干道安全隐患168处</w:t>
      </w:r>
      <w:r>
        <w:rPr>
          <w:rFonts w:ascii="仿宋_GB2312" w:eastAsia="仿宋_GB2312" w:cs="仿宋_GB2312"/>
          <w:color w:val="auto"/>
          <w:sz w:val="32"/>
          <w:szCs w:val="32"/>
        </w:rPr>
        <w:t>。</w:t>
      </w:r>
      <w:r>
        <w:rPr>
          <w:rFonts w:hint="eastAsia" w:ascii="仿宋_GB2312" w:eastAsia="仿宋_GB2312" w:cs="仿宋_GB2312"/>
          <w:color w:val="auto"/>
          <w:sz w:val="32"/>
          <w:szCs w:val="32"/>
        </w:rPr>
        <w:t>完成林火阻隔系统建设204公里，建成铁塔哨兵视频摄像头268个，获评“全省铁塔视频工作成效突出县区”。大力开展锰矿区人居环境及突出问题专项整治行动，摸排整改问题隐患130个。在全市率先全面取消居民自提气。成功应对12轮强降雨和4次洪峰过境。全年食品安全事故“零发生”。</w:t>
      </w:r>
      <w:r>
        <w:rPr>
          <w:rFonts w:hint="eastAsia" w:ascii="仿宋_GB2312" w:eastAsia="仿宋_GB2312" w:cs="仿宋_GB2312"/>
          <w:b/>
          <w:bCs/>
          <w:color w:val="000000" w:themeColor="text1"/>
          <w:sz w:val="32"/>
          <w:szCs w:val="32"/>
          <w:lang w:val="en-US" w:eastAsia="zh-CN"/>
          <w14:textFill>
            <w14:solidFill>
              <w14:schemeClr w14:val="tx1"/>
            </w14:solidFill>
          </w14:textFill>
        </w:rPr>
        <w:t>防控各类风险</w:t>
      </w:r>
      <w:r>
        <w:rPr>
          <w:rFonts w:hint="eastAsia" w:asci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cs="仿宋_GB2312"/>
          <w:color w:val="auto"/>
          <w:sz w:val="32"/>
          <w:szCs w:val="32"/>
        </w:rPr>
        <w:t>5个“保交楼”专项借款项目、11个“保交房”项目交付率分别为100%、95%。成功化解53个小区办证难</w:t>
      </w:r>
      <w:r>
        <w:rPr>
          <w:rFonts w:ascii="仿宋_GB2312" w:eastAsia="仿宋_GB2312" w:cs="仿宋_GB2312"/>
          <w:color w:val="auto"/>
          <w:sz w:val="32"/>
          <w:szCs w:val="32"/>
        </w:rPr>
        <w:t>问</w:t>
      </w:r>
      <w:r>
        <w:rPr>
          <w:rFonts w:hint="eastAsia" w:ascii="仿宋_GB2312" w:eastAsia="仿宋_GB2312" w:cs="仿宋_GB2312"/>
          <w:color w:val="auto"/>
          <w:sz w:val="32"/>
          <w:szCs w:val="32"/>
        </w:rPr>
        <w:t>题</w:t>
      </w:r>
      <w:r>
        <w:rPr>
          <w:rFonts w:hint="eastAsia" w:ascii="仿宋_GB2312" w:eastAsia="仿宋_GB2312" w:cs="仿宋_GB2312"/>
          <w:color w:val="auto"/>
          <w:sz w:val="32"/>
          <w:szCs w:val="32"/>
          <w:shd w:val="clear" w:color="auto" w:fill="FFFFFF"/>
        </w:rPr>
        <w:t>，办</w:t>
      </w:r>
      <w:r>
        <w:rPr>
          <w:rFonts w:hint="eastAsia" w:ascii="仿宋_GB2312" w:eastAsia="仿宋_GB2312" w:cs="仿宋_GB2312"/>
          <w:color w:val="auto"/>
          <w:sz w:val="32"/>
          <w:szCs w:val="32"/>
        </w:rPr>
        <w:t>理不动产权证7900</w:t>
      </w:r>
      <w:r>
        <w:rPr>
          <w:rFonts w:hint="eastAsia" w:ascii="仿宋_GB2312" w:eastAsia="仿宋_GB2312" w:cs="仿宋_GB2312"/>
          <w:color w:val="auto"/>
          <w:sz w:val="32"/>
          <w:szCs w:val="32"/>
          <w:shd w:val="clear" w:color="auto" w:fill="FFFFFF"/>
        </w:rPr>
        <w:t>余</w:t>
      </w:r>
      <w:r>
        <w:rPr>
          <w:rFonts w:hint="eastAsia" w:ascii="仿宋_GB2312" w:eastAsia="仿宋_GB2312" w:cs="仿宋_GB2312"/>
          <w:color w:val="auto"/>
          <w:sz w:val="32"/>
          <w:szCs w:val="32"/>
        </w:rPr>
        <w:t>户。</w:t>
      </w:r>
      <w:r>
        <w:rPr>
          <w:rFonts w:hint="eastAsia" w:ascii="仿宋_GB2312" w:eastAsia="仿宋_GB2312" w:cs="仿宋_GB2312"/>
          <w:color w:val="auto"/>
          <w:sz w:val="32"/>
          <w:szCs w:val="32"/>
          <w:shd w:val="clear" w:color="auto" w:fill="FFFFFF"/>
        </w:rPr>
        <w:t>平稳处置“锦源金禧”事件，全年未新增一起涉众型非法集资案件。人民调解作用有效发挥，政法“五老”调解各类矛盾纠纷837件，调解成功率91.5%。</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打造绿色生态。</w:t>
      </w:r>
      <w:r>
        <w:rPr>
          <w:rFonts w:hint="eastAsia" w:ascii="仿宋_GB2312" w:eastAsia="仿宋_GB2312" w:cs="仿宋_GB2312"/>
          <w:color w:val="auto"/>
          <w:sz w:val="32"/>
          <w:szCs w:val="32"/>
          <w:shd w:val="clear" w:color="auto" w:fill="FFFFFF"/>
        </w:rPr>
        <w:t>中央和省环保督察交办件办结率分别为100%、96%，督察整改工作在全省作典型发言。</w:t>
      </w:r>
      <w:r>
        <w:rPr>
          <w:rFonts w:hint="eastAsia" w:ascii="仿宋_GB2312" w:eastAsia="仿宋_GB2312" w:cs="仿宋_GB2312"/>
          <w:color w:val="auto"/>
          <w:sz w:val="32"/>
          <w:szCs w:val="32"/>
        </w:rPr>
        <w:t>统筹打好蓝天、碧水、净土保卫战，</w:t>
      </w:r>
      <w:r>
        <w:rPr>
          <w:rFonts w:hint="eastAsia" w:ascii="仿宋_GB2312" w:eastAsia="仿宋_GB2312" w:cs="仿宋_GB2312"/>
          <w:color w:val="auto"/>
          <w:sz w:val="32"/>
          <w:szCs w:val="32"/>
          <w:shd w:val="clear" w:color="auto" w:fill="FFFFFF"/>
        </w:rPr>
        <w:t>全区空气环境质量优良率95.2%，饮用水水源保护区水质达标率100%</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省级重点生态功能区县域生态环境质量综合评价“轻微变好”</w:t>
      </w:r>
      <w:r>
        <w:rPr>
          <w:rFonts w:hint="eastAsia" w:ascii="仿宋_GB2312" w:eastAsia="仿宋_GB2312" w:cs="仿宋_GB2312"/>
          <w:color w:val="auto"/>
          <w:sz w:val="32"/>
          <w:szCs w:val="32"/>
        </w:rPr>
        <w:t>。强力推进矿山历史遗留废渣治理，完成矿山复绿2000余亩</w:t>
      </w:r>
      <w:r>
        <w:rPr>
          <w:rFonts w:hint="eastAsia" w:ascii="仿宋_GB2312" w:eastAsia="仿宋_GB2312" w:cs="仿宋_GB2312"/>
          <w:color w:val="auto"/>
          <w:sz w:val="32"/>
          <w:szCs w:val="32"/>
          <w:shd w:val="clear" w:color="auto" w:fill="FFFFFF"/>
        </w:rPr>
        <w:t>。常态化开展</w:t>
      </w:r>
      <w:r>
        <w:rPr>
          <w:rFonts w:ascii="仿宋_GB2312" w:eastAsia="仿宋_GB2312" w:cs="仿宋_GB2312"/>
          <w:color w:val="auto"/>
          <w:sz w:val="32"/>
          <w:szCs w:val="32"/>
          <w:shd w:val="clear" w:color="auto" w:fill="FFFFFF"/>
        </w:rPr>
        <w:t>守护</w:t>
      </w:r>
      <w:r>
        <w:rPr>
          <w:rFonts w:hint="eastAsia" w:ascii="仿宋_GB2312" w:eastAsia="仿宋_GB2312" w:cs="仿宋_GB2312"/>
          <w:color w:val="auto"/>
          <w:sz w:val="32"/>
          <w:szCs w:val="32"/>
          <w:shd w:val="clear" w:color="auto" w:fill="FFFFFF"/>
        </w:rPr>
        <w:t>野生动植物</w:t>
      </w:r>
      <w:r>
        <w:rPr>
          <w:rFonts w:ascii="仿宋_GB2312" w:eastAsia="仿宋_GB2312" w:cs="仿宋_GB2312"/>
          <w:color w:val="auto"/>
          <w:sz w:val="32"/>
          <w:szCs w:val="32"/>
          <w:shd w:val="clear" w:color="auto" w:fill="FFFFFF"/>
        </w:rPr>
        <w:t>安全专项</w:t>
      </w:r>
      <w:r>
        <w:rPr>
          <w:rFonts w:hint="eastAsia" w:ascii="仿宋_GB2312" w:eastAsia="仿宋_GB2312" w:cs="仿宋_GB2312"/>
          <w:color w:val="auto"/>
          <w:sz w:val="32"/>
          <w:szCs w:val="32"/>
          <w:shd w:val="clear" w:color="auto" w:fill="FFFFFF"/>
        </w:rPr>
        <w:t>整治行动。</w:t>
      </w:r>
      <w:r>
        <w:rPr>
          <w:rFonts w:hint="eastAsia" w:ascii="仿宋_GB2312" w:eastAsia="仿宋_GB2312" w:cs="仿宋_GB2312"/>
          <w:color w:val="auto"/>
          <w:sz w:val="32"/>
          <w:szCs w:val="32"/>
        </w:rPr>
        <w:t>潇水国家湿地公园试点顺利通过国检。</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同时，</w:t>
      </w:r>
      <w:r>
        <w:rPr>
          <w:rFonts w:hint="eastAsia" w:ascii="仿宋_GB2312" w:hAnsi="仿宋_GB2312" w:eastAsia="仿宋_GB2312" w:cs="仿宋_GB2312"/>
          <w:color w:val="000000" w:themeColor="text1"/>
          <w:sz w:val="32"/>
          <w:szCs w:val="32"/>
          <w:highlight w:val="none"/>
          <w14:textFill>
            <w14:solidFill>
              <w14:schemeClr w14:val="tx1"/>
            </w14:solidFill>
          </w14:textFill>
        </w:rPr>
        <w:t>国防动员和后备力量全面加强，工会、共青团、妇联、残联、工商联、文联、侨联、科协、红十字会等群团组织作用得到充分发挥，精神文明建设取得新成果。审计、移民、保密、统计、物价、档案、人防、气象、水文、史志、对台、老龄等工作都有新的进步。</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Style w:val="19"/>
          <w:rFonts w:hint="default" w:ascii="Times New Roman" w:hAnsi="Times New Roman" w:eastAsia="仿宋_GB2312" w:cs="Times New Roman"/>
          <w:color w:val="000000" w:themeColor="text1"/>
          <w:spacing w:val="0"/>
          <w:w w:val="100"/>
          <w:kern w:val="0"/>
          <w:sz w:val="32"/>
          <w:szCs w:val="32"/>
          <w:lang w:val="en-US" w:eastAsia="zh-CN" w:bidi="ar-SA"/>
          <w14:textFill>
            <w14:solidFill>
              <w14:schemeClr w14:val="tx1"/>
            </w14:solidFill>
          </w14:textFill>
        </w:rPr>
        <w:t>总体看，全</w:t>
      </w:r>
      <w:r>
        <w:rPr>
          <w:rStyle w:val="19"/>
          <w:rFonts w:hint="eastAsia" w:ascii="Times New Roman" w:hAnsi="Times New Roman" w:eastAsia="仿宋_GB2312" w:cs="Times New Roman"/>
          <w:color w:val="000000" w:themeColor="text1"/>
          <w:spacing w:val="0"/>
          <w:w w:val="100"/>
          <w:kern w:val="0"/>
          <w:sz w:val="32"/>
          <w:szCs w:val="32"/>
          <w:lang w:val="en-US" w:eastAsia="zh-CN" w:bidi="ar-SA"/>
          <w14:textFill>
            <w14:solidFill>
              <w14:schemeClr w14:val="tx1"/>
            </w14:solidFill>
          </w14:textFill>
        </w:rPr>
        <w:t>区</w:t>
      </w:r>
      <w:r>
        <w:rPr>
          <w:rStyle w:val="19"/>
          <w:rFonts w:hint="default" w:ascii="Times New Roman" w:hAnsi="Times New Roman" w:eastAsia="仿宋_GB2312" w:cs="Times New Roman"/>
          <w:bCs/>
          <w:color w:val="000000" w:themeColor="text1"/>
          <w:spacing w:val="0"/>
          <w:w w:val="100"/>
          <w:kern w:val="0"/>
          <w:sz w:val="32"/>
          <w:szCs w:val="32"/>
          <w:lang w:val="en-US" w:eastAsia="zh-CN" w:bidi="ar-SA"/>
          <w14:textFill>
            <w14:solidFill>
              <w14:schemeClr w14:val="tx1"/>
            </w14:solidFill>
          </w14:textFill>
        </w:rPr>
        <w:t>国民经济和社会发展计划执行情况较好，年初确定的各</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项约束性指标正在按时序推进，主要预期性经济指标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稳中有进</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在肯定成绩的同时，也要清醒地看到，对标高质量发展要求，我们还存在不少困难和短板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一是</w:t>
      </w:r>
      <w:r>
        <w:rPr>
          <w:rFonts w:hint="eastAsia" w:ascii="仿宋_GB2312" w:eastAsia="仿宋_GB2312" w:cs="仿宋_GB2312"/>
          <w:color w:val="auto"/>
          <w:sz w:val="32"/>
          <w:szCs w:val="32"/>
        </w:rPr>
        <w:t>受经济下行压力影响，社会资本投资意愿明显减弱，</w:t>
      </w:r>
      <w:r>
        <w:rPr>
          <w:rFonts w:hint="eastAsia" w:ascii="仿宋_GB2312" w:eastAsia="仿宋_GB2312" w:cs="仿宋_GB2312"/>
          <w:color w:val="auto"/>
          <w:sz w:val="32"/>
          <w:szCs w:val="32"/>
          <w:lang w:val="en-US" w:eastAsia="zh-CN"/>
        </w:rPr>
        <w:t>新入统市场主体数量有所下滑，</w:t>
      </w:r>
      <w:r>
        <w:rPr>
          <w:rFonts w:hint="eastAsia" w:ascii="仿宋_GB2312" w:eastAsia="仿宋_GB2312" w:cs="仿宋_GB2312"/>
          <w:color w:val="auto"/>
          <w:sz w:val="32"/>
          <w:szCs w:val="32"/>
        </w:rPr>
        <w:t>部分存量企业生产经营困难，</w:t>
      </w:r>
      <w:r>
        <w:rPr>
          <w:rFonts w:hint="eastAsia" w:ascii="仿宋_GB2312" w:eastAsia="仿宋_GB2312" w:cs="仿宋_GB2312"/>
          <w:color w:val="auto"/>
          <w:sz w:val="32"/>
          <w:szCs w:val="32"/>
          <w:lang w:val="en-US" w:eastAsia="zh-CN"/>
        </w:rPr>
        <w:t>未能开足马力满负荷生产，规模工业增加值等经济指标离预期还有一定差距</w:t>
      </w:r>
      <w:r>
        <w:rPr>
          <w:rFonts w:hint="eastAsia" w:ascii="仿宋_GB2312" w:eastAsia="仿宋_GB2312" w:cs="仿宋_GB2312"/>
          <w:color w:val="auto"/>
          <w:sz w:val="32"/>
          <w:szCs w:val="32"/>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二是</w:t>
      </w:r>
      <w:r>
        <w:rPr>
          <w:rFonts w:hint="eastAsia" w:ascii="仿宋_GB2312" w:eastAsia="仿宋_GB2312" w:cs="仿宋_GB2312"/>
          <w:color w:val="000000" w:themeColor="text1"/>
          <w:sz w:val="32"/>
          <w:szCs w:val="32"/>
          <w:lang w:val="en-US" w:eastAsia="zh-CN"/>
          <w14:textFill>
            <w14:solidFill>
              <w14:schemeClr w14:val="tx1"/>
            </w14:solidFill>
          </w14:textFill>
        </w:rPr>
        <w:t>“一主一特”</w:t>
      </w:r>
      <w:r>
        <w:rPr>
          <w:rFonts w:hint="eastAsia" w:ascii="仿宋_GB2312" w:eastAsia="仿宋_GB2312" w:cs="仿宋_GB2312"/>
          <w:color w:val="000000" w:themeColor="text1"/>
          <w:sz w:val="32"/>
          <w:szCs w:val="32"/>
          <w:lang w:val="en-US"/>
          <w14:textFill>
            <w14:solidFill>
              <w14:schemeClr w14:val="tx1"/>
            </w14:solidFill>
          </w14:textFill>
        </w:rPr>
        <w:t>产业</w:t>
      </w:r>
      <w:r>
        <w:rPr>
          <w:rFonts w:hint="eastAsia" w:ascii="仿宋_GB2312" w:eastAsia="仿宋_GB2312" w:cs="仿宋_GB2312"/>
          <w:color w:val="000000" w:themeColor="text1"/>
          <w:sz w:val="32"/>
          <w:szCs w:val="32"/>
          <w:lang w:val="en-US" w:eastAsia="zh-CN"/>
          <w14:textFill>
            <w14:solidFill>
              <w14:schemeClr w14:val="tx1"/>
            </w14:solidFill>
          </w14:textFill>
        </w:rPr>
        <w:t>体系尚未建成，部分</w:t>
      </w:r>
      <w:r>
        <w:rPr>
          <w:rFonts w:hint="default" w:ascii="仿宋_GB2312" w:eastAsia="仿宋_GB2312" w:cs="仿宋_GB2312"/>
          <w:color w:val="000000" w:themeColor="text1"/>
          <w:sz w:val="32"/>
          <w:szCs w:val="32"/>
          <w:lang w:val="en-US" w:eastAsia="zh-CN"/>
          <w14:textFill>
            <w14:solidFill>
              <w14:schemeClr w14:val="tx1"/>
            </w14:solidFill>
          </w14:textFill>
        </w:rPr>
        <w:t>存量企业生产不足</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default" w:ascii="仿宋_GB2312" w:eastAsia="仿宋_GB2312" w:cs="仿宋_GB2312"/>
          <w:color w:val="000000" w:themeColor="text1"/>
          <w:sz w:val="32"/>
          <w:szCs w:val="32"/>
          <w:lang w:val="en-US" w:eastAsia="zh-CN"/>
          <w14:textFill>
            <w14:solidFill>
              <w14:schemeClr w14:val="tx1"/>
            </w14:solidFill>
          </w14:textFill>
        </w:rPr>
        <w:t>产</w:t>
      </w:r>
      <w:r>
        <w:rPr>
          <w:rFonts w:hint="eastAsia" w:ascii="仿宋_GB2312" w:eastAsia="仿宋_GB2312" w:cs="仿宋_GB2312"/>
          <w:color w:val="000000" w:themeColor="text1"/>
          <w:sz w:val="32"/>
          <w:szCs w:val="32"/>
          <w:lang w:val="en-US" w:eastAsia="zh-CN"/>
          <w14:textFill>
            <w14:solidFill>
              <w14:schemeClr w14:val="tx1"/>
            </w14:solidFill>
          </w14:textFill>
        </w:rPr>
        <w:t>能</w:t>
      </w:r>
      <w:r>
        <w:rPr>
          <w:rFonts w:hint="default" w:ascii="仿宋_GB2312" w:eastAsia="仿宋_GB2312" w:cs="仿宋_GB2312"/>
          <w:color w:val="000000" w:themeColor="text1"/>
          <w:sz w:val="32"/>
          <w:szCs w:val="32"/>
          <w:lang w:val="en-US" w:eastAsia="zh-CN"/>
          <w14:textFill>
            <w14:solidFill>
              <w14:schemeClr w14:val="tx1"/>
            </w14:solidFill>
          </w14:textFill>
        </w:rPr>
        <w:t>下降</w:t>
      </w:r>
      <w:r>
        <w:rPr>
          <w:rFonts w:hint="eastAsia" w:ascii="仿宋_GB2312" w:eastAsia="仿宋_GB2312" w:cs="仿宋_GB2312"/>
          <w:color w:val="000000" w:themeColor="text1"/>
          <w:sz w:val="32"/>
          <w:szCs w:val="32"/>
          <w:lang w:val="en-US" w:eastAsia="zh-CN"/>
          <w14:textFill>
            <w14:solidFill>
              <w14:schemeClr w14:val="tx1"/>
            </w14:solidFill>
          </w14:textFill>
        </w:rPr>
        <w:t>，新增规模以上工业企业较去年有较大差距</w:t>
      </w:r>
      <w:r>
        <w:rPr>
          <w:rFonts w:hint="eastAsia" w:ascii="仿宋_GB2312" w:eastAsia="仿宋_GB2312" w:cs="仿宋_GB2312"/>
          <w:color w:val="000000" w:themeColor="text1"/>
          <w:sz w:val="32"/>
          <w:szCs w:val="32"/>
          <w:lang w:val="en-US"/>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w:t>
      </w:r>
      <w:r>
        <w:rPr>
          <w:rFonts w:hint="eastAsia" w:ascii="仿宋_GB2312" w:eastAsia="仿宋_GB2312" w:cs="仿宋_GB2312"/>
          <w:color w:val="auto"/>
          <w:sz w:val="32"/>
          <w:szCs w:val="32"/>
        </w:rPr>
        <w:t>债务负担重、财政运转难的现实问题仍然存在，统筹防风险、保稳定、惠民生、促发展的压力依然较大；</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四是</w:t>
      </w:r>
      <w:r>
        <w:rPr>
          <w:rFonts w:hint="eastAsia" w:ascii="仿宋_GB2312" w:eastAsia="仿宋_GB2312" w:cs="仿宋_GB2312"/>
          <w:color w:val="000000" w:themeColor="text1"/>
          <w:sz w:val="32"/>
          <w:szCs w:val="32"/>
          <w:lang w:val="en-US" w:eastAsia="zh-CN"/>
          <w14:textFill>
            <w14:solidFill>
              <w14:schemeClr w14:val="tx1"/>
            </w14:solidFill>
          </w14:textFill>
        </w:rPr>
        <w:t>民生领域还有不少短板，部分群众在就业、教育、医疗、交通、养老等方面还有不少“急难愁盼”。对此，</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在今后工作中，</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切实</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采取有</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力措施认真加以解决。</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snapToGrid/>
        <w:spacing w:line="560" w:lineRule="exact"/>
        <w:ind w:firstLine="640" w:firstLineChars="200"/>
        <w:jc w:val="both"/>
        <w:textAlignment w:val="auto"/>
        <w:rPr>
          <w:rStyle w:val="19"/>
          <w:rFonts w:hint="eastAsia" w:ascii="黑体" w:hAnsi="黑体" w:eastAsia="黑体" w:cs="黑体"/>
          <w:color w:val="000000" w:themeColor="text1"/>
          <w:spacing w:val="0"/>
          <w:w w:val="100"/>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二、</w:t>
      </w:r>
      <w:r>
        <w:rPr>
          <w:rStyle w:val="19"/>
          <w:rFonts w:hint="eastAsia" w:ascii="黑体" w:hAnsi="黑体" w:eastAsia="黑体" w:cs="黑体"/>
          <w:color w:val="000000" w:themeColor="text1"/>
          <w:spacing w:val="0"/>
          <w:w w:val="100"/>
          <w:kern w:val="0"/>
          <w:sz w:val="32"/>
          <w:szCs w:val="32"/>
          <w:lang w:val="en-US" w:eastAsia="zh-CN" w:bidi="ar-SA"/>
          <w14:textFill>
            <w14:solidFill>
              <w14:schemeClr w14:val="tx1"/>
            </w14:solidFill>
          </w14:textFill>
        </w:rPr>
        <w:t>2025年国民经济和社会发展主要预期目标和任务</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i w:val="0"/>
          <w:iCs w:val="0"/>
          <w:caps w:val="0"/>
          <w:small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2025年全区经济社会发展的总体要求是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黑体" w:hAnsi="黑体" w:eastAsia="黑体" w:cs="黑体"/>
          <w:i w:val="0"/>
          <w:iCs w:val="0"/>
          <w:caps w:val="0"/>
          <w:smallCaps w:val="0"/>
          <w:color w:val="000000" w:themeColor="text1"/>
          <w:spacing w:val="0"/>
          <w:sz w:val="32"/>
          <w:szCs w:val="32"/>
          <w:shd w:val="clear" w:color="auto" w:fill="FFFFFF"/>
          <w:lang w:val="en-US" w:eastAsia="zh-CN"/>
          <w14:textFill>
            <w14:solidFill>
              <w14:schemeClr w14:val="tx1"/>
            </w14:solidFill>
          </w14:textFill>
        </w:rPr>
        <w:t>以习近平新时代中国特色社会主义思想为指导，全面贯彻党的二十大和二十届二中、三中全会精神，深入贯彻习近平总书记关于湖南工作的重要讲话和指示批示精神，全面落实省委十二届六次、七次和市委六届六次、七次全会精神，落实区委九届六次、七次全会部署，坚持稳中求进工作总基调，完整准确全面贯彻新发展理念，加快构建新发展格局，扎实推动高质量发展，锚定“三高四新”美好蓝图，聚焦打造“四区两城”、建设“五力零陵”目标，进一步全面深化改革，扩大高水平对外开放，建设现代化产业体系，更好统筹发展和安全，扩大需求，推动科技创新和产业创新融合发展，稳住楼市，防范化解重点领域风险，稳定预期、激发活力，推动经济持续回升向好，不断提高人民生活水平，保持社会和谐稳定，高质量完成“十四五”规划目标任务，为实现“十五五”良好开局打牢基础。</w:t>
      </w:r>
    </w:p>
    <w:p>
      <w:pPr>
        <w:keepNext w:val="0"/>
        <w:keepLines w:val="0"/>
        <w:pageBreakBefore w:val="0"/>
        <w:widowControl w:val="0"/>
        <w:pBdr>
          <w:bottom w:val="single" w:color="FFFFFF" w:sz="4" w:space="20"/>
        </w:pBdr>
        <w:tabs>
          <w:tab w:val="left" w:pos="8040"/>
          <w:tab w:val="left" w:pos="8080"/>
        </w:tabs>
        <w:kinsoku/>
        <w:wordWrap/>
        <w:overflowPunct/>
        <w:topLinePunct/>
        <w:autoSpaceDE/>
        <w:autoSpaceDN/>
        <w:bidi w:val="0"/>
        <w:adjustRightInd/>
        <w:snapToGrid/>
        <w:spacing w:line="560" w:lineRule="exact"/>
        <w:ind w:firstLine="620" w:firstLineChars="200"/>
        <w:jc w:val="both"/>
        <w:textAlignment w:val="auto"/>
        <w:rPr>
          <w:rFonts w:hint="eastAsia" w:ascii="楷体_GB2312" w:hAnsi="楷体_GB2312" w:eastAsia="楷体_GB2312" w:cs="楷体_GB2312"/>
          <w:i w:val="0"/>
          <w:iCs w:val="0"/>
          <w:caps w:val="0"/>
          <w:small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2025</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年主要</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预期</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目标：</w:t>
      </w:r>
      <w:r>
        <w:rPr>
          <w:rFonts w:hint="eastAsia" w:ascii="仿宋_GB2312" w:eastAsia="仿宋_GB2312" w:cs="仿宋_GB2312"/>
          <w:color w:val="auto"/>
          <w:sz w:val="32"/>
          <w:szCs w:val="32"/>
          <w:shd w:val="clear" w:color="auto" w:fill="FFFFFF"/>
        </w:rPr>
        <w:t>社会消费品零售总额、固定资产投资增速保持全市前列，地区生产总值、规模工业增加值</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lang w:val="en-US" w:eastAsia="zh-CN"/>
        </w:rPr>
        <w:t>地方</w:t>
      </w:r>
      <w:r>
        <w:rPr>
          <w:rFonts w:hint="eastAsia" w:ascii="仿宋_GB2312" w:eastAsia="仿宋_GB2312" w:cs="仿宋_GB2312"/>
          <w:color w:val="auto"/>
          <w:sz w:val="32"/>
          <w:szCs w:val="32"/>
          <w:lang w:val="en-US" w:eastAsia="zh-CN"/>
        </w:rPr>
        <w:t>一般公共预算收入</w:t>
      </w:r>
      <w:r>
        <w:rPr>
          <w:rFonts w:hint="eastAsia" w:ascii="仿宋_GB2312" w:eastAsia="仿宋_GB2312" w:cs="仿宋_GB2312"/>
          <w:color w:val="auto"/>
          <w:sz w:val="32"/>
          <w:szCs w:val="32"/>
          <w:shd w:val="clear" w:color="auto" w:fill="FFFFFF"/>
        </w:rPr>
        <w:t>增速高于全市平均水平，</w:t>
      </w:r>
      <w:r>
        <w:rPr>
          <w:rFonts w:hint="eastAsia" w:ascii="仿宋_GB2312" w:eastAsia="仿宋_GB2312" w:cs="仿宋_GB2312"/>
          <w:color w:val="auto"/>
          <w:sz w:val="32"/>
          <w:szCs w:val="32"/>
        </w:rPr>
        <w:t>居民收入增</w:t>
      </w:r>
      <w:r>
        <w:rPr>
          <w:rFonts w:hint="eastAsia" w:ascii="仿宋_GB2312" w:eastAsia="仿宋_GB2312" w:cs="仿宋_GB2312"/>
          <w:color w:val="auto"/>
          <w:sz w:val="32"/>
          <w:szCs w:val="32"/>
          <w:lang w:val="en-US" w:eastAsia="zh-CN"/>
        </w:rPr>
        <w:t>速高于经济增速，农村居民收入增速高于城镇居民收入增速。城镇调查失业率与全市保持一致。节能减排和碳排放强度下降</w:t>
      </w:r>
      <w:r>
        <w:rPr>
          <w:rFonts w:hint="eastAsia" w:ascii="仿宋_GB2312" w:eastAsia="仿宋_GB2312" w:cs="仿宋_GB2312"/>
          <w:color w:val="auto"/>
          <w:sz w:val="32"/>
          <w:szCs w:val="32"/>
        </w:rPr>
        <w:t>完成省定、市定任务。</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为实现上述目标任务，重点抓好</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七</w:t>
      </w:r>
      <w:r>
        <w:rPr>
          <w:rFonts w:hint="default" w:ascii="Times New Roman" w:hAnsi="Times New Roman" w:eastAsia="仿宋_GB2312" w:cs="Times New Roman"/>
          <w:color w:val="000000" w:themeColor="text1"/>
          <w:kern w:val="0"/>
          <w:sz w:val="32"/>
          <w:szCs w:val="32"/>
          <w14:textFill>
            <w14:solidFill>
              <w14:schemeClr w14:val="tx1"/>
            </w14:solidFill>
          </w14:textFill>
        </w:rPr>
        <w:t>个方面的工作：</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1.高标准高层次，抓好项目争资建设。</w:t>
      </w:r>
      <w:r>
        <w:rPr>
          <w:rFonts w:hint="eastAsia" w:ascii="仿宋_GB2312" w:eastAsia="仿宋_GB2312" w:cs="仿宋_GB2312"/>
          <w:b/>
          <w:bCs/>
          <w:color w:val="000000" w:themeColor="text1"/>
          <w:sz w:val="32"/>
          <w:szCs w:val="32"/>
          <w:lang w:val="en-US" w:eastAsia="zh-CN"/>
          <w14:textFill>
            <w14:solidFill>
              <w14:schemeClr w14:val="tx1"/>
            </w14:solidFill>
          </w14:textFill>
        </w:rPr>
        <w:t>一是加快重点项目建设。</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推动中设新材料（二期）、联汇新材料等15个在建产业项目早日竣工投产，推动4万吨独居石加工、5万吨四氧化三锰等20个签约项目尽快落地开工。推动存量企业做大做强，大力支持零陵卷烟厂、时代阳光、建华机械厂技改扩能，支持百信锰业、万事达锰业等涉锰企业设备更新，支持雅大智能、鑫城锰业、建华机械厂申报省级创新平台。全年完成工业投资40亿元以上，新增规模以上工业企业20家以上，新入库省级以上高新技术企业15家以上。扎实推进“五好”园区建设，园区规模工业增加值占比75%以上，亩均税收增长15%以上，力争综合评价进入全省前50名。</w:t>
      </w:r>
      <w:r>
        <w:rPr>
          <w:rFonts w:hint="eastAsia" w:ascii="仿宋_GB2312" w:eastAsia="仿宋_GB2312" w:cs="仿宋_GB2312"/>
          <w:b/>
          <w:bCs/>
          <w:color w:val="000000" w:themeColor="text1"/>
          <w:sz w:val="32"/>
          <w:szCs w:val="32"/>
          <w:lang w:val="en-US" w:eastAsia="zh-CN"/>
          <w14:textFill>
            <w14:solidFill>
              <w14:schemeClr w14:val="tx1"/>
            </w14:solidFill>
          </w14:textFill>
        </w:rPr>
        <w:t>二是全力以赴争资上项。</w:t>
      </w:r>
      <w:r>
        <w:rPr>
          <w:rFonts w:hint="eastAsia" w:ascii="仿宋_GB2312" w:eastAsia="仿宋_GB2312" w:cs="仿宋_GB2312"/>
          <w:color w:val="auto"/>
          <w:sz w:val="32"/>
          <w:szCs w:val="32"/>
          <w:shd w:val="clear" w:color="auto" w:fill="FFFFFF"/>
        </w:rPr>
        <w:t>着力在城市管网、城市更新、社会事业、农田水利、污染治理等领域谋划储备一批重大项目，确保在库项目100个以上。全年争取中央预算内资金1.5亿元以上、超长期国债2亿元以上、专项债</w:t>
      </w:r>
      <w:r>
        <w:rPr>
          <w:rFonts w:ascii="仿宋_GB2312" w:eastAsia="仿宋_GB2312" w:cs="仿宋_GB2312"/>
          <w:color w:val="auto"/>
          <w:sz w:val="32"/>
          <w:szCs w:val="32"/>
          <w:shd w:val="clear" w:color="auto" w:fill="FFFFFF"/>
        </w:rPr>
        <w:t>和一般债</w:t>
      </w:r>
      <w:r>
        <w:rPr>
          <w:rFonts w:hint="eastAsia" w:ascii="仿宋_GB2312" w:eastAsia="仿宋_GB2312" w:cs="仿宋_GB2312"/>
          <w:color w:val="auto"/>
          <w:sz w:val="32"/>
          <w:szCs w:val="32"/>
          <w:shd w:val="clear" w:color="auto" w:fill="FFFFFF"/>
        </w:rPr>
        <w:t>12亿元以上。积极转变招商思路和招商方式，探索实施“基金招商”“资源招商”“市场招商”等新模式，力争全年引进5000万元以上项目40个以上、合同引资70亿元以上。完善“湘商回归”“校友回湘”联络对接机制，新注册</w:t>
      </w:r>
      <w:r>
        <w:rPr>
          <w:rFonts w:hint="eastAsia" w:ascii="仿宋_GB2312" w:eastAsia="仿宋_GB2312" w:cs="仿宋_GB2312"/>
          <w:color w:val="auto"/>
          <w:sz w:val="32"/>
          <w:szCs w:val="32"/>
          <w:shd w:val="clear" w:color="auto" w:fill="FFFFFF"/>
          <w:lang w:val="en-US" w:eastAsia="zh-CN"/>
        </w:rPr>
        <w:t>湘商</w:t>
      </w:r>
      <w:r>
        <w:rPr>
          <w:rFonts w:hint="eastAsia" w:ascii="仿宋_GB2312" w:eastAsia="仿宋_GB2312" w:cs="仿宋_GB2312"/>
          <w:color w:val="auto"/>
          <w:sz w:val="32"/>
          <w:szCs w:val="32"/>
          <w:shd w:val="clear" w:color="auto" w:fill="FFFFFF"/>
        </w:rPr>
        <w:t>项目22个以上</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实际到位资金40亿元以上。持续加大项目建设力度，全年实施重点项目150个以上，完成年度投资130亿元以上。力争何仙观水库、湘江航道零陵千吨级码头立项。加快零陵绕城高速、湘桂运河前期工作。认真编制“十五五”规划，争取一批重大项目纳入国家和省市发展规划。</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eastAsia="仿宋_GB2312" w:cs="仿宋_GB2312"/>
          <w:b/>
          <w:bCs/>
          <w:i w:val="0"/>
          <w:iCs w:val="0"/>
          <w:caps w:val="0"/>
          <w:smallCaps w:val="0"/>
          <w:color w:val="000000" w:themeColor="text1"/>
          <w:spacing w:val="0"/>
          <w:sz w:val="32"/>
          <w:szCs w:val="32"/>
          <w:shd w:val="clear" w:color="auto" w:fill="FFFFFF"/>
          <w:lang w:val="en-US" w:eastAsia="zh-CN"/>
          <w14:textFill>
            <w14:solidFill>
              <w14:schemeClr w14:val="tx1"/>
            </w14:solidFill>
          </w14:textFill>
        </w:rPr>
        <w:t>2025年将重点实施十大制造业项目：</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零陵卷烟厂卷包及动力车间就地技术改造；伍子醉生态链产业园；稀土冶炼分离项目；中设新材料（二期）；科瑞锰业；中芯能2万吨锂电池正极原材料；4万吨独居石加工氯化稀土；钽铌锡等稀有元素综合利用；稀贵金属综合利用；循环科技。</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2.高效能高产出，推进新型工业化发展。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一是全力构建产业链条，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重点推进稀土新材料、锰系新材料等主导产业链建设，充分发挥</w:t>
      </w:r>
      <w:r>
        <w:rPr>
          <w:rFonts w:hint="eastAsia" w:ascii="仿宋_GB2312" w:hAnsi="仿宋_GB2312" w:eastAsia="仿宋_GB2312" w:cs="仿宋_GB2312"/>
          <w:snapToGrid w:val="0"/>
          <w:color w:val="000000" w:themeColor="text1"/>
          <w:spacing w:val="0"/>
          <w:kern w:val="0"/>
          <w:sz w:val="32"/>
          <w:szCs w:val="32"/>
          <w:u w:val="none"/>
          <w:lang w:val="en-US" w:eastAsia="zh-CN" w:bidi="ar-SA"/>
          <w14:textFill>
            <w14:solidFill>
              <w14:schemeClr w14:val="tx1"/>
            </w14:solidFill>
          </w14:textFill>
        </w:rPr>
        <w:t>全省唯一、全国少有的伴生矿综合处置中心的集聚作用，加快推进园区污水处理厂、自来水厂等基础配套设施建设，争取稀土分离及后端稀土金属应用项目集中落户到园区。优化锰产业发展路径，</w:t>
      </w:r>
      <w:r>
        <w:rPr>
          <w:rFonts w:hint="eastAsia" w:ascii="仿宋_GB2312" w:hAnsi="Calibri" w:eastAsia="仿宋_GB2312" w:cs="Calibri"/>
          <w:color w:val="000000" w:themeColor="text1"/>
          <w:kern w:val="2"/>
          <w:sz w:val="32"/>
          <w:szCs w:val="32"/>
          <w:u w:val="none"/>
          <w:lang w:val="en-US" w:eastAsia="zh-CN" w:bidi="ar-SA"/>
          <w14:textFill>
            <w14:solidFill>
              <w14:schemeClr w14:val="tx1"/>
            </w14:solidFill>
          </w14:textFill>
        </w:rPr>
        <w:t>依托丰富的锰资源优势，重点引进发展电池级硫酸锰、锰酸锂等新能源电池正极材料项目，</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支持鑫城锰业与湘潭电化加快合作进度，支持联汇新材料延伸产业链条</w:t>
      </w:r>
      <w:r>
        <w:rPr>
          <w:rFonts w:hint="eastAsia" w:ascii="仿宋_GB2312" w:hAnsi="Calibri" w:eastAsia="仿宋_GB2312" w:cs="Calibri"/>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二是</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深化园区体制改革</w:t>
      </w:r>
      <w:r>
        <w:rPr>
          <w:rFonts w:hint="eastAsia" w:ascii="楷体_GB2312" w:hAnsi="楷体_GB2312" w:eastAsia="楷体_GB2312" w:cs="楷体_GB2312"/>
          <w:b/>
          <w:bCs/>
          <w:i w:val="0"/>
          <w:iCs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积极探索“以企建园”新路径，全面推行“管委会+公司”管理模式。永稀公司要强化市场化运营理念，落实“以企建园”要求，积极参与伴生矿物料处置中心项目的运营管理，充分利用项目的核心竞争力和《稀土管理条例》出台实施的重大契机，推动中国稀土集团、湖南稀土公司加快</w:t>
      </w:r>
      <w:r>
        <w:rPr>
          <w:rFonts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独居石加工和冶炼分离产能整合</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，旗帜鲜明将湖南稀土新材料产业园打造成全国具有重要影响力的以独居石为主的稀土加工</w:t>
      </w:r>
      <w:r>
        <w:rPr>
          <w:rFonts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、冶炼分离及</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应用创新示范基地。锰业公司要强化对锰矿资源的掌控力，加快矿权整治整合；战略性开展找矿、探矿、采矿行动，适度参与锰系新材料产业链尖端项目运营，</w:t>
      </w:r>
      <w:r>
        <w:rPr>
          <w:rFonts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增强</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产业</w:t>
      </w:r>
      <w:r>
        <w:rPr>
          <w:rFonts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集聚</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吸附力。萍洲公司要强化市场化建园理念，持续推进园区标准厂房</w:t>
      </w:r>
      <w:r>
        <w:rPr>
          <w:rFonts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、闲置土地</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等</w:t>
      </w:r>
      <w:r>
        <w:rPr>
          <w:rFonts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资源资产</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w:t>
      </w:r>
      <w:r>
        <w:rPr>
          <w:rFonts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盘活填空</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”行动，力争全年盘活土地300亩以上、僵尸企业4家以上，出租</w:t>
      </w:r>
      <w:r>
        <w:rPr>
          <w:rFonts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、出售</w:t>
      </w:r>
      <w:r>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t>标准厂房10万平方米以上。</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三是全面释放园区活力。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强化质量效益导向，持续推进标准厂房“填满行动”，加快推进</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河西园区闲置低效用地、厂房清理处置、“僵尸”企业、破产清算企业等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资产资源</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盘活利用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打好园区管理体制与运行机制改革攻坚战，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持续深化与中国稀土集团的战略合作，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探索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“区中园”运营管理模式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，赋予永稀公司充分的自主经营权，加快建立专业化、市场化的园区运行机制。</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color w:val="auto"/>
          <w:sz w:val="32"/>
          <w:szCs w:val="32"/>
        </w:rPr>
      </w:pPr>
      <w:r>
        <w:rPr>
          <w:rFonts w:hint="eastAsia" w:ascii="楷体_GB2312" w:eastAsia="楷体_GB2312" w:cs="楷体_GB2312"/>
          <w:b/>
          <w:bCs/>
          <w:color w:val="000000" w:themeColor="text1"/>
          <w:sz w:val="32"/>
          <w:szCs w:val="32"/>
          <w:highlight w:val="none"/>
          <w:lang w:val="en-US" w:eastAsia="zh-CN"/>
          <w14:textFill>
            <w14:solidFill>
              <w14:schemeClr w14:val="tx1"/>
            </w14:solidFill>
          </w14:textFill>
        </w:rPr>
        <w:t>3.高起点高理念，</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推进乡村全面振兴。</w:t>
      </w:r>
      <w:r>
        <w:rPr>
          <w:rFonts w:hint="eastAsia" w:ascii="仿宋_GB2312" w:eastAsia="仿宋_GB2312" w:cs="仿宋_GB2312"/>
          <w:b/>
          <w:bCs/>
          <w:color w:val="000000" w:themeColor="text1"/>
          <w:sz w:val="32"/>
          <w:szCs w:val="32"/>
          <w:lang w:val="en-US" w:eastAsia="zh-CN"/>
          <w14:textFill>
            <w14:solidFill>
              <w14:schemeClr w14:val="tx1"/>
            </w14:solidFill>
          </w14:textFill>
        </w:rPr>
        <w:t>一是筑牢粮食安全底线</w:t>
      </w:r>
      <w:r>
        <w:rPr>
          <w:rFonts w:hint="eastAsia" w:ascii="仿宋_GB2312" w:eastAsia="仿宋_GB2312" w:cs="仿宋_GB2312"/>
          <w:b/>
          <w:bCs/>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pacing w:val="0"/>
          <w:sz w:val="32"/>
          <w:szCs w:val="32"/>
          <w:lang w:val="en-US" w:eastAsia="zh-CN"/>
          <w14:textFill>
            <w14:solidFill>
              <w14:schemeClr w14:val="tx1"/>
            </w14:solidFill>
          </w14:textFill>
        </w:rPr>
        <w:t>严格耕地占补平衡管理，完成耕地恢复6000亩，建设高标准农田2万亩，坚决守住55.08万亩耕地、47.46万亩永久基本农田保护红线。强化粮食和重要农产品稳产保供，完成粮食种植面积86万亩以上，总产38万吨以上。新打造“千字号”基地3个以上，“百字号”特色基地10个以上。落实油菜种植面积24万亩以上、蔬菜种植面积45万亩以上，出栏生猪85万头以上，水产总量2万吨左右。用好农机更新补贴政策，水稻耕种收综合机械化率达到88%以上。完成第三次土壤普查工作。</w:t>
      </w:r>
      <w:r>
        <w:rPr>
          <w:rFonts w:hint="eastAsia" w:ascii="仿宋_GB2312" w:eastAsia="仿宋_GB2312" w:cs="仿宋_GB2312"/>
          <w:b/>
          <w:bCs/>
          <w:color w:val="000000" w:themeColor="text1"/>
          <w:sz w:val="32"/>
          <w:szCs w:val="32"/>
          <w:lang w:val="en-US" w:eastAsia="zh-CN"/>
          <w14:textFill>
            <w14:solidFill>
              <w14:schemeClr w14:val="tx1"/>
            </w14:solidFill>
          </w14:textFill>
        </w:rPr>
        <w:t>二是提升农业产业化水平。</w:t>
      </w:r>
      <w:r>
        <w:rPr>
          <w:rFonts w:hint="eastAsia" w:ascii="仿宋_GB2312" w:eastAsia="仿宋_GB2312" w:cs="仿宋_GB2312"/>
          <w:bCs/>
          <w:color w:val="auto"/>
          <w:sz w:val="32"/>
          <w:szCs w:val="32"/>
        </w:rPr>
        <w:t>全年</w:t>
      </w:r>
      <w:r>
        <w:rPr>
          <w:rFonts w:hint="eastAsia" w:ascii="仿宋_GB2312" w:eastAsia="仿宋_GB2312" w:cs="仿宋_GB2312"/>
          <w:color w:val="auto"/>
          <w:sz w:val="32"/>
          <w:szCs w:val="32"/>
        </w:rPr>
        <w:t>引进投资5000万元以上农业产业项目4个</w:t>
      </w:r>
      <w:r>
        <w:rPr>
          <w:rFonts w:hint="eastAsia" w:ascii="仿宋_GB2312" w:eastAsia="仿宋_GB2312" w:cs="仿宋_GB2312"/>
          <w:bCs/>
          <w:color w:val="auto"/>
          <w:sz w:val="32"/>
          <w:szCs w:val="32"/>
        </w:rPr>
        <w:t>，</w:t>
      </w:r>
      <w:r>
        <w:rPr>
          <w:rFonts w:hint="eastAsia" w:ascii="仿宋_GB2312" w:eastAsia="仿宋_GB2312" w:cs="仿宋_GB2312"/>
          <w:color w:val="auto"/>
          <w:sz w:val="32"/>
          <w:szCs w:val="32"/>
        </w:rPr>
        <w:t>每个乡镇都要招引1—2个</w:t>
      </w:r>
      <w:r>
        <w:rPr>
          <w:rFonts w:ascii="仿宋_GB2312" w:eastAsia="仿宋_GB2312" w:cs="仿宋_GB2312"/>
          <w:color w:val="auto"/>
          <w:sz w:val="32"/>
          <w:szCs w:val="32"/>
        </w:rPr>
        <w:t>5</w:t>
      </w:r>
      <w:r>
        <w:rPr>
          <w:rFonts w:hint="eastAsia" w:ascii="仿宋_GB2312" w:eastAsia="仿宋_GB2312" w:cs="仿宋_GB2312"/>
          <w:color w:val="auto"/>
          <w:sz w:val="32"/>
          <w:szCs w:val="32"/>
        </w:rPr>
        <w:t>00万元以上的农业产业项目。新</w:t>
      </w:r>
      <w:r>
        <w:rPr>
          <w:rFonts w:hint="eastAsia" w:ascii="仿宋_GB2312" w:eastAsia="仿宋_GB2312" w:cs="仿宋_GB2312"/>
          <w:bCs/>
          <w:color w:val="auto"/>
          <w:sz w:val="32"/>
          <w:szCs w:val="32"/>
        </w:rPr>
        <w:t>培育</w:t>
      </w:r>
      <w:r>
        <w:rPr>
          <w:rFonts w:hint="eastAsia" w:ascii="仿宋_GB2312" w:eastAsia="仿宋_GB2312" w:cs="仿宋_GB2312"/>
          <w:color w:val="auto"/>
          <w:sz w:val="32"/>
          <w:szCs w:val="32"/>
        </w:rPr>
        <w:t>规模以上农业企业</w:t>
      </w:r>
      <w:r>
        <w:rPr>
          <w:rFonts w:ascii="仿宋_GB2312" w:eastAsia="仿宋_GB2312" w:cs="仿宋_GB2312"/>
          <w:color w:val="auto"/>
          <w:sz w:val="32"/>
          <w:szCs w:val="32"/>
        </w:rPr>
        <w:t>5</w:t>
      </w:r>
      <w:r>
        <w:rPr>
          <w:rFonts w:hint="eastAsia" w:ascii="仿宋_GB2312" w:eastAsia="仿宋_GB2312" w:cs="仿宋_GB2312"/>
          <w:color w:val="auto"/>
          <w:sz w:val="32"/>
          <w:szCs w:val="32"/>
        </w:rPr>
        <w:t>家、省市级龙头企业</w:t>
      </w:r>
      <w:r>
        <w:rPr>
          <w:rFonts w:ascii="仿宋_GB2312" w:eastAsia="仿宋_GB2312" w:cs="仿宋_GB2312"/>
          <w:color w:val="auto"/>
          <w:sz w:val="32"/>
          <w:szCs w:val="32"/>
        </w:rPr>
        <w:t>3</w:t>
      </w:r>
      <w:r>
        <w:rPr>
          <w:rFonts w:hint="eastAsia" w:ascii="仿宋_GB2312" w:eastAsia="仿宋_GB2312" w:cs="仿宋_GB2312"/>
          <w:color w:val="auto"/>
          <w:sz w:val="32"/>
          <w:szCs w:val="32"/>
        </w:rPr>
        <w:t>家。</w:t>
      </w:r>
      <w:r>
        <w:rPr>
          <w:rFonts w:hint="eastAsia" w:ascii="仿宋_GB2312" w:eastAsia="仿宋_GB2312" w:cs="仿宋_GB2312"/>
          <w:color w:val="auto"/>
          <w:sz w:val="32"/>
          <w:szCs w:val="32"/>
          <w:lang w:val="en-US" w:eastAsia="zh-CN"/>
        </w:rPr>
        <w:t>大力</w:t>
      </w:r>
      <w:r>
        <w:rPr>
          <w:rFonts w:hint="eastAsia" w:ascii="仿宋_GB2312" w:eastAsia="仿宋_GB2312" w:cs="仿宋_GB2312"/>
          <w:color w:val="auto"/>
          <w:sz w:val="32"/>
          <w:szCs w:val="32"/>
        </w:rPr>
        <w:t>推进牛皮滩村、横石村、高夫殿村</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油山岭村</w:t>
      </w:r>
      <w:r>
        <w:rPr>
          <w:rFonts w:hint="eastAsia" w:ascii="仿宋_GB2312" w:eastAsia="仿宋_GB2312" w:cs="仿宋_GB2312"/>
          <w:color w:val="auto"/>
          <w:sz w:val="32"/>
          <w:szCs w:val="32"/>
        </w:rPr>
        <w:t>等设施蔬菜基地建设，实现高效设施蔬菜基地“零”的突破。实施好中央财政油茶产业发展示范项目，打造黄田铺、石山脚万亩高标准中药材种植基地。鼓励支持零陵大曲落户零陵，支持穇子酒做大做强。依托蔬菜、油茶、柑橘、竹木等特色农</w:t>
      </w:r>
      <w:r>
        <w:rPr>
          <w:rFonts w:hint="eastAsia" w:ascii="仿宋_GB2312" w:eastAsia="仿宋_GB2312" w:cs="仿宋_GB2312"/>
          <w:color w:val="auto"/>
          <w:sz w:val="32"/>
          <w:szCs w:val="32"/>
          <w:lang w:val="en-US" w:eastAsia="zh-CN"/>
        </w:rPr>
        <w:t>林</w:t>
      </w:r>
      <w:r>
        <w:rPr>
          <w:rFonts w:hint="eastAsia" w:ascii="仿宋_GB2312" w:eastAsia="仿宋_GB2312" w:cs="仿宋_GB2312"/>
          <w:color w:val="auto"/>
          <w:sz w:val="32"/>
          <w:szCs w:val="32"/>
        </w:rPr>
        <w:t>产品，力争引进1—2个农</w:t>
      </w:r>
      <w:r>
        <w:rPr>
          <w:rFonts w:hint="eastAsia" w:ascii="仿宋_GB2312" w:eastAsia="仿宋_GB2312" w:cs="仿宋_GB2312"/>
          <w:color w:val="auto"/>
          <w:sz w:val="32"/>
          <w:szCs w:val="32"/>
          <w:lang w:val="en-US" w:eastAsia="zh-CN"/>
        </w:rPr>
        <w:t>林</w:t>
      </w:r>
      <w:r>
        <w:rPr>
          <w:rFonts w:hint="eastAsia" w:ascii="仿宋_GB2312" w:eastAsia="仿宋_GB2312" w:cs="仿宋_GB2312"/>
          <w:color w:val="auto"/>
          <w:sz w:val="32"/>
          <w:szCs w:val="32"/>
        </w:rPr>
        <w:t>产品精深加工龙头企业。鼓励支持群众发展特色种养殖业</w:t>
      </w:r>
      <w:r>
        <w:rPr>
          <w:rFonts w:hint="eastAsia" w:ascii="仿宋_GB2312" w:eastAsia="仿宋_GB2312" w:cs="仿宋_GB2312"/>
          <w:color w:val="auto"/>
          <w:sz w:val="32"/>
          <w:szCs w:val="32"/>
          <w:lang w:val="en-US" w:eastAsia="zh-CN"/>
        </w:rPr>
        <w:t>和林下经济</w:t>
      </w:r>
      <w:r>
        <w:rPr>
          <w:rFonts w:hint="eastAsia" w:ascii="仿宋_GB2312" w:eastAsia="仿宋_GB2312" w:cs="仿宋_GB2312"/>
          <w:color w:val="auto"/>
          <w:sz w:val="32"/>
          <w:szCs w:val="32"/>
        </w:rPr>
        <w:t>，大力支持文雷村乳鸽、鹧鸪岭蛋鸡、安民农场南美白对虾等养殖基地做大做强。</w:t>
      </w:r>
      <w:r>
        <w:rPr>
          <w:rFonts w:hint="eastAsia" w:ascii="仿宋_GB2312" w:eastAsia="仿宋_GB2312" w:cs="仿宋_GB2312"/>
          <w:b/>
          <w:bCs/>
          <w:color w:val="000000" w:themeColor="text1"/>
          <w:sz w:val="32"/>
          <w:szCs w:val="32"/>
          <w:lang w:val="en-US" w:eastAsia="zh-CN"/>
          <w14:textFill>
            <w14:solidFill>
              <w14:schemeClr w14:val="tx1"/>
            </w14:solidFill>
          </w14:textFill>
        </w:rPr>
        <w:t>三是推进农业事业改革</w:t>
      </w:r>
      <w:r>
        <w:rPr>
          <w:rFonts w:hint="eastAsia" w:asci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cs="仿宋_GB2312"/>
          <w:color w:val="auto"/>
          <w:sz w:val="32"/>
          <w:szCs w:val="32"/>
        </w:rPr>
        <w:t>扎实推进第二轮土地承包到期后再延长30年试点、农村宅基地、集体林权制度改革</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完成土地流转交易中心建设。毫不松懈抓好巩固拓展脱贫攻坚成果各项工作，促进脱贫群众增收致富和脱贫地区高质量发展。鼓励基层改革探索和创新，支持集体经济组织适度整合农村“三资”，探索新型公私联营合作模式，</w:t>
      </w:r>
      <w:r>
        <w:rPr>
          <w:rFonts w:hint="eastAsia" w:ascii="仿宋_GB2312" w:eastAsia="仿宋_GB2312" w:cs="仿宋_GB2312"/>
          <w:color w:val="auto"/>
          <w:sz w:val="32"/>
          <w:szCs w:val="32"/>
          <w:lang w:val="en-US" w:eastAsia="zh-CN"/>
        </w:rPr>
        <w:t>推进农村闲置农房资源盘活利用，</w:t>
      </w:r>
      <w:r>
        <w:rPr>
          <w:rFonts w:hint="eastAsia" w:ascii="仿宋_GB2312" w:eastAsia="仿宋_GB2312" w:cs="仿宋_GB2312"/>
          <w:color w:val="auto"/>
          <w:sz w:val="32"/>
          <w:szCs w:val="32"/>
        </w:rPr>
        <w:t>力争全区50%以上的行政村集体经济收入达到10万元。加强“乡村振兴共享贷”资金监管和跟踪问效，确保资金安全。深化拓展乡村振兴月例会成果，全面提升乡村治理能力</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争创国家乡村振兴示范县。</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4.高提质高赋能，打造旅游文化强区。</w:t>
      </w:r>
      <w:r>
        <w:rPr>
          <w:rFonts w:hint="eastAsia" w:ascii="仿宋_GB2312" w:eastAsia="仿宋_GB2312" w:cs="仿宋_GB2312"/>
          <w:b/>
          <w:bCs/>
          <w:color w:val="000000" w:themeColor="text1"/>
          <w:sz w:val="32"/>
          <w:szCs w:val="32"/>
          <w:lang w:val="en-US" w:eastAsia="zh-CN"/>
          <w14:textFill>
            <w14:solidFill>
              <w14:schemeClr w14:val="tx1"/>
            </w14:solidFill>
          </w14:textFill>
        </w:rPr>
        <w:t>一是推动基础设施提质。</w:t>
      </w:r>
      <w:r>
        <w:rPr>
          <w:rFonts w:ascii="仿宋_GB2312" w:eastAsia="仿宋_GB2312" w:cs="仿宋_GB2312"/>
          <w:color w:val="auto"/>
          <w:sz w:val="32"/>
          <w:szCs w:val="32"/>
        </w:rPr>
        <w:t>抢抓</w:t>
      </w:r>
      <w:r>
        <w:rPr>
          <w:rFonts w:hint="eastAsia" w:ascii="仿宋_GB2312" w:eastAsia="仿宋_GB2312" w:cs="仿宋_GB2312"/>
          <w:color w:val="auto"/>
          <w:sz w:val="32"/>
          <w:szCs w:val="32"/>
        </w:rPr>
        <w:t>永州承办第七届省旅发大会（2026年秋季）的契机</w:t>
      </w:r>
      <w:r>
        <w:rPr>
          <w:rFonts w:ascii="仿宋_GB2312" w:eastAsia="仿宋_GB2312" w:cs="仿宋_GB2312"/>
          <w:color w:val="auto"/>
          <w:sz w:val="32"/>
          <w:szCs w:val="32"/>
        </w:rPr>
        <w:t>，进一步争取城市更新、文物保护等</w:t>
      </w:r>
      <w:r>
        <w:rPr>
          <w:rFonts w:hint="eastAsia" w:ascii="仿宋_GB2312" w:eastAsia="仿宋_GB2312" w:cs="仿宋_GB2312"/>
          <w:color w:val="auto"/>
          <w:sz w:val="32"/>
          <w:szCs w:val="32"/>
        </w:rPr>
        <w:t>项目</w:t>
      </w:r>
      <w:r>
        <w:rPr>
          <w:rFonts w:ascii="仿宋_GB2312" w:eastAsia="仿宋_GB2312" w:cs="仿宋_GB2312"/>
          <w:color w:val="auto"/>
          <w:sz w:val="32"/>
          <w:szCs w:val="32"/>
        </w:rPr>
        <w:t>资金，</w:t>
      </w:r>
      <w:r>
        <w:rPr>
          <w:rFonts w:hint="eastAsia" w:ascii="仿宋_GB2312" w:eastAsia="仿宋_GB2312" w:cs="仿宋_GB2312"/>
          <w:color w:val="auto"/>
          <w:sz w:val="32"/>
          <w:szCs w:val="32"/>
        </w:rPr>
        <w:t>全力推进片区内公有历史建筑修缮、</w:t>
      </w:r>
      <w:r>
        <w:rPr>
          <w:rFonts w:ascii="仿宋_GB2312" w:eastAsia="仿宋_GB2312" w:cs="仿宋_GB2312"/>
          <w:color w:val="auto"/>
          <w:sz w:val="32"/>
          <w:szCs w:val="32"/>
        </w:rPr>
        <w:t>大西门</w:t>
      </w:r>
      <w:r>
        <w:rPr>
          <w:rFonts w:hint="eastAsia" w:ascii="仿宋_GB2312" w:eastAsia="仿宋_GB2312" w:cs="仿宋_GB2312"/>
          <w:color w:val="auto"/>
          <w:sz w:val="32"/>
          <w:szCs w:val="32"/>
        </w:rPr>
        <w:t>历史文化</w:t>
      </w:r>
      <w:r>
        <w:rPr>
          <w:rFonts w:ascii="仿宋_GB2312" w:eastAsia="仿宋_GB2312" w:cs="仿宋_GB2312"/>
          <w:color w:val="auto"/>
          <w:sz w:val="32"/>
          <w:szCs w:val="32"/>
        </w:rPr>
        <w:t>公园、</w:t>
      </w:r>
      <w:r>
        <w:rPr>
          <w:rFonts w:hint="eastAsia" w:ascii="仿宋_GB2312" w:eastAsia="仿宋_GB2312" w:cs="仿宋_GB2312"/>
          <w:color w:val="auto"/>
          <w:sz w:val="32"/>
          <w:szCs w:val="32"/>
        </w:rPr>
        <w:t>柳子街立面改造以及污水管网、美化亮化等配套公共服务设施建设，因地制宜植入国风古装、夜间消费、非遗场景体验等文旅业态，推动零陵古城整体提质增效。坚定不移推进愚溪河生态环境</w:t>
      </w:r>
      <w:r>
        <w:rPr>
          <w:rFonts w:ascii="仿宋_GB2312" w:eastAsia="仿宋_GB2312" w:cs="仿宋_GB2312"/>
          <w:color w:val="auto"/>
          <w:sz w:val="32"/>
          <w:szCs w:val="32"/>
        </w:rPr>
        <w:t>综合</w:t>
      </w:r>
      <w:r>
        <w:rPr>
          <w:rFonts w:hint="eastAsia" w:ascii="仿宋_GB2312" w:eastAsia="仿宋_GB2312" w:cs="仿宋_GB2312"/>
          <w:color w:val="auto"/>
          <w:sz w:val="32"/>
          <w:szCs w:val="32"/>
        </w:rPr>
        <w:t>治理，还愚溪“欸乃一声山水绿”。充分发挥资源</w:t>
      </w:r>
      <w:r>
        <w:rPr>
          <w:rFonts w:ascii="仿宋_GB2312" w:eastAsia="仿宋_GB2312" w:cs="仿宋_GB2312"/>
          <w:color w:val="auto"/>
          <w:sz w:val="32"/>
          <w:szCs w:val="32"/>
        </w:rPr>
        <w:t>禀赋</w:t>
      </w:r>
      <w:r>
        <w:rPr>
          <w:rFonts w:hint="eastAsia" w:ascii="仿宋_GB2312" w:eastAsia="仿宋_GB2312" w:cs="仿宋_GB2312"/>
          <w:color w:val="auto"/>
          <w:sz w:val="32"/>
          <w:szCs w:val="32"/>
        </w:rPr>
        <w:t>优势撬动社会资本</w:t>
      </w:r>
      <w:r>
        <w:rPr>
          <w:rFonts w:ascii="仿宋_GB2312" w:eastAsia="仿宋_GB2312" w:cs="仿宋_GB2312"/>
          <w:color w:val="auto"/>
          <w:sz w:val="32"/>
          <w:szCs w:val="32"/>
        </w:rPr>
        <w:t>投资</w:t>
      </w:r>
      <w:r>
        <w:rPr>
          <w:rFonts w:hint="eastAsia" w:ascii="仿宋_GB2312" w:eastAsia="仿宋_GB2312" w:cs="仿宋_GB2312"/>
          <w:color w:val="auto"/>
          <w:sz w:val="32"/>
          <w:szCs w:val="32"/>
        </w:rPr>
        <w:t>，建设好潇湘百里平湖、梦回愚溪水上航线、西山宴游体验区等项目。积极争取国开行长期低息贷款支持，做好片区内经营性项目开发利用，不断盘活“沉睡”的文化旅游资源。力争到2026年上半年，将零陵古城打造成集历史文化保护、人居环境改善和旅游开发利用于一体的标杆片区。</w:t>
      </w:r>
      <w:r>
        <w:rPr>
          <w:rFonts w:hint="eastAsia" w:ascii="仿宋_GB2312" w:eastAsia="仿宋_GB2312" w:cs="仿宋_GB2312"/>
          <w:b/>
          <w:bCs/>
          <w:color w:val="000000" w:themeColor="text1"/>
          <w:sz w:val="32"/>
          <w:szCs w:val="32"/>
          <w:lang w:val="en-US" w:eastAsia="zh-CN"/>
          <w14:textFill>
            <w14:solidFill>
              <w14:schemeClr w14:val="tx1"/>
            </w14:solidFill>
          </w14:textFill>
        </w:rPr>
        <w:t>二是打响</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研学零陵</w:t>
      </w:r>
      <w:r>
        <w:rPr>
          <w:rFonts w:hint="eastAsia" w:ascii="仿宋_GB2312" w:eastAsia="仿宋_GB2312" w:cs="仿宋_GB2312"/>
          <w:b/>
          <w:bCs/>
          <w:color w:val="000000" w:themeColor="text1"/>
          <w:sz w:val="32"/>
          <w:szCs w:val="32"/>
          <w:lang w:val="en-US" w:eastAsia="zh-CN"/>
          <w14:textFill>
            <w14:solidFill>
              <w14:schemeClr w14:val="tx1"/>
            </w14:solidFill>
          </w14:textFill>
        </w:rPr>
        <w:t>品牌。</w:t>
      </w:r>
      <w:r>
        <w:rPr>
          <w:rFonts w:hint="eastAsia" w:ascii="仿宋_GB2312" w:eastAsia="仿宋_GB2312" w:cs="仿宋_GB2312"/>
          <w:color w:val="auto"/>
          <w:sz w:val="32"/>
          <w:szCs w:val="32"/>
        </w:rPr>
        <w:t>高质量编制研学零陵发展规划，将研学规划与</w:t>
      </w:r>
      <w:r>
        <w:rPr>
          <w:rFonts w:ascii="仿宋_GB2312" w:eastAsia="仿宋_GB2312" w:cs="仿宋_GB2312"/>
          <w:color w:val="auto"/>
          <w:sz w:val="32"/>
          <w:szCs w:val="32"/>
        </w:rPr>
        <w:t>旅游发展规划、</w:t>
      </w:r>
      <w:r>
        <w:rPr>
          <w:rFonts w:hint="eastAsia" w:ascii="仿宋_GB2312" w:eastAsia="仿宋_GB2312" w:cs="仿宋_GB2312"/>
          <w:color w:val="auto"/>
          <w:sz w:val="32"/>
          <w:szCs w:val="32"/>
        </w:rPr>
        <w:t>城市建设规划有机结合</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各类景观打造、标识标牌设置都要充分体现研学零陵元素，让城市处处散发着浓厚的研学氛围，着力打造环境友好型研学城市。突出文化核心吸引，不断优化“追寻文脉</w:t>
      </w:r>
      <w:r>
        <w:rPr>
          <w:rFonts w:hint="eastAsia" w:ascii="微软雅黑" w:hAnsi="微软雅黑" w:eastAsia="微软雅黑" w:cs="微软雅黑"/>
          <w:color w:val="auto"/>
          <w:sz w:val="32"/>
          <w:szCs w:val="32"/>
        </w:rPr>
        <w:t>·</w:t>
      </w:r>
      <w:r>
        <w:rPr>
          <w:rFonts w:hint="eastAsia" w:ascii="仿宋_GB2312" w:eastAsia="仿宋_GB2312" w:cs="仿宋_GB2312"/>
          <w:color w:val="auto"/>
          <w:sz w:val="32"/>
          <w:szCs w:val="32"/>
        </w:rPr>
        <w:t>研学零陵”“感悟草圣怀素书法艺术”“周家大院耕读传家”“画眉山半截象牙筷”等研学产品和线路。深入开展“跟着课本去研学”主题实践活动，加快柳文化、</w:t>
      </w:r>
      <w:r>
        <w:rPr>
          <w:rFonts w:ascii="仿宋_GB2312" w:eastAsia="仿宋_GB2312" w:cs="仿宋_GB2312"/>
          <w:color w:val="auto"/>
          <w:sz w:val="32"/>
          <w:szCs w:val="32"/>
        </w:rPr>
        <w:t>舜文化、</w:t>
      </w:r>
      <w:r>
        <w:rPr>
          <w:rFonts w:hint="eastAsia" w:ascii="仿宋_GB2312" w:eastAsia="仿宋_GB2312" w:cs="仿宋_GB2312"/>
          <w:color w:val="auto"/>
          <w:sz w:val="32"/>
          <w:szCs w:val="32"/>
        </w:rPr>
        <w:t>怀素书艺文化、周家大院耕读文化、潇湘文化研学课程开发，不断完善吃、住、行、研、学、游等业态功能配套，让研学零陵更有体验感、获得感，全力打造</w:t>
      </w:r>
      <w:r>
        <w:rPr>
          <w:rFonts w:ascii="仿宋_GB2312" w:eastAsia="仿宋_GB2312" w:cs="仿宋_GB2312"/>
          <w:color w:val="auto"/>
          <w:sz w:val="32"/>
          <w:szCs w:val="32"/>
        </w:rPr>
        <w:t>全国知名的研学旅游目的地</w:t>
      </w:r>
      <w:r>
        <w:rPr>
          <w:rFonts w:hint="eastAsia" w:ascii="仿宋_GB2312" w:eastAsia="仿宋_GB2312" w:cs="仿宋_GB2312"/>
          <w:color w:val="auto"/>
          <w:sz w:val="32"/>
          <w:szCs w:val="32"/>
        </w:rPr>
        <w:t>城市，力争全年接待研学学生突破10万人次。</w:t>
      </w:r>
      <w:r>
        <w:rPr>
          <w:rFonts w:hint="eastAsia" w:ascii="仿宋_GB2312" w:eastAsia="仿宋_GB2312" w:cs="仿宋_GB2312"/>
          <w:b/>
          <w:bCs/>
          <w:color w:val="000000" w:themeColor="text1"/>
          <w:sz w:val="32"/>
          <w:szCs w:val="32"/>
          <w:lang w:val="en-US" w:eastAsia="zh-CN"/>
          <w14:textFill>
            <w14:solidFill>
              <w14:schemeClr w14:val="tx1"/>
            </w14:solidFill>
          </w14:textFill>
        </w:rPr>
        <w:t>三是提升管理服务水平。</w:t>
      </w:r>
      <w:r>
        <w:rPr>
          <w:rFonts w:hint="eastAsia" w:ascii="仿宋_GB2312" w:eastAsia="仿宋_GB2312" w:cs="仿宋_GB2312"/>
          <w:color w:val="auto"/>
          <w:sz w:val="32"/>
          <w:szCs w:val="32"/>
        </w:rPr>
        <w:t>深化国有景区管理体制改革，不断丰富</w:t>
      </w:r>
      <w:r>
        <w:rPr>
          <w:rFonts w:ascii="仿宋_GB2312" w:eastAsia="仿宋_GB2312" w:cs="仿宋_GB2312"/>
          <w:color w:val="auto"/>
          <w:sz w:val="32"/>
          <w:szCs w:val="32"/>
        </w:rPr>
        <w:t>景区</w:t>
      </w:r>
      <w:r>
        <w:rPr>
          <w:rFonts w:hint="eastAsia" w:ascii="仿宋_GB2312" w:eastAsia="仿宋_GB2312" w:cs="仿宋_GB2312"/>
          <w:color w:val="auto"/>
          <w:sz w:val="32"/>
          <w:szCs w:val="32"/>
        </w:rPr>
        <w:t>内</w:t>
      </w:r>
      <w:r>
        <w:rPr>
          <w:rFonts w:ascii="仿宋_GB2312" w:eastAsia="仿宋_GB2312" w:cs="仿宋_GB2312"/>
          <w:color w:val="auto"/>
          <w:sz w:val="32"/>
          <w:szCs w:val="32"/>
        </w:rPr>
        <w:t>投资</w:t>
      </w:r>
      <w:r>
        <w:rPr>
          <w:rFonts w:hint="eastAsia" w:ascii="仿宋_GB2312" w:eastAsia="仿宋_GB2312" w:cs="仿宋_GB2312"/>
          <w:color w:val="auto"/>
          <w:sz w:val="32"/>
          <w:szCs w:val="32"/>
        </w:rPr>
        <w:t>少、效益好的文旅微业态，年内实现所有A级旅游景区运营管理收支平衡。选拔培养一批优秀讲解员，讲好零陵故事、传播零陵好声音。健全文旅志愿者服务机制，组建一支相对稳定的志愿者服务队伍，不断提升旅游服务水平。深入开展旅游环境专项治理，严防天价消费、强制消费等宰客欺人现象发生。</w:t>
      </w:r>
      <w:r>
        <w:rPr>
          <w:rFonts w:hint="eastAsia" w:ascii="仿宋_GB2312" w:eastAsia="仿宋_GB2312" w:cs="仿宋_GB2312"/>
          <w:color w:val="auto"/>
          <w:kern w:val="2"/>
          <w:sz w:val="32"/>
          <w:szCs w:val="32"/>
          <w:lang w:val="en-US" w:eastAsia="zh-CN" w:bidi="ar-SA"/>
        </w:rPr>
        <w:t>创新开展柳宗元文化旅游周、民俗庙会、零陵夜宴等文旅活动，打造“永州八景”意境菜系品牌。大力实施“引客入零”工程，全年接待游客750万人次以上。</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color w:val="auto"/>
          <w:sz w:val="32"/>
          <w:szCs w:val="32"/>
        </w:rPr>
      </w:pPr>
      <w:r>
        <w:rPr>
          <w:rFonts w:hint="eastAsia" w:ascii="楷体_GB2312" w:hAnsi="楷体_GB2312" w:eastAsia="楷体_GB2312" w:cs="楷体_GB2312"/>
          <w:b/>
          <w:color w:val="000000" w:themeColor="text1"/>
          <w:sz w:val="32"/>
          <w:szCs w:val="32"/>
          <w:highlight w:val="none"/>
          <w:lang w:val="en-US" w:eastAsia="zh-CN"/>
          <w14:textFill>
            <w14:solidFill>
              <w14:schemeClr w14:val="tx1"/>
            </w14:solidFill>
          </w14:textFill>
        </w:rPr>
        <w:t>5.高水准高速度，推进城乡融合发展。</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加大乡村基础设施建设。</w:t>
      </w:r>
      <w:r>
        <w:rPr>
          <w:rFonts w:hint="eastAsia" w:ascii="仿宋_GB2312" w:eastAsia="仿宋_GB2312" w:cs="仿宋_GB2312"/>
          <w:color w:val="000000" w:themeColor="text1"/>
          <w:sz w:val="32"/>
          <w:szCs w:val="32"/>
          <w14:textFill>
            <w14:solidFill>
              <w14:schemeClr w14:val="tx1"/>
            </w14:solidFill>
          </w14:textFill>
        </w:rPr>
        <w:t>大力实施乡村建设行动，完成资源产业路、旅游路、撤并村连接路24.2公里，国省道大中修15公里。开工建设S339黄古山至大忠桥二级公路。改建水口山、邮亭圩、石岩头保障性住房225套，五里堆公租房建成投用。加快实施黄溪河山洪沟治理、贤水河治理项目，除险加固栈板塘等病险水库22座。规划建设乡镇新能源汽车充电桩60个。持续推进珠山产业重镇、富家桥旅游小镇、石山脚油茶小镇、邮亭圩生态农业强镇、石岩头边贸口子镇等重点镇建设，争取纳入国家新型城镇化战略五年行动试点。</w:t>
      </w:r>
      <w:r>
        <w:rPr>
          <w:rFonts w:hint="eastAsia" w:ascii="仿宋_GB2312" w:eastAsia="仿宋_GB2312" w:cs="仿宋_GB2312"/>
          <w:b/>
          <w:bCs/>
          <w:color w:val="000000" w:themeColor="text1"/>
          <w:sz w:val="32"/>
          <w:szCs w:val="32"/>
          <w:lang w:val="en-US" w:eastAsia="zh-CN"/>
          <w14:textFill>
            <w14:solidFill>
              <w14:schemeClr w14:val="tx1"/>
            </w14:solidFill>
          </w14:textFill>
        </w:rPr>
        <w:t>提升城市设施品质。</w:t>
      </w:r>
      <w:r>
        <w:rPr>
          <w:rFonts w:hint="eastAsia" w:ascii="仿宋_GB2312" w:eastAsia="仿宋_GB2312" w:cs="仿宋_GB2312"/>
          <w:color w:val="auto"/>
          <w:sz w:val="32"/>
          <w:szCs w:val="32"/>
          <w:shd w:val="clear" w:color="auto" w:fill="FFFFFF"/>
        </w:rPr>
        <w:t>加快推进萍阳北路延伸段建设，全力推动古城路开工建设</w:t>
      </w:r>
      <w:r>
        <w:rPr>
          <w:rFonts w:hint="eastAsia" w:ascii="仿宋_GB2312" w:eastAsia="仿宋_GB2312" w:cs="仿宋_GB2312"/>
          <w:color w:val="auto"/>
          <w:sz w:val="32"/>
          <w:szCs w:val="32"/>
        </w:rPr>
        <w:t>，尽早贯通潇水两岸南津渡大桥至萍洲大桥的城区交通内环线。大力实施城市地下管网“三网”提升行动，新建城市供水管网15千米、排水管网4千米，改造老旧燃气管网8千米。实施老旧小区改造34个、</w:t>
      </w:r>
      <w:r>
        <w:rPr>
          <w:rFonts w:hint="eastAsia" w:ascii="仿宋_GB2312" w:eastAsia="仿宋_GB2312" w:cs="仿宋_GB2312"/>
          <w:color w:val="auto"/>
          <w:sz w:val="32"/>
          <w:szCs w:val="32"/>
          <w:shd w:val="clear" w:color="auto" w:fill="FFFFFF"/>
        </w:rPr>
        <w:t>城中村改造1个</w:t>
      </w:r>
      <w:r>
        <w:rPr>
          <w:rFonts w:hint="eastAsia" w:ascii="仿宋_GB2312" w:eastAsia="仿宋_GB2312" w:cs="仿宋_GB2312"/>
          <w:color w:val="auto"/>
          <w:sz w:val="32"/>
          <w:szCs w:val="32"/>
        </w:rPr>
        <w:t>。完成湘运汽车站整体搬迁。想方设法推动滨江新城康养综合体、吾悦广场商贸综合体早日复工复建。</w:t>
      </w:r>
      <w:r>
        <w:rPr>
          <w:rFonts w:hint="eastAsia" w:ascii="仿宋_GB2312" w:eastAsia="仿宋_GB2312" w:cs="仿宋_GB2312"/>
          <w:color w:val="auto"/>
          <w:sz w:val="32"/>
          <w:szCs w:val="32"/>
          <w:lang w:val="en-US" w:eastAsia="zh-CN"/>
        </w:rPr>
        <w:t>下足城市管理“绣花功夫”，</w:t>
      </w:r>
      <w:r>
        <w:rPr>
          <w:rFonts w:hint="eastAsia" w:ascii="仿宋_GB2312" w:eastAsia="仿宋_GB2312" w:cs="仿宋_GB2312"/>
          <w:color w:val="auto"/>
          <w:sz w:val="32"/>
          <w:szCs w:val="32"/>
        </w:rPr>
        <w:t>大力开展“</w:t>
      </w:r>
      <w:r>
        <w:rPr>
          <w:rFonts w:ascii="仿宋_GB2312" w:eastAsia="仿宋_GB2312" w:cs="仿宋_GB2312"/>
          <w:color w:val="auto"/>
          <w:sz w:val="32"/>
          <w:szCs w:val="32"/>
        </w:rPr>
        <w:t>六大</w:t>
      </w:r>
      <w:r>
        <w:rPr>
          <w:rFonts w:hint="eastAsia" w:ascii="仿宋_GB2312" w:eastAsia="仿宋_GB2312" w:cs="仿宋_GB2312"/>
          <w:color w:val="auto"/>
          <w:sz w:val="32"/>
          <w:szCs w:val="32"/>
          <w:shd w:val="clear" w:color="auto" w:fill="FFFFFF"/>
        </w:rPr>
        <w:t>专项</w:t>
      </w:r>
      <w:r>
        <w:rPr>
          <w:rFonts w:hint="eastAsia" w:ascii="仿宋_GB2312" w:eastAsia="仿宋_GB2312" w:cs="仿宋_GB2312"/>
          <w:color w:val="auto"/>
          <w:sz w:val="32"/>
          <w:szCs w:val="32"/>
        </w:rPr>
        <w:t>整治”行动，</w:t>
      </w:r>
      <w:r>
        <w:rPr>
          <w:rFonts w:hint="eastAsia" w:ascii="仿宋_GB2312" w:eastAsia="仿宋_GB2312" w:cs="仿宋_GB2312"/>
          <w:color w:val="auto"/>
          <w:sz w:val="32"/>
          <w:szCs w:val="32"/>
          <w:lang w:val="en-US" w:eastAsia="zh-CN"/>
        </w:rPr>
        <w:t>走街串巷发现问题、解决问题。</w:t>
      </w:r>
      <w:r>
        <w:rPr>
          <w:rFonts w:hint="eastAsia" w:ascii="仿宋_GB2312" w:eastAsia="仿宋_GB2312" w:cs="仿宋_GB2312"/>
          <w:color w:val="auto"/>
          <w:sz w:val="32"/>
          <w:szCs w:val="32"/>
        </w:rPr>
        <w:t>着力推进校园周边环境治理，还校园一个整洁、安全、有序、畅通的周边环境。</w:t>
      </w:r>
      <w:r>
        <w:rPr>
          <w:rFonts w:hint="eastAsia" w:ascii="仿宋_GB2312" w:eastAsia="仿宋_GB2312" w:cs="仿宋_GB2312"/>
          <w:color w:val="auto"/>
          <w:sz w:val="32"/>
          <w:szCs w:val="32"/>
          <w:shd w:val="clear" w:color="auto" w:fill="FFFFFF"/>
        </w:rPr>
        <w:t>深入开展文明创建活动，</w:t>
      </w:r>
      <w:r>
        <w:rPr>
          <w:rFonts w:hint="eastAsia" w:ascii="仿宋_GB2312" w:eastAsia="仿宋_GB2312" w:cs="仿宋_GB2312"/>
          <w:color w:val="auto"/>
          <w:sz w:val="32"/>
          <w:szCs w:val="32"/>
        </w:rPr>
        <w:t>力争全国文明城市首创必成。</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ascii="仿宋_GB2312" w:hAnsi="仿宋_GB2312" w:eastAsia="仿宋_GB2312" w:cs="仿宋_GB2312"/>
          <w:b/>
          <w:bCs/>
          <w:color w:val="auto"/>
          <w:sz w:val="32"/>
          <w:szCs w:val="32"/>
          <w:shd w:val="clear" w:color="auto" w:fill="FFFFFF"/>
        </w:rPr>
      </w:pPr>
      <w:r>
        <w:rPr>
          <w:rFonts w:hint="eastAsia" w:ascii="仿宋_GB2312" w:eastAsia="仿宋_GB2312" w:cs="仿宋_GB2312"/>
          <w:b/>
          <w:bCs/>
          <w:i w:val="0"/>
          <w:iCs w:val="0"/>
          <w:caps w:val="0"/>
          <w:smallCaps w:val="0"/>
          <w:color w:val="000000" w:themeColor="text1"/>
          <w:spacing w:val="0"/>
          <w:sz w:val="32"/>
          <w:szCs w:val="32"/>
          <w:shd w:val="clear" w:color="auto" w:fill="FFFFFF"/>
          <w:lang w:val="en-US" w:eastAsia="zh-CN"/>
          <w14:textFill>
            <w14:solidFill>
              <w14:schemeClr w14:val="tx1"/>
            </w14:solidFill>
          </w14:textFill>
        </w:rPr>
        <w:t>为此，2025年将重点实施十大基础设施项目：</w:t>
      </w:r>
      <w:r>
        <w:rPr>
          <w:rFonts w:hint="eastAsia" w:ascii="仿宋_GB2312" w:eastAsia="仿宋_GB2312" w:cs="仿宋_GB2312"/>
          <w:color w:val="auto"/>
          <w:sz w:val="32"/>
          <w:szCs w:val="32"/>
          <w:shd w:val="clear" w:color="auto" w:fill="FFFFFF"/>
        </w:rPr>
        <w:t>湘江航道</w:t>
      </w:r>
      <w:r>
        <w:rPr>
          <w:rFonts w:hint="eastAsia" w:ascii="仿宋_GB2312" w:eastAsia="仿宋_GB2312" w:cs="仿宋_GB2312"/>
          <w:color w:val="auto"/>
          <w:sz w:val="32"/>
          <w:szCs w:val="32"/>
          <w:shd w:val="clear" w:color="auto" w:fill="FFFFFF"/>
          <w:lang w:val="en-US" w:eastAsia="zh-CN"/>
        </w:rPr>
        <w:t>零陵</w:t>
      </w:r>
      <w:r>
        <w:rPr>
          <w:rFonts w:hint="eastAsia" w:ascii="仿宋_GB2312" w:eastAsia="仿宋_GB2312" w:cs="仿宋_GB2312"/>
          <w:color w:val="auto"/>
          <w:sz w:val="32"/>
          <w:szCs w:val="32"/>
          <w:shd w:val="clear" w:color="auto" w:fill="FFFFFF"/>
        </w:rPr>
        <w:t>千吨级码头；柳子街等历史文化街区保护提升；湖南稀土新材料产业园基础设施；萍阳北路延伸段；古城路；S339黄古山至大忠桥二级公路；珠山至水口山、珠山至石岩头三级公路；零道高速（零陵段）；燃气发电；交通物流产业园。</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6.高站位高标准，提高人民生活品质</w:t>
      </w:r>
      <w:r>
        <w:rPr>
          <w:rFonts w:hint="eastAsia" w:ascii="Times New Roman" w:hAnsi="Times New Roman" w:eastAsia="楷体" w:cs="Times New Roman"/>
          <w:b/>
          <w:bCs/>
          <w:color w:val="000000" w:themeColor="text1"/>
          <w:spacing w:val="0"/>
          <w:kern w:val="0"/>
          <w:sz w:val="32"/>
          <w:szCs w:val="32"/>
          <w:highlight w:val="none"/>
          <w:u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highlight w:val="none"/>
          <w:u w:val="none"/>
          <w:lang w:val="en-US" w:eastAsia="zh-CN" w:bidi="ar-SA"/>
          <w14:textFill>
            <w14:solidFill>
              <w14:schemeClr w14:val="tx1"/>
            </w14:solidFill>
          </w14:textFill>
        </w:rPr>
        <w:t>一是</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更加突出就业优先导向。</w:t>
      </w:r>
      <w:r>
        <w:rPr>
          <w:rFonts w:hint="eastAsia" w:ascii="仿宋_GB2312" w:eastAsia="仿宋_GB2312" w:cs="仿宋_GB2312"/>
          <w:color w:val="000000" w:themeColor="text1"/>
          <w:sz w:val="32"/>
          <w:szCs w:val="32"/>
          <w:lang w:val="en-US" w:eastAsia="zh-CN"/>
          <w14:textFill>
            <w14:solidFill>
              <w14:schemeClr w14:val="tx1"/>
            </w14:solidFill>
          </w14:textFill>
        </w:rPr>
        <w:t>实施重点领域、重点行业、城乡基层和中小微企业就业支持计划，</w:t>
      </w:r>
      <w:r>
        <w:rPr>
          <w:rFonts w:hint="eastAsia"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全年新增城镇就业5600人，农村劳动力转移就业5100人以上，城镇调查失业率控制在5.4%以下。扎实做好重点企业用工服务保障工作，</w:t>
      </w:r>
      <w:r>
        <w:rPr>
          <w:rFonts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打造</w:t>
      </w:r>
      <w:r>
        <w:rPr>
          <w:rFonts w:hint="eastAsia"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w:t>
      </w:r>
      <w:r>
        <w:rPr>
          <w:rFonts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15分钟</w:t>
      </w:r>
      <w:r>
        <w:rPr>
          <w:rFonts w:hint="eastAsia"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w:t>
      </w:r>
      <w:r>
        <w:rPr>
          <w:rFonts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就业服务圈</w:t>
      </w:r>
      <w:r>
        <w:rPr>
          <w:rFonts w:hint="eastAsia"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。高度关注农民工欠薪问题，保障农民工合法权益。</w:t>
      </w:r>
      <w:r>
        <w:rPr>
          <w:rFonts w:hint="eastAsia" w:ascii="仿宋_GB2312" w:hAnsi="仿宋_GB2312" w:eastAsia="仿宋_GB2312" w:cs="仿宋_GB2312"/>
          <w:b/>
          <w:bCs w:val="0"/>
          <w:color w:val="000000" w:themeColor="text1"/>
          <w:kern w:val="2"/>
          <w:sz w:val="32"/>
          <w:szCs w:val="32"/>
          <w:highlight w:val="none"/>
          <w:u w:val="none"/>
          <w:lang w:val="en-US" w:eastAsia="zh-CN" w:bidi="ar-SA"/>
          <w14:textFill>
            <w14:solidFill>
              <w14:schemeClr w14:val="tx1"/>
            </w14:solidFill>
          </w14:textFill>
        </w:rPr>
        <w:t>二是更加</w:t>
      </w:r>
      <w:r>
        <w:rPr>
          <w:rFonts w:hint="eastAsia" w:ascii="仿宋_GB2312" w:hAnsi="仿宋_GB2312" w:eastAsia="仿宋_GB2312" w:cs="仿宋_GB2312"/>
          <w:b/>
          <w:bCs w:val="0"/>
          <w:i w:val="0"/>
          <w:iCs w:val="0"/>
          <w:caps w:val="0"/>
          <w:color w:val="000000" w:themeColor="text1"/>
          <w:spacing w:val="0"/>
          <w:sz w:val="32"/>
          <w:szCs w:val="32"/>
          <w:shd w:val="clear" w:color="auto" w:fill="FFFFFF"/>
          <w:lang w:val="en-US" w:eastAsia="zh-CN"/>
          <w14:textFill>
            <w14:solidFill>
              <w14:schemeClr w14:val="tx1"/>
            </w14:solidFill>
          </w14:textFill>
        </w:rPr>
        <w:t>深入推进“三大品牌”建设。</w:t>
      </w:r>
      <w:r>
        <w:rPr>
          <w:rFonts w:hint="eastAsia" w:ascii="仿宋_GB2312" w:hAnsi="仿宋_GB2312" w:eastAsia="仿宋_GB2312" w:cs="仿宋_GB2312"/>
          <w:b/>
          <w:bCs w:val="0"/>
          <w:color w:val="000000" w:themeColor="text1"/>
          <w:kern w:val="2"/>
          <w:sz w:val="32"/>
          <w:szCs w:val="32"/>
          <w:highlight w:val="none"/>
          <w:u w:val="none"/>
          <w:lang w:val="en-US" w:eastAsia="zh-CN" w:bidi="ar-SA"/>
          <w14:textFill>
            <w14:solidFill>
              <w14:schemeClr w14:val="tx1"/>
            </w14:solidFill>
          </w14:textFill>
        </w:rPr>
        <w:t>打造更加优质的“学在零陵”品牌。</w:t>
      </w:r>
      <w:r>
        <w:rPr>
          <w:rFonts w:hint="eastAsia" w:ascii="仿宋_GB2312" w:eastAsia="仿宋_GB2312" w:cs="Times New Roman"/>
          <w:color w:val="000000" w:themeColor="text1"/>
          <w:sz w:val="32"/>
          <w:szCs w:val="32"/>
          <w:lang w:val="en-US" w:eastAsia="zh-CN"/>
          <w14:textFill>
            <w14:solidFill>
              <w14:schemeClr w14:val="tx1"/>
            </w14:solidFill>
          </w14:textFill>
        </w:rPr>
        <w:t>启动</w:t>
      </w:r>
      <w:r>
        <w:rPr>
          <w:rFonts w:hint="eastAsia"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永州三中体育馆建设，新增高中学位400个。</w:t>
      </w:r>
      <w:r>
        <w:rPr>
          <w:rFonts w:hint="eastAsia" w:ascii="仿宋_GB2312" w:eastAsia="仿宋_GB2312" w:cs="仿宋_GB2312"/>
          <w:b w:val="0"/>
          <w:bCs w:val="0"/>
          <w:color w:val="000000" w:themeColor="text1"/>
          <w:kern w:val="2"/>
          <w:sz w:val="32"/>
          <w:szCs w:val="32"/>
          <w:lang w:val="en-US" w:eastAsia="zh-CN" w:bidi="ar-SA"/>
          <w14:textFill>
            <w14:solidFill>
              <w14:schemeClr w14:val="tx1"/>
            </w14:solidFill>
          </w14:textFill>
        </w:rPr>
        <w:t>推进工商职业中专“楚怡”二期项目建设，</w:t>
      </w:r>
      <w:r>
        <w:rPr>
          <w:rFonts w:hint="eastAsia"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支持</w:t>
      </w:r>
      <w:r>
        <w:rPr>
          <w:rFonts w:hint="eastAsia" w:ascii="仿宋_GB2312" w:eastAsia="仿宋_GB2312" w:cs="仿宋_GB2312"/>
          <w:b w:val="0"/>
          <w:bCs w:val="0"/>
          <w:color w:val="000000" w:themeColor="text1"/>
          <w:kern w:val="2"/>
          <w:sz w:val="32"/>
          <w:szCs w:val="32"/>
          <w:lang w:val="en-US" w:eastAsia="zh-CN" w:bidi="ar-SA"/>
          <w14:textFill>
            <w14:solidFill>
              <w14:schemeClr w14:val="tx1"/>
            </w14:solidFill>
          </w14:textFill>
        </w:rPr>
        <w:t>工商职业中专</w:t>
      </w:r>
      <w:r>
        <w:rPr>
          <w:rFonts w:ascii="仿宋_GB2312" w:eastAsia="仿宋_GB2312" w:cs="仿宋_GB2312"/>
          <w:color w:val="000000" w:themeColor="text1"/>
          <w:sz w:val="32"/>
          <w:szCs w:val="32"/>
          <w14:textFill>
            <w14:solidFill>
              <w14:schemeClr w14:val="tx1"/>
            </w14:solidFill>
          </w14:textFill>
        </w:rPr>
        <w:t>创建全国</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双优</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中职学校</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支持和规范民办教育发展</w:t>
      </w:r>
      <w:r>
        <w:rPr>
          <w:rFonts w:hint="eastAsia" w:ascii="仿宋_GB2312" w:eastAsia="仿宋_GB2312" w:cs="Times New Roman"/>
          <w:color w:val="000000" w:themeColor="text1"/>
          <w:sz w:val="32"/>
          <w:szCs w:val="32"/>
          <w:lang w:val="en-US" w:eastAsia="zh-CN"/>
          <w14:textFill>
            <w14:solidFill>
              <w14:schemeClr w14:val="tx1"/>
            </w14:solidFill>
          </w14:textFill>
        </w:rPr>
        <w:t>。大力推进</w:t>
      </w:r>
      <w:r>
        <w:rPr>
          <w:rFonts w:hint="eastAsia" w:ascii="仿宋_GB2312" w:eastAsia="仿宋_GB2312" w:cs="Times New Roman"/>
          <w:color w:val="000000" w:themeColor="text1"/>
          <w:sz w:val="32"/>
          <w:szCs w:val="32"/>
          <w14:textFill>
            <w14:solidFill>
              <w14:schemeClr w14:val="tx1"/>
            </w14:solidFill>
          </w14:textFill>
        </w:rPr>
        <w:t>高标准九年一贯制</w:t>
      </w:r>
      <w:r>
        <w:rPr>
          <w:rFonts w:ascii="仿宋_GB2312" w:eastAsia="仿宋_GB2312" w:cs="Times New Roman"/>
          <w:color w:val="000000" w:themeColor="text1"/>
          <w:sz w:val="32"/>
          <w:szCs w:val="32"/>
          <w14:textFill>
            <w14:solidFill>
              <w14:schemeClr w14:val="tx1"/>
            </w14:solidFill>
          </w14:textFill>
        </w:rPr>
        <w:t>寄宿学校</w:t>
      </w:r>
      <w:r>
        <w:rPr>
          <w:rFonts w:hint="eastAsia" w:ascii="仿宋_GB2312" w:eastAsia="仿宋_GB2312" w:cs="Times New Roman"/>
          <w:color w:val="000000" w:themeColor="text1"/>
          <w:sz w:val="32"/>
          <w:szCs w:val="32"/>
          <w:lang w:val="en-US" w:eastAsia="zh-CN"/>
          <w14:textFill>
            <w14:solidFill>
              <w14:schemeClr w14:val="tx1"/>
            </w14:solidFill>
          </w14:textFill>
        </w:rPr>
        <w:t>建设三年行动，</w:t>
      </w:r>
      <w:r>
        <w:rPr>
          <w:rFonts w:hint="eastAsia"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年内完成邮亭圩中学、凼底乡中心小学、宝安小学3所标准化寄宿制学校建设，</w:t>
      </w:r>
      <w:r>
        <w:rPr>
          <w:rFonts w:hint="eastAsia" w:ascii="仿宋_GB2312" w:eastAsia="仿宋_GB2312" w:cs="Times New Roman"/>
          <w:color w:val="000000" w:themeColor="text1"/>
          <w:sz w:val="32"/>
          <w:szCs w:val="32"/>
          <w:lang w:val="en-US" w:eastAsia="zh-CN"/>
          <w14:textFill>
            <w14:solidFill>
              <w14:schemeClr w14:val="tx1"/>
            </w14:solidFill>
          </w14:textFill>
        </w:rPr>
        <w:t>力争到2027年</w:t>
      </w:r>
      <w:r>
        <w:rPr>
          <w:rFonts w:ascii="仿宋_GB2312" w:eastAsia="仿宋_GB2312" w:cs="Times New Roman"/>
          <w:color w:val="000000" w:themeColor="text1"/>
          <w:sz w:val="32"/>
          <w:szCs w:val="32"/>
          <w14:textFill>
            <w14:solidFill>
              <w14:schemeClr w14:val="tx1"/>
            </w14:solidFill>
          </w14:textFill>
        </w:rPr>
        <w:t>每个乡镇</w:t>
      </w:r>
      <w:r>
        <w:rPr>
          <w:rFonts w:hint="eastAsia" w:ascii="仿宋_GB2312" w:eastAsia="仿宋_GB2312" w:cs="Times New Roman"/>
          <w:color w:val="000000" w:themeColor="text1"/>
          <w:sz w:val="32"/>
          <w:szCs w:val="32"/>
          <w14:textFill>
            <w14:solidFill>
              <w14:schemeClr w14:val="tx1"/>
            </w14:solidFill>
          </w14:textFill>
        </w:rPr>
        <w:t>都建</w:t>
      </w:r>
      <w:r>
        <w:rPr>
          <w:rFonts w:ascii="仿宋_GB2312" w:eastAsia="仿宋_GB2312" w:cs="Times New Roman"/>
          <w:color w:val="000000" w:themeColor="text1"/>
          <w:sz w:val="32"/>
          <w:szCs w:val="32"/>
          <w14:textFill>
            <w14:solidFill>
              <w14:schemeClr w14:val="tx1"/>
            </w14:solidFill>
          </w14:textFill>
        </w:rPr>
        <w:t>有一所</w:t>
      </w:r>
      <w:r>
        <w:rPr>
          <w:rFonts w:hint="eastAsia" w:ascii="仿宋_GB2312" w:eastAsia="仿宋_GB2312" w:cs="Times New Roman"/>
          <w:color w:val="000000" w:themeColor="text1"/>
          <w:sz w:val="32"/>
          <w:szCs w:val="32"/>
          <w14:textFill>
            <w14:solidFill>
              <w14:schemeClr w14:val="tx1"/>
            </w14:solidFill>
          </w14:textFill>
        </w:rPr>
        <w:t>高标准的九年一贯制</w:t>
      </w:r>
      <w:r>
        <w:rPr>
          <w:rFonts w:ascii="仿宋_GB2312" w:eastAsia="仿宋_GB2312" w:cs="Times New Roman"/>
          <w:color w:val="000000" w:themeColor="text1"/>
          <w:sz w:val="32"/>
          <w:szCs w:val="32"/>
          <w14:textFill>
            <w14:solidFill>
              <w14:schemeClr w14:val="tx1"/>
            </w14:solidFill>
          </w14:textFill>
        </w:rPr>
        <w:t>寄宿学校。</w:t>
      </w:r>
      <w:r>
        <w:rPr>
          <w:rFonts w:hint="eastAsia" w:ascii="仿宋_GB2312" w:eastAsia="仿宋_GB2312" w:cs="仿宋_GB2312"/>
          <w:b w:val="0"/>
          <w:bCs/>
          <w:color w:val="000000" w:themeColor="text1"/>
          <w:kern w:val="2"/>
          <w:sz w:val="32"/>
          <w:szCs w:val="32"/>
          <w:highlight w:val="none"/>
          <w:u w:val="none"/>
          <w:lang w:val="en-US" w:eastAsia="zh-CN" w:bidi="ar-SA"/>
          <w14:textFill>
            <w14:solidFill>
              <w14:schemeClr w14:val="tx1"/>
            </w14:solidFill>
          </w14:textFill>
        </w:rPr>
        <w:t>加强学生心理健康教育，全面落实“五育并举”，促进学生身心健康。巩固提升校园食品安全和膳食管理集中整治工作成果</w:t>
      </w:r>
      <w:r>
        <w:rPr>
          <w:rFonts w:hint="eastAsia" w:ascii="仿宋_GB2312" w:eastAsia="仿宋_GB2312" w:cs="Times New Roman"/>
          <w:color w:val="000000" w:themeColor="text1"/>
          <w:sz w:val="32"/>
          <w:szCs w:val="32"/>
          <w:lang w:val="en-US" w:eastAsia="zh-CN"/>
          <w14:textFill>
            <w14:solidFill>
              <w14:schemeClr w14:val="tx1"/>
            </w14:solidFill>
          </w14:textFill>
        </w:rPr>
        <w:t>，确保每一名学生在校都能吃到和家里一样可口的饭菜。</w:t>
      </w:r>
      <w:r>
        <w:rPr>
          <w:rFonts w:hint="eastAsia" w:ascii="仿宋_GB2312" w:hAnsi="仿宋_GB2312" w:eastAsia="仿宋_GB2312" w:cs="仿宋_GB2312"/>
          <w:b/>
          <w:bCs w:val="0"/>
          <w:color w:val="000000" w:themeColor="text1"/>
          <w:kern w:val="2"/>
          <w:sz w:val="32"/>
          <w:szCs w:val="32"/>
          <w:highlight w:val="none"/>
          <w:u w:val="none"/>
          <w:lang w:val="en-US" w:eastAsia="zh-CN" w:bidi="ar-SA"/>
          <w14:textFill>
            <w14:solidFill>
              <w14:schemeClr w14:val="tx1"/>
            </w14:solidFill>
          </w14:textFill>
        </w:rPr>
        <w:t>打造更具成色的“健康零陵”品牌。</w:t>
      </w:r>
      <w:r>
        <w:rPr>
          <w:rFonts w:hint="eastAsia" w:ascii="仿宋_GB2312" w:eastAsia="仿宋_GB2312" w:cs="Times New Roman"/>
          <w:color w:val="auto"/>
          <w:sz w:val="32"/>
          <w:szCs w:val="32"/>
        </w:rPr>
        <w:t>深入推进“三医联动</w:t>
      </w:r>
      <w:r>
        <w:rPr>
          <w:rFonts w:hint="eastAsia" w:ascii="仿宋_GB2312" w:eastAsia="仿宋_GB2312" w:cs="仿宋_GB2312"/>
          <w:bCs/>
          <w:color w:val="auto"/>
          <w:sz w:val="32"/>
          <w:szCs w:val="32"/>
        </w:rPr>
        <w:t>、六医协同”集成改革。持续抓好名医、名科、名院建设，建立区级医院科室主任和名医巡诊机制</w:t>
      </w:r>
      <w:r>
        <w:rPr>
          <w:rFonts w:hint="eastAsia" w:ascii="仿宋_GB2312" w:eastAsia="仿宋_GB2312" w:cs="仿宋_GB2312"/>
          <w:bCs/>
          <w:color w:val="auto"/>
          <w:sz w:val="32"/>
          <w:szCs w:val="32"/>
          <w:lang w:val="en-US" w:eastAsia="zh-CN"/>
        </w:rPr>
        <w:t>。引进全日制硕士研究生25名。重点</w:t>
      </w:r>
      <w:r>
        <w:rPr>
          <w:rFonts w:hint="eastAsia" w:ascii="仿宋_GB2312" w:eastAsia="仿宋_GB2312" w:cs="仿宋_GB2312"/>
          <w:bCs/>
          <w:color w:val="auto"/>
          <w:sz w:val="32"/>
          <w:szCs w:val="32"/>
        </w:rPr>
        <w:t>打造基层中医特色康复专科和医养结合科</w:t>
      </w:r>
      <w:r>
        <w:rPr>
          <w:rFonts w:hint="eastAsia" w:ascii="仿宋_GB2312" w:eastAsia="仿宋_GB2312" w:cs="仿宋_GB2312"/>
          <w:bCs/>
          <w:color w:val="auto"/>
          <w:sz w:val="32"/>
          <w:szCs w:val="32"/>
          <w:lang w:eastAsia="zh-CN"/>
        </w:rPr>
        <w:t>。</w:t>
      </w:r>
      <w:r>
        <w:rPr>
          <w:rFonts w:hint="eastAsia" w:ascii="仿宋_GB2312" w:eastAsia="仿宋_GB2312" w:cs="仿宋_GB2312"/>
          <w:bCs/>
          <w:color w:val="auto"/>
          <w:sz w:val="32"/>
          <w:szCs w:val="32"/>
        </w:rPr>
        <w:t>继续推进第四人民医院创建“三级医院”。大力推进医保支付方式改革，开展门诊统筹和住院增值服务付费试点，参保人在基层医疗机构</w:t>
      </w:r>
      <w:r>
        <w:rPr>
          <w:rFonts w:hint="eastAsia" w:ascii="仿宋_GB2312" w:eastAsia="仿宋_GB2312" w:cs="仿宋_GB2312"/>
          <w:bCs/>
          <w:color w:val="auto"/>
          <w:spacing w:val="-6"/>
          <w:sz w:val="32"/>
          <w:szCs w:val="32"/>
        </w:rPr>
        <w:t>就诊时，实行门诊“10+100+500”总额付费和住院</w:t>
      </w:r>
      <w:r>
        <w:rPr>
          <w:rFonts w:hint="eastAsia" w:ascii="仿宋_GB2312" w:eastAsia="仿宋_GB2312" w:cs="仿宋_GB2312"/>
          <w:bCs/>
          <w:color w:val="auto"/>
          <w:sz w:val="32"/>
          <w:szCs w:val="32"/>
        </w:rPr>
        <w:t>“100+1000+4000”总额付费模式。深入开展健康零陵行动，强化重点传染病和重大慢性病防控。开展“三减三健”活动，持续提升人均预期寿命。完善生育支持政策体系和激励机制，促进人口</w:t>
      </w:r>
      <w:r>
        <w:rPr>
          <w:rFonts w:hint="eastAsia" w:ascii="仿宋_GB2312" w:eastAsia="仿宋_GB2312" w:cs="仿宋_GB2312"/>
          <w:color w:val="auto"/>
          <w:sz w:val="32"/>
          <w:szCs w:val="32"/>
        </w:rPr>
        <w:t>高质量</w:t>
      </w:r>
      <w:r>
        <w:rPr>
          <w:rFonts w:hint="eastAsia" w:ascii="仿宋_GB2312" w:eastAsia="仿宋_GB2312" w:cs="仿宋_GB2312"/>
          <w:bCs/>
          <w:color w:val="auto"/>
          <w:sz w:val="32"/>
          <w:szCs w:val="32"/>
        </w:rPr>
        <w:t>发展。</w:t>
      </w:r>
      <w:r>
        <w:rPr>
          <w:rFonts w:hint="eastAsia" w:ascii="仿宋_GB2312" w:hAnsi="仿宋_GB2312" w:eastAsia="仿宋_GB2312" w:cs="仿宋_GB2312"/>
          <w:b/>
          <w:bCs w:val="0"/>
          <w:color w:val="000000" w:themeColor="text1"/>
          <w:kern w:val="2"/>
          <w:sz w:val="32"/>
          <w:szCs w:val="32"/>
          <w:highlight w:val="none"/>
          <w:u w:val="none"/>
          <w:lang w:val="en-US" w:eastAsia="zh-CN" w:bidi="ar-SA"/>
          <w14:textFill>
            <w14:solidFill>
              <w14:schemeClr w14:val="tx1"/>
            </w14:solidFill>
          </w14:textFill>
        </w:rPr>
        <w:t>打造更有氛围的“文化零陵”品牌。</w:t>
      </w:r>
      <w:r>
        <w:rPr>
          <w:rFonts w:hint="eastAsia" w:ascii="仿宋_GB2312" w:eastAsia="仿宋_GB2312" w:cs="仿宋_GB2312"/>
          <w:bCs/>
          <w:color w:val="auto"/>
          <w:sz w:val="32"/>
          <w:szCs w:val="32"/>
        </w:rPr>
        <w:t>开展好第四次全国文物普查，加强历史文化遗产保护传承。探索“文化+科技”融合机制，推进柳子庙数字化项目建设。加快推进周家大院展示利用、文庙修缮等文保工程。深入挖掘历史文化内涵，开发一批具有零陵特色的文创产品。充分发挥“柳宗元”和“怀素”历史名人效应，吸引更多文艺界人士来零陵开展采风创作。持续推动公共文化服务走深走实。积极备战省</w:t>
      </w:r>
      <w:r>
        <w:rPr>
          <w:rFonts w:hint="eastAsia" w:ascii="仿宋_GB2312" w:eastAsia="仿宋_GB2312" w:cs="仿宋_GB2312"/>
          <w:color w:val="auto"/>
          <w:sz w:val="32"/>
          <w:szCs w:val="32"/>
        </w:rPr>
        <w:t>第</w:t>
      </w:r>
      <w:r>
        <w:rPr>
          <w:rFonts w:hint="eastAsia" w:ascii="仿宋_GB2312" w:eastAsia="仿宋_GB2312" w:cs="仿宋_GB2312"/>
          <w:bCs/>
          <w:color w:val="auto"/>
          <w:sz w:val="32"/>
          <w:szCs w:val="32"/>
        </w:rPr>
        <w:t>十五届运动会。</w:t>
      </w:r>
      <w:r>
        <w:rPr>
          <w:rFonts w:hint="eastAsia" w:ascii="仿宋_GB2312" w:hAnsi="仿宋_GB2312" w:eastAsia="仿宋_GB2312" w:cs="仿宋_GB2312"/>
          <w:b/>
          <w:bCs w:val="0"/>
          <w:color w:val="000000" w:themeColor="text1"/>
          <w:kern w:val="2"/>
          <w:sz w:val="32"/>
          <w:szCs w:val="32"/>
          <w:highlight w:val="none"/>
          <w:u w:val="none"/>
          <w:lang w:val="en-US" w:eastAsia="zh-CN" w:bidi="ar-SA"/>
          <w14:textFill>
            <w14:solidFill>
              <w14:schemeClr w14:val="tx1"/>
            </w14:solidFill>
          </w14:textFill>
        </w:rPr>
        <w:t>三是更加</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兜牢民生保障底线。</w:t>
      </w:r>
      <w:r>
        <w:rPr>
          <w:rFonts w:hint="eastAsia" w:ascii="仿宋_GB2312" w:eastAsia="仿宋_GB2312" w:cs="仿宋_GB2312"/>
          <w:bCs/>
          <w:color w:val="auto"/>
          <w:sz w:val="32"/>
          <w:szCs w:val="32"/>
        </w:rPr>
        <w:t>着重抓好“一老一小”工作</w:t>
      </w:r>
      <w:r>
        <w:rPr>
          <w:rFonts w:hint="eastAsia" w:ascii="仿宋_GB2312" w:eastAsia="仿宋_GB2312" w:cs="仿宋_GB2312"/>
          <w:bCs/>
          <w:color w:val="auto"/>
          <w:sz w:val="32"/>
          <w:szCs w:val="32"/>
          <w:lang w:eastAsia="zh-CN"/>
        </w:rPr>
        <w:t>。</w:t>
      </w:r>
      <w:r>
        <w:rPr>
          <w:rFonts w:hint="eastAsia" w:ascii="仿宋_GB2312" w:eastAsia="仿宋_GB2312" w:cs="仿宋_GB2312"/>
          <w:color w:val="auto"/>
          <w:sz w:val="32"/>
          <w:szCs w:val="32"/>
        </w:rPr>
        <w:t>完善老年助餐体系建设，提升永州市老年医院服务水平，完成富家桥中心敬老院建设，争创1个市级示范型社区居家养老服务中心。关心关爱农村留守儿童和困境儿童，新打造1个市级特色示范儿童之家。继续扩大社会保险覆盖范围，城乡居民常住人口医保参保率保持95%以上，困难群众“应保尽保”。</w:t>
      </w:r>
      <w:r>
        <w:rPr>
          <w:rFonts w:hint="eastAsia" w:ascii="仿宋_GB2312" w:eastAsia="仿宋_GB2312" w:cs="仿宋_GB2312"/>
          <w:color w:val="auto"/>
          <w:sz w:val="32"/>
          <w:szCs w:val="32"/>
          <w:lang w:val="en-US" w:eastAsia="zh-CN"/>
        </w:rPr>
        <w:t>城乡居民基本养老保险待遇月人均水平提升至185元。公</w:t>
      </w:r>
      <w:r>
        <w:rPr>
          <w:rFonts w:hint="eastAsia" w:ascii="仿宋_GB2312" w:eastAsia="仿宋_GB2312" w:cs="仿宋_GB2312"/>
          <w:color w:val="auto"/>
          <w:sz w:val="32"/>
          <w:szCs w:val="32"/>
        </w:rPr>
        <w:t>租</w:t>
      </w:r>
      <w:r>
        <w:rPr>
          <w:rFonts w:hint="eastAsia" w:ascii="仿宋_GB2312" w:eastAsia="仿宋_GB2312" w:cs="仿宋_GB2312"/>
          <w:color w:val="auto"/>
          <w:sz w:val="32"/>
          <w:szCs w:val="32"/>
          <w:lang w:val="en-US" w:eastAsia="zh-CN"/>
        </w:rPr>
        <w:t>房租赁</w:t>
      </w:r>
      <w:r>
        <w:rPr>
          <w:rFonts w:hint="eastAsia" w:ascii="仿宋_GB2312" w:eastAsia="仿宋_GB2312" w:cs="仿宋_GB2312"/>
          <w:color w:val="auto"/>
          <w:sz w:val="32"/>
          <w:szCs w:val="32"/>
        </w:rPr>
        <w:t>补贴保障家庭500户。</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ascii="仿宋_GB2312" w:eastAsia="仿宋_GB2312" w:cs="仿宋_GB2312"/>
          <w:color w:val="auto"/>
          <w:sz w:val="32"/>
          <w:szCs w:val="32"/>
          <w:shd w:val="clear" w:color="auto" w:fill="FFFFFF"/>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7.高要求高水平，防范化解重大风险。</w:t>
      </w: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一是抢抓政策机遇化解债务。</w:t>
      </w:r>
      <w:r>
        <w:rPr>
          <w:rFonts w:hint="eastAsia" w:ascii="仿宋_GB2312" w:eastAsia="仿宋_GB2312" w:cs="仿宋_GB2312"/>
          <w:color w:val="auto"/>
          <w:sz w:val="32"/>
          <w:szCs w:val="32"/>
        </w:rPr>
        <w:t>抢抓国家实施适度宽松的货币政策契机，力争年内完成债务置换</w:t>
      </w:r>
      <w:r>
        <w:rPr>
          <w:rFonts w:hint="eastAsia" w:ascii="仿宋_GB2312" w:eastAsia="仿宋_GB2312" w:cs="仿宋_GB2312"/>
          <w:color w:val="auto"/>
          <w:sz w:val="32"/>
          <w:szCs w:val="32"/>
          <w:lang w:val="en-US" w:eastAsia="zh-CN"/>
        </w:rPr>
        <w:t>30</w:t>
      </w:r>
      <w:r>
        <w:rPr>
          <w:rFonts w:hint="eastAsia" w:ascii="仿宋_GB2312" w:eastAsia="仿宋_GB2312" w:cs="仿宋_GB2312"/>
          <w:color w:val="auto"/>
          <w:sz w:val="32"/>
          <w:szCs w:val="32"/>
        </w:rPr>
        <w:t>亿元以上，发行产品接替存量债务</w:t>
      </w:r>
      <w:r>
        <w:rPr>
          <w:rFonts w:hint="eastAsia" w:ascii="仿宋_GB2312" w:eastAsia="仿宋_GB2312" w:cs="仿宋_GB2312"/>
          <w:color w:val="auto"/>
          <w:sz w:val="32"/>
          <w:szCs w:val="32"/>
          <w:lang w:val="en-US" w:eastAsia="zh-CN"/>
        </w:rPr>
        <w:t>40</w:t>
      </w:r>
      <w:r>
        <w:rPr>
          <w:rFonts w:hint="eastAsia" w:ascii="仿宋_GB2312" w:eastAsia="仿宋_GB2312" w:cs="仿宋_GB2312"/>
          <w:color w:val="auto"/>
          <w:sz w:val="32"/>
          <w:szCs w:val="32"/>
        </w:rPr>
        <w:t>亿元以上，力争存量贷款平均利率降低至4.5%左右，新增贷款平均利率降低至3.5%左右，全年节支利息2.5亿元以上。加大与金融机构对接力度，采取“债券兑付刚转柔、债务周期短转长、贷款利率高转低”等方式，调节债务高峰，减轻债务负担，缓解到期债务兑付压力。</w:t>
      </w:r>
      <w:r>
        <w:rPr>
          <w:rFonts w:hint="eastAsia" w:ascii="仿宋_GB2312" w:eastAsia="仿宋_GB2312" w:cs="仿宋_GB2312"/>
          <w:color w:val="auto"/>
          <w:sz w:val="32"/>
          <w:szCs w:val="32"/>
          <w:shd w:val="clear" w:color="auto" w:fill="FFFFFF"/>
        </w:rPr>
        <w:t>支持</w:t>
      </w:r>
      <w:r>
        <w:rPr>
          <w:rFonts w:hint="eastAsia" w:ascii="仿宋_GB2312" w:eastAsia="仿宋_GB2312" w:cs="仿宋_GB2312"/>
          <w:color w:val="auto"/>
          <w:sz w:val="32"/>
          <w:szCs w:val="32"/>
        </w:rPr>
        <w:t>区属国企</w:t>
      </w:r>
      <w:r>
        <w:rPr>
          <w:rFonts w:hint="eastAsia" w:ascii="仿宋_GB2312" w:eastAsia="仿宋_GB2312" w:cs="仿宋_GB2312"/>
          <w:color w:val="auto"/>
          <w:sz w:val="32"/>
          <w:szCs w:val="32"/>
          <w:shd w:val="clear" w:color="auto" w:fill="FFFFFF"/>
        </w:rPr>
        <w:t>做大做强，支持潇湘源城发集团资产规模做大到500亿元以上</w:t>
      </w:r>
      <w:r>
        <w:rPr>
          <w:rFonts w:ascii="仿宋_GB2312" w:eastAsia="仿宋_GB2312" w:cs="仿宋_GB2312"/>
          <w:color w:val="auto"/>
          <w:sz w:val="32"/>
          <w:szCs w:val="32"/>
          <w:shd w:val="clear" w:color="auto" w:fill="FFFFFF"/>
        </w:rPr>
        <w:t>，继续争创</w:t>
      </w:r>
      <w:r>
        <w:rPr>
          <w:rFonts w:hint="eastAsia" w:ascii="仿宋_GB2312" w:eastAsia="仿宋_GB2312" w:cs="仿宋_GB2312"/>
          <w:color w:val="auto"/>
          <w:sz w:val="32"/>
          <w:szCs w:val="32"/>
          <w:shd w:val="clear" w:color="auto" w:fill="FFFFFF"/>
        </w:rPr>
        <w:t>A</w:t>
      </w:r>
      <w:r>
        <w:rPr>
          <w:rFonts w:ascii="仿宋_GB2312" w:eastAsia="仿宋_GB2312" w:cs="仿宋_GB2312"/>
          <w:color w:val="auto"/>
          <w:sz w:val="32"/>
          <w:szCs w:val="32"/>
          <w:shd w:val="clear" w:color="auto" w:fill="FFFFFF"/>
        </w:rPr>
        <w:t>A</w:t>
      </w:r>
      <w:r>
        <w:rPr>
          <w:rFonts w:ascii="仿宋_GB2312" w:eastAsia="仿宋_GB2312" w:cs="仿宋_GB2312"/>
          <w:color w:val="auto"/>
          <w:sz w:val="32"/>
          <w:szCs w:val="32"/>
          <w:shd w:val="clear" w:color="auto" w:fill="FFFFFF"/>
          <w:vertAlign w:val="superscript"/>
        </w:rPr>
        <w:t>+</w:t>
      </w:r>
      <w:r>
        <w:rPr>
          <w:rFonts w:ascii="仿宋_GB2312" w:eastAsia="仿宋_GB2312" w:cs="仿宋_GB2312"/>
          <w:color w:val="auto"/>
          <w:sz w:val="32"/>
          <w:szCs w:val="32"/>
          <w:shd w:val="clear" w:color="auto" w:fill="FFFFFF"/>
        </w:rPr>
        <w:t>信用评级。</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color w:val="auto"/>
          <w:sz w:val="32"/>
          <w:szCs w:val="32"/>
          <w:shd w:val="clear" w:color="auto" w:fill="FFFFFF"/>
        </w:rPr>
      </w:pPr>
      <w:r>
        <w:rPr>
          <w:rFonts w:hint="eastAsia" w:ascii="仿宋_GB2312" w:eastAsia="仿宋_GB2312" w:cs="仿宋_GB2312"/>
          <w:b/>
          <w:bCs/>
          <w:i w:val="0"/>
          <w:iCs w:val="0"/>
          <w:caps w:val="0"/>
          <w:smallCaps w:val="0"/>
          <w:color w:val="000000" w:themeColor="text1"/>
          <w:spacing w:val="0"/>
          <w:sz w:val="32"/>
          <w:szCs w:val="32"/>
          <w:shd w:val="clear" w:color="auto" w:fill="FFFFFF"/>
          <w:lang w:val="en-US" w:eastAsia="zh-CN"/>
          <w14:textFill>
            <w14:solidFill>
              <w14:schemeClr w14:val="tx1"/>
            </w14:solidFill>
          </w14:textFill>
        </w:rPr>
        <w:t>2025年将重点实施十大财源建设项目：</w:t>
      </w:r>
      <w:r>
        <w:rPr>
          <w:rFonts w:hint="eastAsia" w:ascii="仿宋_GB2312" w:eastAsia="仿宋_GB2312" w:cs="仿宋_GB2312"/>
          <w:color w:val="auto"/>
          <w:sz w:val="32"/>
          <w:szCs w:val="32"/>
          <w:shd w:val="clear" w:color="auto" w:fill="FFFFFF"/>
        </w:rPr>
        <w:t>土地出让；城市经营；区属国企赋能增收；锰矿矿权出让；林业、水、风光等资源开发利用；闲置资产处置；房地产税费清缴及办证；砂石土矿开发利用；碳汇开发和交易；</w:t>
      </w:r>
      <w:r>
        <w:rPr>
          <w:rFonts w:hint="eastAsia" w:ascii="仿宋_GB2312" w:eastAsia="仿宋_GB2312" w:cs="仿宋_GB2312"/>
          <w:color w:val="auto"/>
          <w:sz w:val="32"/>
          <w:szCs w:val="32"/>
        </w:rPr>
        <w:t>土地整理及林地指标开发和交易</w:t>
      </w:r>
      <w:r>
        <w:rPr>
          <w:rFonts w:hint="eastAsia" w:ascii="仿宋_GB2312" w:eastAsia="仿宋_GB2312" w:cs="仿宋_GB2312"/>
          <w:color w:val="auto"/>
          <w:sz w:val="32"/>
          <w:szCs w:val="32"/>
          <w:shd w:val="clear" w:color="auto" w:fill="FFFFFF"/>
        </w:rPr>
        <w:t>。</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color w:val="auto"/>
          <w:sz w:val="32"/>
          <w:szCs w:val="32"/>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提升社会治理效能。</w:t>
      </w:r>
      <w:r>
        <w:rPr>
          <w:rFonts w:hint="eastAsia" w:ascii="仿宋_GB2312" w:eastAsia="仿宋_GB2312" w:cs="仿宋_GB2312"/>
          <w:color w:val="auto"/>
          <w:sz w:val="32"/>
          <w:szCs w:val="32"/>
          <w:shd w:val="clear" w:color="auto" w:fill="FFFFFF"/>
        </w:rPr>
        <w:t>坚持和发展新时代“枫桥经验”“浦江经验”，健全“网格化+信息化+社会化”治理模式，突出</w:t>
      </w:r>
      <w:r>
        <w:rPr>
          <w:rFonts w:ascii="仿宋_GB2312" w:eastAsia="仿宋_GB2312" w:cs="仿宋_GB2312"/>
          <w:color w:val="auto"/>
          <w:sz w:val="32"/>
          <w:szCs w:val="32"/>
          <w:shd w:val="clear" w:color="auto" w:fill="FFFFFF"/>
        </w:rPr>
        <w:t>诉源</w:t>
      </w:r>
      <w:r>
        <w:rPr>
          <w:rFonts w:hint="eastAsia" w:ascii="仿宋_GB2312" w:eastAsia="仿宋_GB2312" w:cs="仿宋_GB2312"/>
          <w:color w:val="auto"/>
          <w:sz w:val="32"/>
          <w:szCs w:val="32"/>
          <w:shd w:val="clear" w:color="auto" w:fill="FFFFFF"/>
        </w:rPr>
        <w:t>治理、诉前调解，从源头上防范化解各类矛盾纠纷和风险隐患。落实好领导干部下访、信访联席会议、信访事项挂牌交办等制度，用心用情解决群众合法合理诉求。始终保持高度警醒，最大限度消除社会不稳定因素，严防各类极端事件发生。加强网络安全和舆情风险防控。</w:t>
      </w:r>
      <w:r>
        <w:rPr>
          <w:rFonts w:hint="eastAsia" w:ascii="仿宋_GB2312" w:eastAsia="仿宋_GB2312" w:cs="仿宋_GB2312"/>
          <w:color w:val="auto"/>
          <w:sz w:val="32"/>
          <w:szCs w:val="32"/>
        </w:rPr>
        <w:t>深化“快反135”机制，</w:t>
      </w:r>
      <w:r>
        <w:rPr>
          <w:rFonts w:ascii="仿宋_GB2312" w:eastAsia="仿宋_GB2312" w:cs="仿宋_GB2312"/>
          <w:color w:val="auto"/>
          <w:sz w:val="32"/>
          <w:szCs w:val="32"/>
        </w:rPr>
        <w:t>常态化开展扫黑除恶、打击电信网络诈骗和养老诈骗、</w:t>
      </w:r>
      <w:r>
        <w:rPr>
          <w:rFonts w:hint="eastAsia" w:ascii="仿宋_GB2312" w:eastAsia="仿宋_GB2312" w:cs="仿宋_GB2312"/>
          <w:color w:val="auto"/>
          <w:sz w:val="32"/>
          <w:szCs w:val="32"/>
        </w:rPr>
        <w:t>遏制</w:t>
      </w:r>
      <w:r>
        <w:rPr>
          <w:rFonts w:ascii="仿宋_GB2312" w:eastAsia="仿宋_GB2312" w:cs="仿宋_GB2312"/>
          <w:color w:val="auto"/>
          <w:sz w:val="32"/>
          <w:szCs w:val="32"/>
        </w:rPr>
        <w:t>未成年人受侵害等</w:t>
      </w:r>
      <w:r>
        <w:rPr>
          <w:rFonts w:hint="eastAsia" w:ascii="仿宋_GB2312" w:eastAsia="仿宋_GB2312" w:cs="仿宋_GB2312"/>
          <w:color w:val="auto"/>
          <w:sz w:val="32"/>
          <w:szCs w:val="32"/>
        </w:rPr>
        <w:t>专项</w:t>
      </w:r>
      <w:r>
        <w:rPr>
          <w:rFonts w:ascii="仿宋_GB2312" w:eastAsia="仿宋_GB2312" w:cs="仿宋_GB2312"/>
          <w:color w:val="auto"/>
          <w:sz w:val="32"/>
          <w:szCs w:val="32"/>
        </w:rPr>
        <w:t>行动，</w:t>
      </w:r>
      <w:r>
        <w:rPr>
          <w:rFonts w:hint="eastAsia" w:ascii="仿宋_GB2312" w:eastAsia="仿宋_GB2312" w:cs="仿宋_GB2312"/>
          <w:color w:val="auto"/>
          <w:sz w:val="32"/>
          <w:szCs w:val="32"/>
        </w:rPr>
        <w:t>深入推进新一轮禁毒人民战争，不断增强人民群众安全感</w:t>
      </w:r>
      <w:r>
        <w:rPr>
          <w:rFonts w:hint="eastAsia" w:ascii="仿宋_GB2312" w:eastAsia="仿宋_GB2312" w:cs="仿宋_GB2312"/>
          <w:color w:val="auto"/>
          <w:sz w:val="32"/>
          <w:szCs w:val="32"/>
          <w:shd w:val="clear" w:color="auto" w:fill="FFFFFF"/>
        </w:rPr>
        <w:t>。</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三是抓好污染防治攻坚</w:t>
      </w:r>
      <w:r>
        <w:rPr>
          <w:rFonts w:hint="eastAsia" w:ascii="楷体_GB2312" w:hAnsi="楷体_GB2312" w:eastAsia="楷体_GB2312" w:cs="楷体_GB2312"/>
          <w:b/>
          <w:bCs/>
          <w:i w:val="0"/>
          <w:iCs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eastAsia="仿宋_GB2312" w:cs="仿宋_GB2312"/>
          <w:color w:val="auto"/>
          <w:sz w:val="32"/>
          <w:szCs w:val="32"/>
          <w:shd w:val="clear" w:color="auto" w:fill="FFFFFF"/>
        </w:rPr>
        <w:t>扎实开展中央和省环保督察交办问题整改“回头看”，协同推进降碳减污扩绿增长</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统筹打好蓝天、碧水、净土保卫战。强化农业面源污染防治</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lang w:val="en-US" w:eastAsia="zh-CN"/>
        </w:rPr>
        <w:t>加大农村黑臭水体整治</w:t>
      </w:r>
      <w:r>
        <w:rPr>
          <w:rFonts w:hint="eastAsia" w:ascii="仿宋_GB2312" w:eastAsia="仿宋_GB2312" w:cs="仿宋_GB2312"/>
          <w:color w:val="auto"/>
          <w:sz w:val="32"/>
          <w:szCs w:val="32"/>
          <w:shd w:val="clear" w:color="auto" w:fill="FFFFFF"/>
        </w:rPr>
        <w:t>。</w:t>
      </w:r>
      <w:r>
        <w:rPr>
          <w:rFonts w:hint="eastAsia" w:ascii="仿宋_GB2312" w:eastAsia="仿宋_GB2312" w:cs="仿宋_GB2312"/>
          <w:color w:val="auto"/>
          <w:sz w:val="32"/>
          <w:szCs w:val="32"/>
          <w:shd w:val="clear" w:color="auto" w:fill="FFFFFF"/>
          <w:lang w:val="en-US" w:eastAsia="zh-CN"/>
        </w:rPr>
        <w:t>建立建筑垃圾收集处理体系。</w:t>
      </w:r>
      <w:r>
        <w:rPr>
          <w:rFonts w:hint="eastAsia" w:ascii="仿宋_GB2312" w:eastAsia="仿宋_GB2312" w:cs="仿宋_GB2312"/>
          <w:color w:val="auto"/>
          <w:sz w:val="32"/>
          <w:szCs w:val="32"/>
          <w:shd w:val="clear" w:color="auto" w:fill="FFFFFF"/>
        </w:rPr>
        <w:t>加强秸秆综合利用和露天焚烧管理。纵深推进河长制、林长制、田长制。健全野生动植物保护机制。持续开展矿区人居环境突出问题专项整治，推进水埠头村、斑竹塘村锰矿历史遗留废渣治理，争创</w:t>
      </w:r>
      <w:r>
        <w:rPr>
          <w:rFonts w:hint="eastAsia" w:ascii="仿宋_GB2312" w:eastAsia="仿宋_GB2312" w:cs="仿宋_GB2312"/>
          <w:color w:val="auto"/>
          <w:sz w:val="32"/>
          <w:szCs w:val="32"/>
          <w:shd w:val="clear" w:color="auto" w:fill="FFFFFF"/>
          <w:lang w:val="en-US" w:eastAsia="zh-CN"/>
        </w:rPr>
        <w:t>2</w:t>
      </w:r>
      <w:r>
        <w:rPr>
          <w:rFonts w:hint="eastAsia" w:ascii="仿宋_GB2312" w:eastAsia="仿宋_GB2312" w:cs="仿宋_GB2312"/>
          <w:color w:val="auto"/>
          <w:sz w:val="32"/>
          <w:szCs w:val="32"/>
          <w:shd w:val="clear" w:color="auto" w:fill="FFFFFF"/>
        </w:rPr>
        <w:t>个大中型省级绿色矿山</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实施好国储林、中央财政国土绿化示范、湘西南水土流失及石漠化综合治理等项目，让零陵一年四季青山常在、绿水长流、空气常新。</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四是守牢安全生产底线。</w:t>
      </w:r>
      <w:r>
        <w:rPr>
          <w:rFonts w:hint="eastAsia" w:ascii="仿宋_GB2312" w:eastAsia="仿宋_GB2312" w:cs="仿宋_GB2312"/>
          <w:color w:val="auto"/>
          <w:sz w:val="32"/>
          <w:szCs w:val="32"/>
          <w:shd w:val="clear" w:color="auto" w:fill="FFFFFF"/>
        </w:rPr>
        <w:t>严格落实安全生产“十五条硬措施”，继续</w:t>
      </w:r>
      <w:r>
        <w:rPr>
          <w:rFonts w:hint="eastAsia" w:ascii="仿宋_GB2312" w:eastAsia="仿宋_GB2312" w:cs="仿宋_GB2312"/>
          <w:color w:val="auto"/>
          <w:sz w:val="32"/>
          <w:szCs w:val="32"/>
        </w:rPr>
        <w:t>安排财政预算预备费的一半，专项用于安全生产隐患排查整治和应急处置。深化“2614”工作法，持续推动基层安全隐患排查和安全监管执法“两个全覆盖”。聚焦道路交通、城镇燃气、建筑施工、非煤矿山、森林防火、消防安全、危化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烟花爆竹、人员密集场所等重点行业领域，</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纵深开展安全生产治本攻坚三年行动，不断提升本质安全水平。</w:t>
      </w:r>
      <w:r>
        <w:rPr>
          <w:rFonts w:hint="eastAsia" w:ascii="仿宋_GB2312" w:eastAsia="仿宋_GB2312" w:cs="仿宋_GB2312"/>
          <w:color w:val="auto"/>
          <w:sz w:val="32"/>
          <w:szCs w:val="32"/>
        </w:rPr>
        <w:t>统筹做好食品、药品、重点工业产品和特种设备安全防范。加强自然灾害风险监测预警，强化基层应急队伍和应急装备建设，常态化开展应急演练和宣传培训，全面提升防灾、避灾、减灾、救灾能力。</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3" w:firstLineChars="200"/>
        <w:jc w:val="both"/>
        <w:textAlignment w:val="auto"/>
        <w:rPr>
          <w:rFonts w:hint="eastAsia" w:ascii="仿宋_GB2312" w:eastAsia="仿宋_GB2312" w:cs="仿宋_GB2312"/>
          <w:b w:val="0"/>
          <w:bCs w:val="0"/>
          <w:i w:val="0"/>
          <w:iCs w:val="0"/>
          <w:caps w:val="0"/>
          <w:small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eastAsia="仿宋_GB2312" w:cs="仿宋_GB2312"/>
          <w:b/>
          <w:bCs/>
          <w:color w:val="auto"/>
          <w:sz w:val="32"/>
          <w:szCs w:val="32"/>
          <w:lang w:val="en-US" w:eastAsia="zh-CN"/>
        </w:rPr>
        <w:t>2025年，将</w:t>
      </w:r>
      <w:r>
        <w:rPr>
          <w:rFonts w:hint="eastAsia" w:ascii="仿宋_GB2312" w:eastAsia="仿宋_GB2312" w:cs="仿宋_GB2312"/>
          <w:b/>
          <w:bCs/>
          <w:color w:val="auto"/>
          <w:sz w:val="32"/>
          <w:szCs w:val="32"/>
        </w:rPr>
        <w:t>重点实施十大安全守底项目：</w:t>
      </w:r>
      <w:r>
        <w:rPr>
          <w:rFonts w:hint="eastAsia" w:ascii="仿宋_GB2312" w:eastAsia="仿宋_GB2312" w:cs="仿宋_GB2312"/>
          <w:color w:val="auto"/>
          <w:sz w:val="32"/>
          <w:szCs w:val="32"/>
        </w:rPr>
        <w:t>森林防火智慧预警系统建设；基层综合应急救援能力提升；道路交通安防工程；非煤矿山应急预警信息化建设；病险水库除险加固；地质灾害防治能力提升；智慧能源（燃气）平台建设；愚溪河生态环境综合治理；电梯应急救援平台建设；校车安全能力提升。</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与此同时，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持续</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好</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国防动员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消防、工会、共青团、妇联、残联、工商联、文联、侨联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t>审计、移民、保密、统计、物价、档案、人防、气象、水文、史志、对台、老龄等工作。</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各位代表，</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国际形势日益复杂，</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新的一年</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充满着各种挑战，但也充满着各种机遇</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。我们要更加紧密地团结在以习近平同志为核心的党中央周围，在</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委、</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政府的坚强领导下，在</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人大、</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政协的监督支持下，</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守正创新，自信自强，踔厉奋发，</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继续保持发展势头</w:t>
      </w:r>
      <w:r>
        <w:rPr>
          <w:rFonts w:hint="eastAsia"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努力</w:t>
      </w:r>
      <w:r>
        <w:rPr>
          <w:rFonts w:hint="default" w:ascii="Times New Roman" w:hAnsi="Times New Roman" w:eastAsia="仿宋_GB2312" w:cs="Times New Roman"/>
          <w:color w:val="000000" w:themeColor="text1"/>
          <w:spacing w:val="0"/>
          <w:kern w:val="0"/>
          <w:sz w:val="32"/>
          <w:szCs w:val="32"/>
          <w:highlight w:val="none"/>
          <w14:textFill>
            <w14:solidFill>
              <w14:schemeClr w14:val="tx1"/>
            </w14:solidFill>
          </w14:textFill>
        </w:rPr>
        <w:t>完成全年目标任务，为</w:t>
      </w:r>
      <w:r>
        <w:rPr>
          <w:rFonts w:hint="eastAsia"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全面</w:t>
      </w:r>
      <w:r>
        <w:rPr>
          <w:rFonts w:hint="eastAsia" w:ascii="Times New Roman" w:hAnsi="Times New Roman" w:eastAsia="仿宋_GB2312" w:cs="Times New Roman"/>
          <w:color w:val="000000" w:themeColor="text1"/>
          <w:spacing w:val="0"/>
          <w:kern w:val="0"/>
          <w:sz w:val="32"/>
          <w:szCs w:val="32"/>
          <w:highlight w:val="none"/>
          <w14:textFill>
            <w14:solidFill>
              <w14:schemeClr w14:val="tx1"/>
            </w14:solidFill>
          </w14:textFill>
        </w:rPr>
        <w:t>建设</w:t>
      </w:r>
      <w:r>
        <w:rPr>
          <w:rFonts w:hint="eastAsia"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社会主义现代化新零陵而团结奋斗！</w:t>
      </w:r>
    </w:p>
    <w:p>
      <w:pPr>
        <w:rPr>
          <w:rFonts w:hint="eastAsia" w:ascii="Times New Roman" w:hAnsi="Times New Roman" w:eastAsia="仿宋_GB2312" w:cs="Times New Roman"/>
          <w:color w:val="000000" w:themeColor="text1"/>
          <w:spacing w:val="0"/>
          <w:kern w:val="0"/>
          <w:sz w:val="32"/>
          <w:szCs w:val="32"/>
          <w:highlight w:val="yellow"/>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highlight w:val="yellow"/>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jc w:val="both"/>
        <w:textAlignment w:val="auto"/>
        <w:outlineLvl w:val="9"/>
        <w:rPr>
          <w:rFonts w:hint="eastAsia" w:ascii="楷体_GB2312" w:hAnsi="楷体_GB2312" w:eastAsia="楷体_GB2312" w:cs="楷体_GB2312"/>
          <w:b/>
          <w:bCs/>
          <w:color w:val="auto"/>
          <w:sz w:val="30"/>
          <w:szCs w:val="30"/>
          <w:lang w:val="en-US" w:eastAsia="zh-CN"/>
        </w:rPr>
      </w:pPr>
      <w:r>
        <w:rPr>
          <w:rFonts w:hint="eastAsia" w:ascii="楷体_GB2312" w:hAnsi="楷体_GB2312" w:eastAsia="楷体_GB2312" w:cs="楷体_GB2312"/>
          <w:b/>
          <w:bCs/>
          <w:color w:val="auto"/>
          <w:sz w:val="30"/>
          <w:szCs w:val="30"/>
          <w:lang w:val="en-US" w:eastAsia="zh-CN"/>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1.“四区两城”：</w:t>
      </w:r>
      <w:r>
        <w:rPr>
          <w:rFonts w:hint="eastAsia" w:ascii="仿宋_GB2312" w:eastAsia="仿宋_GB2312" w:cs="仿宋_GB2312"/>
          <w:color w:val="auto"/>
          <w:spacing w:val="-6"/>
          <w:sz w:val="28"/>
          <w:szCs w:val="28"/>
          <w:lang w:val="en-US" w:eastAsia="zh-CN"/>
        </w:rPr>
        <w:t>承接产业转移示范区、精品农业先行区、科教引领示范区、社会治理样板区、文化旅游名城、生态宜居新城。</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2.“五力零陵”：</w:t>
      </w:r>
      <w:r>
        <w:rPr>
          <w:rFonts w:hint="eastAsia" w:ascii="仿宋_GB2312" w:eastAsia="仿宋_GB2312" w:cs="仿宋_GB2312"/>
          <w:color w:val="auto"/>
          <w:spacing w:val="-6"/>
          <w:sz w:val="28"/>
          <w:szCs w:val="28"/>
          <w:lang w:val="en-US" w:eastAsia="zh-CN"/>
        </w:rPr>
        <w:t>经济更有实力、发展更有活力、城市更有张力、文旅更有魅力、幸福更加给力。</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562" w:firstLineChars="200"/>
        <w:jc w:val="both"/>
        <w:textAlignment w:val="auto"/>
        <w:outlineLvl w:val="9"/>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3.“十个统筹”：</w:t>
      </w:r>
      <w:r>
        <w:rPr>
          <w:rFonts w:hint="eastAsia" w:ascii="仿宋_GB2312" w:eastAsia="仿宋_GB2312" w:cs="仿宋_GB2312"/>
          <w:color w:val="auto"/>
          <w:spacing w:val="-6"/>
          <w:sz w:val="28"/>
          <w:szCs w:val="28"/>
          <w:lang w:val="en-US" w:eastAsia="zh-CN"/>
        </w:rPr>
        <w:t>省委十二届五次全会提出的“统筹好稳和进、立和破，统筹好稳增长和稳预期，统筹好扩内需和优供给，统筹好现代化产业体系建设和区域协调发展，统筹好城市和农村，统筹好园区内和园区外，统筹好‘条’和‘块’，统筹好发展经济和改善民生，统筹好开源和节流，统筹好高质量发展和高水平安全”。</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4.“八大行动”：</w:t>
      </w:r>
      <w:r>
        <w:rPr>
          <w:rFonts w:hint="eastAsia" w:ascii="仿宋_GB2312" w:eastAsia="仿宋_GB2312" w:cs="仿宋_GB2312"/>
          <w:color w:val="auto"/>
          <w:spacing w:val="-6"/>
          <w:sz w:val="28"/>
          <w:szCs w:val="28"/>
          <w:lang w:val="en-US" w:eastAsia="zh-CN"/>
        </w:rPr>
        <w:t>产业培塑、创新提升、激发需求、改革攻坚、主体强身、区域共进、安全守底、民生可感。</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5.“一区三园”：</w:t>
      </w:r>
      <w:r>
        <w:rPr>
          <w:rFonts w:hint="eastAsia" w:ascii="仿宋_GB2312" w:eastAsia="仿宋_GB2312" w:cs="仿宋_GB2312"/>
          <w:color w:val="auto"/>
          <w:spacing w:val="-6"/>
          <w:sz w:val="28"/>
          <w:szCs w:val="28"/>
          <w:lang w:val="en-US" w:eastAsia="zh-CN"/>
        </w:rPr>
        <w:t>零陵高新产业技术开发区、湖南稀土新材料产业园、零陵区锰系新材料产业园、河西工业园。</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6.“四定四化”：</w:t>
      </w:r>
      <w:r>
        <w:rPr>
          <w:rFonts w:hint="eastAsia" w:ascii="仿宋_GB2312" w:eastAsia="仿宋_GB2312" w:cs="仿宋_GB2312"/>
          <w:color w:val="auto"/>
          <w:spacing w:val="-6"/>
          <w:sz w:val="28"/>
          <w:szCs w:val="28"/>
          <w:lang w:val="en-US" w:eastAsia="zh-CN"/>
        </w:rPr>
        <w:t>定点联系，帮扶常态化；定期交流，内容前瞻化；定向交办，整改清单化；定时办结，办理流程化。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7.城市管理“六大专项整治”：</w:t>
      </w:r>
      <w:r>
        <w:rPr>
          <w:rFonts w:hint="eastAsia" w:ascii="仿宋_GB2312" w:eastAsia="仿宋_GB2312" w:cs="仿宋_GB2312"/>
          <w:color w:val="auto"/>
          <w:spacing w:val="-6"/>
          <w:sz w:val="28"/>
          <w:szCs w:val="28"/>
          <w:lang w:val="en-US" w:eastAsia="zh-CN"/>
        </w:rPr>
        <w:t>马路市场整治、亮化美化提质、广告提质、围挡提质、交通秩序提升、市政设施提质。</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8.“1234+N”：</w:t>
      </w:r>
      <w:r>
        <w:rPr>
          <w:rFonts w:hint="eastAsia" w:ascii="仿宋_GB2312" w:eastAsia="仿宋_GB2312" w:cs="仿宋_GB2312"/>
          <w:color w:val="auto"/>
          <w:spacing w:val="-6"/>
          <w:sz w:val="28"/>
          <w:szCs w:val="28"/>
          <w:lang w:val="en-US" w:eastAsia="zh-CN"/>
        </w:rPr>
        <w:t>中西结合、医养结合、医防融合、信息融合等4个方面业务融合，服务N类健康需求人群。</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9.门诊“10+100+500”总额付费和住院“100+1000+4000”总额付费：</w:t>
      </w:r>
      <w:r>
        <w:rPr>
          <w:rFonts w:hint="eastAsia" w:ascii="仿宋_GB2312" w:eastAsia="仿宋_GB2312" w:cs="仿宋_GB2312"/>
          <w:color w:val="auto"/>
          <w:spacing w:val="-6"/>
          <w:sz w:val="28"/>
          <w:szCs w:val="28"/>
          <w:lang w:val="en-US" w:eastAsia="zh-CN"/>
        </w:rPr>
        <w:t>参保对象到基层定点医疗机构（含村卫生室）门诊时，每次自付10元，即最高可享受医药费用额度100元，年度累计可享受医疗费用总额500元；参保对象到基层医疗机构就诊住院时，每次自付100元，即最高可享受住院费用1000元，年度可累计享受住院费用总额4000元。</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10.“2614”工作法：</w:t>
      </w:r>
      <w:r>
        <w:rPr>
          <w:rFonts w:hint="eastAsia" w:ascii="仿宋_GB2312" w:eastAsia="仿宋_GB2312" w:cs="仿宋_GB2312"/>
          <w:color w:val="auto"/>
          <w:spacing w:val="-6"/>
          <w:sz w:val="28"/>
          <w:szCs w:val="28"/>
          <w:lang w:val="en-US" w:eastAsia="zh-CN"/>
        </w:rPr>
        <w:t>“两覆盖”：隐患排查整治全覆盖、执法能力建设全覆盖；“六到位”：落实人员职责到位、机构设置到位、日常调度到位、盘底排查到位、管控整治到位、考评执纪到位；“一网”：应急指挥网；“四图”：风险隐患图、物资保障图、防控力量分布图、指挥调度体系图。</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562" w:firstLineChars="200"/>
        <w:jc w:val="both"/>
        <w:textAlignment w:val="auto"/>
        <w:outlineLvl w:val="9"/>
        <w:rPr>
          <w:rFonts w:hint="eastAsia" w:ascii="仿宋_GB2312" w:eastAsia="仿宋_GB2312" w:cs="仿宋_GB2312"/>
          <w:color w:val="auto"/>
          <w:spacing w:val="-6"/>
          <w:sz w:val="28"/>
          <w:szCs w:val="28"/>
          <w:lang w:val="en-US" w:eastAsia="zh-CN"/>
        </w:rPr>
      </w:pPr>
      <w:r>
        <w:rPr>
          <w:rFonts w:hint="eastAsia" w:ascii="楷体_GB2312" w:hAnsi="楷体_GB2312" w:eastAsia="楷体_GB2312" w:cs="楷体_GB2312"/>
          <w:b/>
          <w:bCs/>
          <w:color w:val="auto"/>
          <w:sz w:val="28"/>
          <w:szCs w:val="28"/>
          <w:lang w:val="en-US" w:eastAsia="zh-CN"/>
        </w:rPr>
        <w:t>11.“三医联动、六医协同”：</w:t>
      </w:r>
      <w:r>
        <w:rPr>
          <w:rFonts w:hint="eastAsia" w:ascii="仿宋_GB2312" w:eastAsia="仿宋_GB2312" w:cs="仿宋_GB2312"/>
          <w:color w:val="auto"/>
          <w:spacing w:val="-6"/>
          <w:sz w:val="28"/>
          <w:szCs w:val="28"/>
          <w:lang w:val="en-US" w:eastAsia="zh-CN"/>
        </w:rPr>
        <w:t>突出了以人民健康为中心，以医疗、医保、医药联动发展和治理为牵引，系统谋划六大集成创新的民本思维。</w:t>
      </w:r>
    </w:p>
    <w:p>
      <w:pPr>
        <w:keepNext w:val="0"/>
        <w:keepLines w:val="0"/>
        <w:pageBreakBefore w:val="0"/>
        <w:widowControl w:val="0"/>
        <w:numPr>
          <w:ilvl w:val="0"/>
          <w:numId w:val="0"/>
        </w:numPr>
        <w:pBdr>
          <w:bottom w:val="single" w:color="FFFFFF" w:sz="4" w:space="20"/>
        </w:pBdr>
        <w:tabs>
          <w:tab w:val="left" w:pos="8050"/>
          <w:tab w:val="left" w:pos="8094"/>
        </w:tabs>
        <w:kinsoku/>
        <w:wordWrap/>
        <w:overflowPunct/>
        <w:topLinePunct/>
        <w:autoSpaceDE/>
        <w:autoSpaceDN/>
        <w:bidi w:val="0"/>
        <w:adjustRightInd/>
        <w:snapToGrid/>
        <w:spacing w:line="440" w:lineRule="exact"/>
        <w:ind w:firstLine="640" w:firstLineChars="200"/>
        <w:jc w:val="both"/>
        <w:textAlignment w:val="auto"/>
        <w:rPr>
          <w:rFonts w:hint="eastAsia" w:ascii="Times New Roman" w:hAnsi="Times New Roman" w:eastAsia="仿宋_GB2312" w:cs="Times New Roman"/>
          <w:color w:val="000000" w:themeColor="text1"/>
          <w:spacing w:val="0"/>
          <w:kern w:val="0"/>
          <w:sz w:val="32"/>
          <w:szCs w:val="32"/>
          <w:highlight w:val="yellow"/>
          <w14:textFill>
            <w14:solidFill>
              <w14:schemeClr w14:val="tx1"/>
            </w14:solidFill>
          </w14:textFill>
        </w:rPr>
      </w:pPr>
    </w:p>
    <w:sectPr>
      <w:footerReference r:id="rId3" w:type="default"/>
      <w:pgSz w:w="11905" w:h="16838" w:orient="landscape"/>
      <w:pgMar w:top="1701" w:right="1701" w:bottom="1701" w:left="1701"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BB4086-AA2C-459F-8FB2-105AB22694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52D856-25A8-4FAE-BA6A-F5652D742535}"/>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CA89F9E6-70A4-4320-B66E-92F3920A7106}"/>
  </w:font>
  <w:font w:name="华文中宋">
    <w:panose1 w:val="02010600040101010101"/>
    <w:charset w:val="86"/>
    <w:family w:val="auto"/>
    <w:pitch w:val="default"/>
    <w:sig w:usb0="00000287" w:usb1="080F0000" w:usb2="00000000" w:usb3="00000000" w:csb0="0004009F" w:csb1="DFD70000"/>
    <w:embedRegular r:id="rId4" w:fontKey="{4E0E8CFF-8E4E-48E1-8112-430876A5A9B6}"/>
  </w:font>
  <w:font w:name="楷体_GB2312">
    <w:panose1 w:val="02010609030101010101"/>
    <w:charset w:val="86"/>
    <w:family w:val="modern"/>
    <w:pitch w:val="default"/>
    <w:sig w:usb0="00000001" w:usb1="080E0000" w:usb2="00000000" w:usb3="00000000" w:csb0="00040000" w:csb1="00000000"/>
    <w:embedRegular r:id="rId5" w:fontKey="{093AE680-3BEB-4091-BEFD-A86E800D4C71}"/>
  </w:font>
  <w:font w:name="仿宋_GB2312">
    <w:panose1 w:val="02010609030101010101"/>
    <w:charset w:val="86"/>
    <w:family w:val="auto"/>
    <w:pitch w:val="default"/>
    <w:sig w:usb0="00000001" w:usb1="080E0000" w:usb2="00000000" w:usb3="00000000" w:csb0="00040000" w:csb1="00000000"/>
    <w:embedRegular r:id="rId6" w:fontKey="{743FF178-2DF2-4CB9-B328-C5445DE8F074}"/>
  </w:font>
  <w:font w:name="微软雅黑">
    <w:panose1 w:val="020B0503020204020204"/>
    <w:charset w:val="86"/>
    <w:family w:val="auto"/>
    <w:pitch w:val="default"/>
    <w:sig w:usb0="80000287" w:usb1="2ACF3C50" w:usb2="00000016" w:usb3="00000000" w:csb0="0004001F" w:csb1="00000000"/>
    <w:embedRegular r:id="rId7" w:fontKey="{95B7EEB5-9826-49C6-802F-6024348BB5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jBjOTVlMDlkN2M4MTYzM2RlOWM0YmI0ZWJiMWUifQ=="/>
    <w:docVar w:name="KSO_WPS_MARK_KEY" w:val="c6a5a0ba-11d1-4319-a647-f92ec91580eb"/>
  </w:docVars>
  <w:rsids>
    <w:rsidRoot w:val="2145210D"/>
    <w:rsid w:val="005B6C31"/>
    <w:rsid w:val="00687A37"/>
    <w:rsid w:val="00B1486B"/>
    <w:rsid w:val="017311EE"/>
    <w:rsid w:val="047B2A82"/>
    <w:rsid w:val="05570E2A"/>
    <w:rsid w:val="07153E89"/>
    <w:rsid w:val="07CF36DD"/>
    <w:rsid w:val="088050B2"/>
    <w:rsid w:val="09E0252C"/>
    <w:rsid w:val="0AD660F6"/>
    <w:rsid w:val="0C3126AA"/>
    <w:rsid w:val="0C995AB6"/>
    <w:rsid w:val="0DDB738E"/>
    <w:rsid w:val="0E110BA6"/>
    <w:rsid w:val="0ED87C76"/>
    <w:rsid w:val="100B7BD7"/>
    <w:rsid w:val="11011CA1"/>
    <w:rsid w:val="1109680C"/>
    <w:rsid w:val="11DE2D25"/>
    <w:rsid w:val="12702818"/>
    <w:rsid w:val="13B550A5"/>
    <w:rsid w:val="164304AF"/>
    <w:rsid w:val="16BB08D6"/>
    <w:rsid w:val="16F23BD0"/>
    <w:rsid w:val="18FC6C57"/>
    <w:rsid w:val="19D30249"/>
    <w:rsid w:val="1AE479A2"/>
    <w:rsid w:val="1F4160D7"/>
    <w:rsid w:val="205B02D0"/>
    <w:rsid w:val="205D1405"/>
    <w:rsid w:val="2145210D"/>
    <w:rsid w:val="22D14CB0"/>
    <w:rsid w:val="23DC475D"/>
    <w:rsid w:val="259A582D"/>
    <w:rsid w:val="27003DB6"/>
    <w:rsid w:val="271C188B"/>
    <w:rsid w:val="2A136595"/>
    <w:rsid w:val="2AE93CBC"/>
    <w:rsid w:val="2C6C4BD5"/>
    <w:rsid w:val="2DFC4C81"/>
    <w:rsid w:val="2E3A195C"/>
    <w:rsid w:val="2E8F099E"/>
    <w:rsid w:val="306373F8"/>
    <w:rsid w:val="3111284C"/>
    <w:rsid w:val="3268100B"/>
    <w:rsid w:val="345657F1"/>
    <w:rsid w:val="346B7312"/>
    <w:rsid w:val="38923717"/>
    <w:rsid w:val="38D71082"/>
    <w:rsid w:val="38E47094"/>
    <w:rsid w:val="3BC0355E"/>
    <w:rsid w:val="3E230966"/>
    <w:rsid w:val="40EA4008"/>
    <w:rsid w:val="418336A8"/>
    <w:rsid w:val="43081395"/>
    <w:rsid w:val="43CA5588"/>
    <w:rsid w:val="43D146B8"/>
    <w:rsid w:val="49224E2D"/>
    <w:rsid w:val="499131C2"/>
    <w:rsid w:val="4A8978D5"/>
    <w:rsid w:val="4B1714B1"/>
    <w:rsid w:val="4BA6642B"/>
    <w:rsid w:val="4D7D148A"/>
    <w:rsid w:val="4E531AFA"/>
    <w:rsid w:val="4E7B1255"/>
    <w:rsid w:val="4F3517CE"/>
    <w:rsid w:val="4FAB02FC"/>
    <w:rsid w:val="4FE64698"/>
    <w:rsid w:val="503451E4"/>
    <w:rsid w:val="50C9743A"/>
    <w:rsid w:val="51085264"/>
    <w:rsid w:val="51804F46"/>
    <w:rsid w:val="54745318"/>
    <w:rsid w:val="55AC288F"/>
    <w:rsid w:val="55E239FF"/>
    <w:rsid w:val="5656105B"/>
    <w:rsid w:val="56A45C5C"/>
    <w:rsid w:val="56E83D9B"/>
    <w:rsid w:val="56F7281B"/>
    <w:rsid w:val="57B863C9"/>
    <w:rsid w:val="58D520FD"/>
    <w:rsid w:val="5B0D5EAE"/>
    <w:rsid w:val="5B1B0026"/>
    <w:rsid w:val="5EDA4AF4"/>
    <w:rsid w:val="5F6917F1"/>
    <w:rsid w:val="624058E7"/>
    <w:rsid w:val="62F35BF8"/>
    <w:rsid w:val="63112D6F"/>
    <w:rsid w:val="636B7593"/>
    <w:rsid w:val="6397429B"/>
    <w:rsid w:val="67D91B72"/>
    <w:rsid w:val="68190258"/>
    <w:rsid w:val="68394457"/>
    <w:rsid w:val="6879313A"/>
    <w:rsid w:val="69A47B5D"/>
    <w:rsid w:val="69FA6B46"/>
    <w:rsid w:val="6A9D3272"/>
    <w:rsid w:val="6BDC307A"/>
    <w:rsid w:val="6EED3FA1"/>
    <w:rsid w:val="71A06D61"/>
    <w:rsid w:val="71C56D5B"/>
    <w:rsid w:val="72897A86"/>
    <w:rsid w:val="73313E8B"/>
    <w:rsid w:val="751734B3"/>
    <w:rsid w:val="75FF7FCA"/>
    <w:rsid w:val="769E5DCD"/>
    <w:rsid w:val="77336515"/>
    <w:rsid w:val="775C6FB7"/>
    <w:rsid w:val="77FD6997"/>
    <w:rsid w:val="7A1F0589"/>
    <w:rsid w:val="7B217C52"/>
    <w:rsid w:val="7C7F13BB"/>
    <w:rsid w:val="7DB04FFE"/>
    <w:rsid w:val="7DBF4391"/>
    <w:rsid w:val="7DFD0C42"/>
    <w:rsid w:val="7F320727"/>
    <w:rsid w:val="7F81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oc 5"/>
    <w:basedOn w:val="1"/>
    <w:next w:val="1"/>
    <w:qFormat/>
    <w:uiPriority w:val="0"/>
    <w:pPr>
      <w:ind w:left="1680" w:leftChars="800"/>
    </w:pPr>
    <w:rPr>
      <w:rFonts w:hint="eastAsia" w:ascii="Times New Roman" w:hAnsi="Times New Roman" w:eastAsia="宋体" w:cs="Times New Roman"/>
      <w:sz w:val="22"/>
      <w:szCs w:val="24"/>
    </w:rPr>
  </w:style>
  <w:style w:type="paragraph" w:styleId="7">
    <w:name w:val="Body Text Indent"/>
    <w:basedOn w:val="1"/>
    <w:qFormat/>
    <w:uiPriority w:val="0"/>
    <w:pPr>
      <w:spacing w:line="600" w:lineRule="exact"/>
      <w:ind w:firstLine="600" w:firstLineChars="200"/>
      <w:jc w:val="left"/>
    </w:pPr>
    <w:rPr>
      <w:rFonts w:ascii="方正仿宋简体" w:eastAsia="方正仿宋简体"/>
      <w:sz w:val="30"/>
    </w:rPr>
  </w:style>
  <w:style w:type="paragraph" w:styleId="8">
    <w:name w:val="endnote text"/>
    <w:basedOn w:val="1"/>
    <w:next w:val="5"/>
    <w:qFormat/>
    <w:uiPriority w:val="0"/>
    <w:rPr>
      <w:rFonts w:ascii="Times New Roman" w:hAnsi="Times New Roman"/>
    </w:rPr>
  </w:style>
  <w:style w:type="paragraph" w:styleId="9">
    <w:name w:val="Balloon Text"/>
    <w:basedOn w:val="1"/>
    <w:qFormat/>
    <w:uiPriority w:val="0"/>
    <w:rPr>
      <w:rFonts w:ascii="Times New Roman" w:hAnsi="Times New Roman" w:cs="Times New Roman"/>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index 9"/>
    <w:basedOn w:val="1"/>
    <w:next w:val="1"/>
    <w:qFormat/>
    <w:uiPriority w:val="0"/>
    <w:pPr>
      <w:ind w:left="3360"/>
    </w:pPr>
  </w:style>
  <w:style w:type="paragraph" w:styleId="12">
    <w:name w:val="Body Text First Indent"/>
    <w:basedOn w:val="5"/>
    <w:qFormat/>
    <w:uiPriority w:val="0"/>
    <w:pPr>
      <w:ind w:firstLine="420" w:firstLineChars="100"/>
    </w:pPr>
  </w:style>
  <w:style w:type="paragraph" w:styleId="13">
    <w:name w:val="Body Text First Indent 2"/>
    <w:basedOn w:val="7"/>
    <w:qFormat/>
    <w:uiPriority w:val="99"/>
    <w:pPr>
      <w:ind w:firstLine="420"/>
    </w:pPr>
  </w:style>
  <w:style w:type="character" w:styleId="16">
    <w:name w:val="Emphasis"/>
    <w:basedOn w:val="15"/>
    <w:qFormat/>
    <w:uiPriority w:val="0"/>
    <w:rPr>
      <w:i/>
    </w:rPr>
  </w:style>
  <w:style w:type="paragraph" w:customStyle="1" w:styleId="17">
    <w:name w:val="BodyText"/>
    <w:basedOn w:val="1"/>
    <w:next w:val="18"/>
    <w:qFormat/>
    <w:uiPriority w:val="0"/>
    <w:pPr>
      <w:spacing w:after="120"/>
      <w:textAlignment w:val="baseline"/>
    </w:pPr>
    <w:rPr>
      <w:rFonts w:ascii="Times New Roman" w:hAnsi="Times New Roman" w:eastAsia="宋体" w:cs="Times New Roman"/>
    </w:rPr>
  </w:style>
  <w:style w:type="paragraph" w:customStyle="1" w:styleId="18">
    <w:name w:val="BodyText1I"/>
    <w:basedOn w:val="17"/>
    <w:qFormat/>
    <w:uiPriority w:val="0"/>
    <w:pPr>
      <w:widowControl/>
      <w:snapToGrid w:val="0"/>
      <w:ind w:firstLine="420" w:firstLineChars="100"/>
    </w:pPr>
    <w:rPr>
      <w:sz w:val="22"/>
      <w:szCs w:val="22"/>
    </w:rPr>
  </w:style>
  <w:style w:type="character" w:customStyle="1" w:styleId="19">
    <w:name w:val="NormalCharacter"/>
    <w:qFormat/>
    <w:uiPriority w:val="0"/>
  </w:style>
  <w:style w:type="paragraph" w:customStyle="1" w:styleId="20">
    <w:name w:val="样式 文字 + 首行缩进:  2 字符3"/>
    <w:basedOn w:val="1"/>
    <w:qFormat/>
    <w:uiPriority w:val="99"/>
    <w:pPr>
      <w:spacing w:line="360" w:lineRule="auto"/>
      <w:jc w:val="left"/>
    </w:pPr>
    <w:rPr>
      <w:rFonts w:ascii="Times New Roman" w:hAnsi="Times New Roman" w:eastAsia="楷体"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11776</Words>
  <Characters>12313</Characters>
  <Lines>0</Lines>
  <Paragraphs>0</Paragraphs>
  <TotalTime>0</TotalTime>
  <ScaleCrop>false</ScaleCrop>
  <LinksUpToDate>false</LinksUpToDate>
  <CharactersWithSpaces>12503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2023-12-11T15:27:00Z</dcterms:created>
  <dc:creator>_小永</dc:creator>
  <cp:lastModifiedBy>天空之城</cp:lastModifiedBy>
  <cp:lastPrinted>2024-12-25T08:39:00Z</cp:lastPrinted>
  <dcterms:modified xsi:type="dcterms:W3CDTF">2024-12-27T02:38:59Z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630FB8BEDEF448EDAACAAE7EBF0BE219_13</vt:lpwstr>
  </property>
</Properties>
</file>