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924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260"/>
        </w:tabs>
        <w:kinsoku/>
        <w:wordWrap/>
        <w:overflowPunct/>
        <w:topLinePunct w:val="0"/>
        <w:autoSpaceDE/>
        <w:autoSpaceDN/>
        <w:bidi w:val="0"/>
        <w:adjustRightInd/>
        <w:snapToGrid/>
        <w:spacing w:line="340" w:lineRule="exact"/>
        <w:ind w:left="0" w:leftChars="0" w:right="0" w:rightChars="0"/>
        <w:textAlignment w:val="auto"/>
        <w:rPr>
          <w:rFonts w:hint="eastAsia" w:ascii="楷体_GB2312" w:eastAsia="楷体_GB2312"/>
          <w:b w:val="0"/>
          <w:bCs w:val="0"/>
          <w:color w:val="auto"/>
          <w:w w:val="100"/>
          <w:sz w:val="24"/>
          <w:szCs w:val="24"/>
        </w:rPr>
      </w:pPr>
    </w:p>
    <w:p w14:paraId="3706A5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Chars="0" w:right="-815" w:rightChars="-388" w:firstLine="0" w:firstLineChars="0"/>
        <w:jc w:val="center"/>
        <w:textAlignment w:val="auto"/>
        <w:rPr>
          <w:rFonts w:hint="eastAsia" w:ascii="华文中宋" w:hAnsi="华文中宋" w:eastAsia="华文中宋" w:cs="华文中宋"/>
          <w:b w:val="0"/>
          <w:bCs/>
          <w:color w:val="auto"/>
          <w:sz w:val="44"/>
          <w:szCs w:val="44"/>
          <w:lang w:val="en-US" w:eastAsia="zh-CN"/>
        </w:rPr>
      </w:pPr>
      <w:r>
        <w:rPr>
          <w:rFonts w:hint="eastAsia" w:ascii="华文中宋" w:hAnsi="华文中宋" w:eastAsia="华文中宋" w:cs="华文中宋"/>
          <w:b w:val="0"/>
          <w:bCs/>
          <w:color w:val="auto"/>
          <w:sz w:val="44"/>
          <w:szCs w:val="44"/>
          <w:lang w:val="en-US" w:eastAsia="zh-CN"/>
        </w:rPr>
        <w:t>永州市零陵区人民政府关于2025年国民经济和社会发展计划执行情况与2026年国民经济和</w:t>
      </w:r>
    </w:p>
    <w:p w14:paraId="2A644E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Chars="0" w:right="-815" w:rightChars="-388" w:firstLine="0" w:firstLineChars="0"/>
        <w:jc w:val="center"/>
        <w:textAlignment w:val="auto"/>
        <w:rPr>
          <w:rFonts w:hint="eastAsia" w:ascii="华文中宋" w:hAnsi="华文中宋" w:eastAsia="华文中宋" w:cs="华文中宋"/>
          <w:b w:val="0"/>
          <w:bCs/>
          <w:color w:val="auto"/>
          <w:sz w:val="22"/>
          <w:szCs w:val="22"/>
          <w:lang w:eastAsia="zh-CN"/>
        </w:rPr>
      </w:pPr>
      <w:r>
        <w:rPr>
          <w:rFonts w:hint="eastAsia" w:ascii="华文中宋" w:hAnsi="华文中宋" w:eastAsia="华文中宋" w:cs="华文中宋"/>
          <w:b w:val="0"/>
          <w:bCs/>
          <w:color w:val="auto"/>
          <w:sz w:val="44"/>
          <w:szCs w:val="44"/>
          <w:lang w:val="en-US" w:eastAsia="zh-CN"/>
        </w:rPr>
        <w:t>社会发展计划(草案)的报告</w:t>
      </w:r>
    </w:p>
    <w:p w14:paraId="6DD8DC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Chars="0" w:firstLine="0" w:firstLineChars="0"/>
        <w:jc w:val="center"/>
        <w:textAlignment w:val="auto"/>
        <w:rPr>
          <w:rFonts w:ascii="Times New Roman" w:hAnsi="Times New Roman" w:eastAsia="楷体_GB2312"/>
          <w:color w:val="auto"/>
          <w:spacing w:val="-20"/>
          <w:sz w:val="30"/>
          <w:szCs w:val="30"/>
        </w:rPr>
      </w:pPr>
    </w:p>
    <w:p w14:paraId="400D2993">
      <w:pPr>
        <w:pStyle w:val="2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16" w:firstLineChars="200"/>
        <w:jc w:val="both"/>
        <w:textAlignment w:val="auto"/>
        <w:rPr>
          <w:rFonts w:hint="default" w:ascii="Times New Roman" w:hAnsi="Times New Roman" w:eastAsia="黑体" w:cs="Times New Roman"/>
          <w:i w:val="0"/>
          <w:iCs w:val="0"/>
          <w:color w:val="auto"/>
          <w:spacing w:val="-6"/>
          <w:sz w:val="32"/>
          <w:szCs w:val="32"/>
          <w:highlight w:val="none"/>
        </w:rPr>
      </w:pPr>
      <w:r>
        <w:rPr>
          <w:rFonts w:hint="default" w:ascii="Times New Roman" w:hAnsi="Times New Roman" w:eastAsia="黑体" w:cs="Times New Roman"/>
          <w:i w:val="0"/>
          <w:iCs w:val="0"/>
          <w:color w:val="auto"/>
          <w:spacing w:val="-6"/>
          <w:sz w:val="32"/>
          <w:szCs w:val="32"/>
          <w:highlight w:val="none"/>
          <w:lang w:val="en-US" w:eastAsia="zh-CN"/>
        </w:rPr>
        <w:t>一、2025年</w:t>
      </w:r>
      <w:r>
        <w:rPr>
          <w:rFonts w:hint="default" w:ascii="Times New Roman" w:hAnsi="Times New Roman" w:eastAsia="黑体" w:cs="Times New Roman"/>
          <w:i w:val="0"/>
          <w:iCs w:val="0"/>
          <w:color w:val="auto"/>
          <w:spacing w:val="-6"/>
          <w:sz w:val="32"/>
          <w:szCs w:val="32"/>
          <w:highlight w:val="none"/>
        </w:rPr>
        <w:t>国民经济和社会发展计划执行情况</w:t>
      </w:r>
    </w:p>
    <w:p w14:paraId="65D902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overflowPunct/>
        <w:bidi w:val="0"/>
        <w:adjustRightInd/>
        <w:snapToGrid/>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i w:val="0"/>
          <w:iCs w:val="0"/>
          <w:color w:val="auto"/>
          <w:sz w:val="32"/>
          <w:szCs w:val="32"/>
          <w:lang w:val="en-US" w:eastAsia="zh-CN"/>
        </w:rPr>
        <w:t>2025年全区上下坚持以习近平新时代中国特色社会主义思想为指导，深入贯彻党的二十大和二十届历次全会精神，贯彻落实习近平总书记关于湖南工作的重要讲话和指示批示精神，认真落实党中央、国务院决策部署和省、市工作要求，在区委的坚强领导下，锚定“三高四新”美好蓝图，聚焦打造“四区两城”、建设“五力零陵”目标，严格遵循“五个坚持”、着力推进“七大攻坚”、牢牢把握“六大战略支点”、高效落实“三个大抓”，进一步全面深化改革，较好地完成了全年各项目标任务。全年地区生产总值增长5.4%，规模工业增加值增长8.3%，固定资产投资增幅高于全市平均水平，地方财政收入增长5.5%，社会消费品零售总额增长5.1%，城乡居民人均可支配收入分别增长4.8%、5.7%</w:t>
      </w:r>
      <w:bookmarkStart w:id="4" w:name="_GoBack"/>
      <w:bookmarkEnd w:id="4"/>
      <w:r>
        <w:rPr>
          <w:rFonts w:hint="default" w:ascii="Times New Roman" w:hAnsi="Times New Roman" w:eastAsia="仿宋_GB2312" w:cs="Times New Roman"/>
          <w:i w:val="0"/>
          <w:iCs w:val="0"/>
          <w:color w:val="auto"/>
          <w:sz w:val="32"/>
          <w:szCs w:val="32"/>
          <w:lang w:val="en-US" w:eastAsia="zh-CN"/>
        </w:rPr>
        <w:t>。</w:t>
      </w:r>
    </w:p>
    <w:p w14:paraId="14076E64">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val="0"/>
        <w:wordWrap/>
        <w:overflowPunct/>
        <w:topLinePunct/>
        <w:autoSpaceDE w:val="0"/>
        <w:autoSpaceDN w:val="0"/>
        <w:bidi w:val="0"/>
        <w:adjustRightInd/>
        <w:snapToGrid/>
        <w:spacing w:beforeAutospacing="0" w:after="0" w:line="540" w:lineRule="exact"/>
        <w:ind w:left="0" w:leftChars="0"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三产协同共进，产业发展提质增效</w:t>
      </w:r>
    </w:p>
    <w:p w14:paraId="55C9E64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val="0"/>
        <w:wordWrap/>
        <w:overflowPunct/>
        <w:topLinePunct/>
        <w:autoSpaceDE w:val="0"/>
        <w:autoSpaceDN w:val="0"/>
        <w:bidi w:val="0"/>
        <w:adjustRightInd/>
        <w:snapToGrid/>
        <w:spacing w:before="0" w:beforeAutospacing="0" w:after="0" w:line="540" w:lineRule="exact"/>
        <w:ind w:left="0" w:leftChars="0"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Style w:val="19"/>
          <w:rFonts w:hint="default" w:ascii="Times New Roman" w:hAnsi="Times New Roman" w:eastAsia="仿宋_GB2312" w:cs="Times New Roman"/>
          <w:b/>
          <w:bCs/>
          <w:color w:val="auto"/>
          <w:kern w:val="0"/>
          <w:sz w:val="32"/>
          <w:szCs w:val="32"/>
          <w:lang w:val="en-US" w:eastAsia="zh-CN"/>
        </w:rPr>
        <w:t>1.</w:t>
      </w:r>
      <w:r>
        <w:rPr>
          <w:rStyle w:val="19"/>
          <w:rFonts w:hint="default" w:ascii="Times New Roman" w:hAnsi="Times New Roman" w:eastAsia="仿宋_GB2312" w:cs="Times New Roman"/>
          <w:b/>
          <w:bCs/>
          <w:color w:val="auto"/>
          <w:kern w:val="0"/>
          <w:sz w:val="32"/>
          <w:szCs w:val="32"/>
        </w:rPr>
        <w:t>工业</w:t>
      </w:r>
      <w:r>
        <w:rPr>
          <w:rStyle w:val="19"/>
          <w:rFonts w:hint="default" w:ascii="Times New Roman" w:hAnsi="Times New Roman" w:eastAsia="仿宋_GB2312" w:cs="Times New Roman"/>
          <w:b/>
          <w:bCs/>
          <w:color w:val="auto"/>
          <w:kern w:val="0"/>
          <w:sz w:val="32"/>
          <w:szCs w:val="32"/>
          <w:lang w:val="en-US" w:eastAsia="zh-CN"/>
        </w:rPr>
        <w:t>发展</w:t>
      </w:r>
      <w:r>
        <w:rPr>
          <w:rStyle w:val="19"/>
          <w:rFonts w:hint="default" w:ascii="Times New Roman" w:hAnsi="Times New Roman" w:eastAsia="仿宋_GB2312" w:cs="Times New Roman"/>
          <w:b/>
          <w:bCs/>
          <w:color w:val="auto"/>
          <w:kern w:val="0"/>
          <w:sz w:val="32"/>
          <w:szCs w:val="32"/>
        </w:rPr>
        <w:t>持续向好</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u w:val="none" w:color="auto"/>
          <w:lang w:val="en-US" w:eastAsia="zh-CN"/>
        </w:rPr>
        <w:t>牵头成立永州市功能材料和大健康产业联盟，分别集聚链条企业111家、77家。</w:t>
      </w:r>
      <w:r>
        <w:rPr>
          <w:rFonts w:hint="default" w:ascii="Times New Roman" w:hAnsi="Times New Roman" w:eastAsia="仿宋_GB2312" w:cs="Times New Roman"/>
          <w:b/>
          <w:bCs/>
          <w:color w:val="auto"/>
          <w:sz w:val="32"/>
          <w:szCs w:val="32"/>
          <w:highlight w:val="none"/>
          <w:lang w:val="en-US" w:eastAsia="zh-CN"/>
        </w:rPr>
        <w:t>稀土新材料产业园蓄势腾飞。</w:t>
      </w:r>
      <w:r>
        <w:rPr>
          <w:rFonts w:hint="default" w:ascii="Times New Roman" w:hAnsi="Times New Roman" w:eastAsia="仿宋_GB2312" w:cs="Times New Roman"/>
          <w:b w:val="0"/>
          <w:bCs w:val="0"/>
          <w:color w:val="auto"/>
          <w:sz w:val="32"/>
          <w:szCs w:val="32"/>
          <w:highlight w:val="none"/>
          <w:lang w:val="en-US" w:eastAsia="zh-CN"/>
        </w:rPr>
        <w:t>全国规模最大的伴生矿物料处置中心（一期）已具备投产条件，年产值3.5亿元的盛电新材料（一期）建成投产。稀贵金属综合回收利用、4万吨独居石加工、生物质供能等重点项目正加速推进。</w:t>
      </w:r>
      <w:r>
        <w:rPr>
          <w:rFonts w:hint="default" w:ascii="Times New Roman" w:hAnsi="Times New Roman" w:eastAsia="仿宋_GB2312" w:cs="Times New Roman"/>
          <w:b/>
          <w:bCs/>
          <w:color w:val="auto"/>
          <w:sz w:val="32"/>
          <w:szCs w:val="32"/>
          <w:highlight w:val="none"/>
          <w:lang w:val="en-US" w:eastAsia="zh-CN"/>
        </w:rPr>
        <w:t>锰系新材料产业园转型焕新。</w:t>
      </w:r>
      <w:r>
        <w:rPr>
          <w:rFonts w:hint="default" w:ascii="Times New Roman" w:hAnsi="Times New Roman" w:eastAsia="仿宋_GB2312" w:cs="Times New Roman"/>
          <w:b w:val="0"/>
          <w:bCs w:val="0"/>
          <w:color w:val="auto"/>
          <w:sz w:val="32"/>
          <w:szCs w:val="32"/>
          <w:highlight w:val="none"/>
          <w:lang w:val="en-US" w:eastAsia="zh-CN"/>
        </w:rPr>
        <w:t>中设新材料（二期）、联汇新材料、科瑞锰业等项目相继建成投产，年产值可新增超20亿元，新时代锰业完成技改升级，鑫城锰业复工复产；</w:t>
      </w:r>
      <w:bookmarkStart w:id="0" w:name="OLE_LINK2"/>
      <w:r>
        <w:rPr>
          <w:rFonts w:hint="default" w:ascii="Times New Roman" w:hAnsi="Times New Roman" w:eastAsia="仿宋_GB2312" w:cs="Times New Roman"/>
          <w:b/>
          <w:bCs/>
          <w:color w:val="auto"/>
          <w:sz w:val="32"/>
          <w:szCs w:val="32"/>
          <w:highlight w:val="none"/>
          <w:lang w:val="en-US" w:eastAsia="zh-CN"/>
        </w:rPr>
        <w:t>河西工业园提档升级</w:t>
      </w:r>
      <w:bookmarkEnd w:id="0"/>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盘活厂房面积4.7万平方米，全年新增规模以上工业企业8家，</w:t>
      </w:r>
      <w:r>
        <w:rPr>
          <w:rFonts w:hint="eastAsia" w:ascii="仿宋_GB2312" w:hAnsi="仿宋_GB2312" w:eastAsia="仿宋_GB2312" w:cs="仿宋_GB2312"/>
          <w:b w:val="0"/>
          <w:bCs w:val="0"/>
          <w:color w:val="auto"/>
          <w:sz w:val="32"/>
          <w:szCs w:val="32"/>
          <w:lang w:val="en-US" w:eastAsia="zh-CN"/>
        </w:rPr>
        <w:t>预计</w:t>
      </w:r>
      <w:r>
        <w:rPr>
          <w:rFonts w:hint="default" w:ascii="Times New Roman" w:hAnsi="Times New Roman" w:eastAsia="仿宋_GB2312" w:cs="Times New Roman"/>
          <w:b w:val="0"/>
          <w:bCs w:val="0"/>
          <w:color w:val="auto"/>
          <w:sz w:val="32"/>
          <w:szCs w:val="32"/>
          <w:highlight w:val="none"/>
          <w:lang w:val="en-US" w:eastAsia="zh-CN"/>
        </w:rPr>
        <w:t>实现规模工业总产值245亿元，同比增长6.5%；工业企业实缴税金达4.5亿元，同比增长5%。伍子醉二期全线投产，年产值有望突破1</w:t>
      </w: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亿元。</w:t>
      </w:r>
      <w:r>
        <w:rPr>
          <w:rFonts w:hint="eastAsia" w:ascii="仿宋_GB2312" w:hAnsi="仿宋_GB2312" w:eastAsia="仿宋_GB2312" w:cs="仿宋_GB2312"/>
          <w:b w:val="0"/>
          <w:bCs w:val="0"/>
          <w:color w:val="auto"/>
          <w:sz w:val="32"/>
          <w:szCs w:val="32"/>
          <w:lang w:val="en-US" w:eastAsia="zh-CN"/>
        </w:rPr>
        <w:t>零陵卷烟厂技改项目有序推进，</w:t>
      </w:r>
      <w:r>
        <w:rPr>
          <w:rFonts w:hint="default" w:ascii="Times New Roman" w:hAnsi="Times New Roman" w:eastAsia="仿宋_GB2312" w:cs="Times New Roman"/>
          <w:b w:val="0"/>
          <w:bCs w:val="0"/>
          <w:color w:val="auto"/>
          <w:sz w:val="32"/>
          <w:szCs w:val="32"/>
          <w:highlight w:val="none"/>
          <w:lang w:val="en-US" w:eastAsia="zh-CN"/>
        </w:rPr>
        <w:t>富润电器、恒飞生物等企业全面扩能升级。零陵高新区获评省级绿色园区。</w:t>
      </w:r>
    </w:p>
    <w:p w14:paraId="49A393D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val="0"/>
        <w:wordWrap/>
        <w:overflowPunct/>
        <w:topLinePunct/>
        <w:autoSpaceDE w:val="0"/>
        <w:autoSpaceDN w:val="0"/>
        <w:bidi w:val="0"/>
        <w:adjustRightInd/>
        <w:snapToGrid/>
        <w:spacing w:beforeAutospacing="0" w:after="0" w:line="540" w:lineRule="exact"/>
        <w:ind w:left="0" w:leftChars="0"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highlight w:val="none"/>
          <w:lang w:val="en-US" w:eastAsia="zh-CN"/>
        </w:rPr>
        <w:t>2.农业生产平稳有序。</w:t>
      </w:r>
      <w:bookmarkStart w:id="1" w:name="OLE_LINK8"/>
      <w:r>
        <w:rPr>
          <w:rFonts w:hint="default" w:ascii="Times New Roman" w:hAnsi="Times New Roman" w:eastAsia="仿宋_GB2312" w:cs="Times New Roman"/>
          <w:b w:val="0"/>
          <w:bCs w:val="0"/>
          <w:color w:val="auto"/>
          <w:sz w:val="32"/>
          <w:szCs w:val="32"/>
          <w:lang w:val="en-US" w:eastAsia="zh-CN"/>
        </w:rPr>
        <w:t>新建高标准农田3.12万亩，完成耕地恢复</w:t>
      </w:r>
      <w:r>
        <w:rPr>
          <w:rFonts w:hint="eastAsia" w:ascii="Times New Roman" w:hAnsi="Times New Roman" w:eastAsia="仿宋_GB2312" w:cs="Times New Roman"/>
          <w:b w:val="0"/>
          <w:bCs w:val="0"/>
          <w:color w:val="auto"/>
          <w:sz w:val="32"/>
          <w:szCs w:val="32"/>
          <w:lang w:val="en-US" w:eastAsia="zh-CN"/>
        </w:rPr>
        <w:t>948.95</w:t>
      </w:r>
      <w:r>
        <w:rPr>
          <w:rFonts w:hint="default" w:ascii="Times New Roman" w:hAnsi="Times New Roman" w:eastAsia="仿宋_GB2312" w:cs="Times New Roman"/>
          <w:b w:val="0"/>
          <w:bCs w:val="0"/>
          <w:color w:val="auto"/>
          <w:sz w:val="32"/>
          <w:szCs w:val="32"/>
          <w:lang w:val="en-US" w:eastAsia="zh-CN"/>
        </w:rPr>
        <w:t>亩。粮食播种面积86.05万亩、总产量38万吨，蔬菜种植面积45万亩，生猪出栏85万头。新增规上农业企业5家、农民合作社13家、家庭农场35家。建成全市首个“数字菜园”大数据平台，联通优质蔬菜基地205个。正大集团生猪全产业链、牛皮滩村蔬菜大棚、高夫殿村设施果蔬基地等6个重点农业产业项目落地见效。建成林下经济基地2300亩，完成油茶新造2293.8亩、低改1473.4亩，油茶鲜果加工冷链仓储集散中心建成投运。</w:t>
      </w:r>
    </w:p>
    <w:p w14:paraId="0B5BD3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overflowPunct/>
        <w:bidi w:val="0"/>
        <w:adjustRightInd/>
        <w:snapToGrid/>
        <w:spacing w:before="0" w:beforeAutospacing="0" w:after="0" w:afterAutospacing="0" w:line="540" w:lineRule="exact"/>
        <w:ind w:left="0" w:leftChars="0" w:right="0" w:firstLine="643"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3.现代服务业活力凸显。</w:t>
      </w:r>
      <w:bookmarkEnd w:id="1"/>
      <w:r>
        <w:rPr>
          <w:rFonts w:hint="default" w:ascii="Times New Roman" w:hAnsi="Times New Roman" w:eastAsia="仿宋_GB2312" w:cs="Times New Roman"/>
          <w:b w:val="0"/>
          <w:bCs w:val="0"/>
          <w:color w:val="auto"/>
          <w:sz w:val="32"/>
          <w:szCs w:val="32"/>
          <w:lang w:val="en-US" w:eastAsia="zh-CN"/>
        </w:rPr>
        <w:t>“超燃AI秀、嗨Fun零陵城”科技秀、第六届柳宗元文化旅游周·零陵夜宴等文旅活动火爆出圈，利用“湘超”赛事热点打造“00后的小城零陵”和“零陵牛扣哥”等现象级IP引燃网络，话题总阅读量突破4亿次。柳子街历史文化街区保护提升项目完成房屋修缮55栋、立面改造40栋。潇湘集贤堂文化创意园、永州异蛇中药产业园、柳文化研学基地入选湖南文旅消费“新生代·新场景”，周舍精品民宿荣膺全市首家国家乙级旅游民宿。预计全年接待游客766万人次、旅游综合收入78.1亿元。</w:t>
      </w:r>
    </w:p>
    <w:p w14:paraId="3CF6765E">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bookmarkStart w:id="2" w:name="OLE_LINK4"/>
      <w:r>
        <w:rPr>
          <w:rFonts w:hint="default" w:ascii="Times New Roman" w:hAnsi="Times New Roman" w:eastAsia="楷体_GB2312" w:cs="Times New Roman"/>
          <w:b/>
          <w:bCs/>
          <w:color w:val="auto"/>
          <w:sz w:val="32"/>
          <w:szCs w:val="32"/>
          <w:highlight w:val="none"/>
          <w:lang w:val="en-US" w:eastAsia="zh-CN"/>
        </w:rPr>
        <w:t>（二）供需两端发力，</w:t>
      </w:r>
      <w:bookmarkEnd w:id="2"/>
      <w:r>
        <w:rPr>
          <w:rFonts w:hint="default" w:ascii="Times New Roman" w:hAnsi="Times New Roman" w:eastAsia="楷体_GB2312" w:cs="Times New Roman"/>
          <w:b/>
          <w:bCs/>
          <w:color w:val="auto"/>
          <w:sz w:val="32"/>
          <w:szCs w:val="32"/>
          <w:highlight w:val="none"/>
          <w:lang w:val="en-US" w:eastAsia="zh-CN"/>
        </w:rPr>
        <w:t>内需潜能充分释放</w:t>
      </w:r>
    </w:p>
    <w:p w14:paraId="0B4CB328">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rPr>
        <w:t>投资运行稳健向好。</w:t>
      </w:r>
      <w:r>
        <w:rPr>
          <w:rFonts w:hint="default" w:ascii="Times New Roman" w:hAnsi="Times New Roman" w:eastAsia="仿宋_GB2312" w:cs="Times New Roman"/>
          <w:b w:val="0"/>
          <w:bCs w:val="0"/>
          <w:color w:val="auto"/>
          <w:sz w:val="32"/>
          <w:szCs w:val="32"/>
          <w:u w:val="none"/>
          <w:lang w:val="en-US" w:eastAsia="zh-CN"/>
        </w:rPr>
        <w:t>争取各类上级资金42.94亿元，同比增长9.1%</w:t>
      </w:r>
      <w:r>
        <w:rPr>
          <w:rFonts w:hint="default" w:ascii="Times New Roman" w:hAnsi="Times New Roman" w:eastAsia="仿宋_GB2312" w:cs="Times New Roman"/>
          <w:b w:val="0"/>
          <w:bCs w:val="0"/>
          <w:color w:val="auto"/>
          <w:sz w:val="32"/>
          <w:szCs w:val="32"/>
          <w:lang w:val="en-US" w:eastAsia="zh-CN"/>
        </w:rPr>
        <w:t>。全年共铺排重点项目212个，完成年度投资107.7亿元，超出计划投资额14.2%。23个省市重点项目完成年度投资额</w:t>
      </w:r>
      <w:r>
        <w:rPr>
          <w:rFonts w:hint="eastAsia" w:eastAsia="仿宋_GB2312" w:cs="Times New Roman"/>
          <w:b w:val="0"/>
          <w:bCs w:val="0"/>
          <w:color w:val="auto"/>
          <w:sz w:val="32"/>
          <w:szCs w:val="32"/>
          <w:lang w:val="en-US" w:eastAsia="zh-CN"/>
        </w:rPr>
        <w:t>51.46</w:t>
      </w:r>
      <w:r>
        <w:rPr>
          <w:rFonts w:hint="default" w:ascii="Times New Roman" w:hAnsi="Times New Roman" w:eastAsia="仿宋_GB2312" w:cs="Times New Roman"/>
          <w:b w:val="0"/>
          <w:bCs w:val="0"/>
          <w:color w:val="auto"/>
          <w:sz w:val="32"/>
          <w:szCs w:val="32"/>
          <w:lang w:val="en-US" w:eastAsia="zh-CN"/>
        </w:rPr>
        <w:t>亿元。何仙观水库成功调整为大二型水库，入列国家“双重”项目库。</w:t>
      </w:r>
      <w:r>
        <w:rPr>
          <w:rFonts w:hint="eastAsia" w:eastAsia="仿宋_GB2312" w:cs="Times New Roman"/>
          <w:b w:val="0"/>
          <w:bCs w:val="0"/>
          <w:color w:val="auto"/>
          <w:sz w:val="32"/>
          <w:szCs w:val="32"/>
          <w:lang w:val="en-US" w:eastAsia="zh-CN"/>
        </w:rPr>
        <w:t>永广清</w:t>
      </w:r>
      <w:r>
        <w:rPr>
          <w:rFonts w:hint="default" w:ascii="Times New Roman" w:hAnsi="Times New Roman" w:eastAsia="仿宋_GB2312" w:cs="Times New Roman"/>
          <w:b w:val="0"/>
          <w:bCs w:val="0"/>
          <w:color w:val="auto"/>
          <w:sz w:val="32"/>
          <w:szCs w:val="32"/>
          <w:lang w:val="en-US" w:eastAsia="zh-CN"/>
        </w:rPr>
        <w:t>高铁、零陵千吨级码头等重大牵引项目取得积极进展。燃气发电项目取得省发改委核准批复。</w:t>
      </w:r>
    </w:p>
    <w:p w14:paraId="5615FAF9">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2.消费市场持续升温。</w:t>
      </w:r>
      <w:r>
        <w:rPr>
          <w:rFonts w:hint="default" w:ascii="Times New Roman" w:hAnsi="Times New Roman" w:eastAsia="仿宋_GB2312" w:cs="Times New Roman"/>
          <w:b w:val="0"/>
          <w:bCs w:val="0"/>
          <w:color w:val="auto"/>
          <w:sz w:val="32"/>
          <w:szCs w:val="32"/>
          <w:lang w:val="en-US" w:eastAsia="zh-CN"/>
        </w:rPr>
        <w:t>成功举办“乐享消费、惠购永州”汽车以旧换新等40余场次系列促消费活动，综合带动销售额超13亿元，位居全市首位。借助“湘超”流量，成功推出惠民消费季活动，带动线上线下零售额2000余万元。在全市率先开展“一村一品一主播”电商直播带货活动，单月销售额突破</w:t>
      </w:r>
      <w:r>
        <w:rPr>
          <w:rFonts w:hint="eastAsia" w:eastAsia="仿宋_GB2312" w:cs="Times New Roman"/>
          <w:b w:val="0"/>
          <w:bCs w:val="0"/>
          <w:color w:val="auto"/>
          <w:sz w:val="32"/>
          <w:szCs w:val="32"/>
          <w:lang w:val="en-US" w:eastAsia="zh-CN"/>
        </w:rPr>
        <w:t>100万</w:t>
      </w:r>
      <w:r>
        <w:rPr>
          <w:rFonts w:hint="default" w:ascii="Times New Roman" w:hAnsi="Times New Roman" w:eastAsia="仿宋_GB2312" w:cs="Times New Roman"/>
          <w:b w:val="0"/>
          <w:bCs w:val="0"/>
          <w:color w:val="auto"/>
          <w:sz w:val="32"/>
          <w:szCs w:val="32"/>
          <w:lang w:val="en-US" w:eastAsia="zh-CN"/>
        </w:rPr>
        <w:t>元。全年新增限上商贸企业17家，批零住餐等行业销售额同比增长8%。</w:t>
      </w:r>
    </w:p>
    <w:p w14:paraId="4DCA68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val="0"/>
        <w:wordWrap/>
        <w:overflowPunct/>
        <w:topLinePunct/>
        <w:autoSpaceDE w:val="0"/>
        <w:autoSpaceDN w:val="0"/>
        <w:bidi w:val="0"/>
        <w:adjustRightInd/>
        <w:snapToGrid/>
        <w:spacing w:before="0" w:beforeAutospacing="0" w:after="0" w:line="540" w:lineRule="exact"/>
        <w:ind w:left="0" w:leftChars="0"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（三）改革创新引领，发展动能加速集聚</w:t>
      </w:r>
    </w:p>
    <w:p w14:paraId="28ADC4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val="0"/>
        <w:wordWrap/>
        <w:overflowPunct/>
        <w:topLinePunct/>
        <w:autoSpaceDE w:val="0"/>
        <w:autoSpaceDN w:val="0"/>
        <w:bidi w:val="0"/>
        <w:adjustRightInd/>
        <w:snapToGrid/>
        <w:spacing w:before="0" w:beforeAutospacing="0" w:after="0" w:line="540" w:lineRule="exact"/>
        <w:ind w:left="0" w:leftChars="0"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Style w:val="19"/>
          <w:rFonts w:hint="default" w:ascii="Times New Roman" w:hAnsi="Times New Roman" w:eastAsia="仿宋_GB2312" w:cs="Times New Roman"/>
          <w:b/>
          <w:bCs/>
          <w:color w:val="auto"/>
          <w:kern w:val="0"/>
          <w:sz w:val="32"/>
          <w:szCs w:val="32"/>
          <w:lang w:val="en-US" w:eastAsia="zh-CN"/>
        </w:rPr>
        <w:t>1.</w:t>
      </w:r>
      <w:r>
        <w:rPr>
          <w:rStyle w:val="19"/>
          <w:rFonts w:hint="default" w:ascii="Times New Roman" w:hAnsi="Times New Roman" w:eastAsia="仿宋_GB2312" w:cs="Times New Roman"/>
          <w:b/>
          <w:bCs/>
          <w:color w:val="auto"/>
          <w:kern w:val="0"/>
          <w:sz w:val="32"/>
          <w:szCs w:val="32"/>
        </w:rPr>
        <w:t>重点改革</w:t>
      </w:r>
      <w:r>
        <w:rPr>
          <w:rStyle w:val="19"/>
          <w:rFonts w:hint="default" w:ascii="Times New Roman" w:hAnsi="Times New Roman" w:eastAsia="仿宋_GB2312" w:cs="Times New Roman"/>
          <w:b/>
          <w:bCs/>
          <w:color w:val="auto"/>
          <w:kern w:val="0"/>
          <w:sz w:val="32"/>
          <w:szCs w:val="32"/>
          <w:lang w:val="en-US" w:eastAsia="zh-CN"/>
        </w:rPr>
        <w:t>纵深推进</w:t>
      </w:r>
      <w:r>
        <w:rPr>
          <w:rStyle w:val="19"/>
          <w:rFonts w:hint="default" w:ascii="Times New Roman" w:hAnsi="Times New Roman" w:eastAsia="仿宋_GB2312" w:cs="Times New Roman"/>
          <w:b/>
          <w:bCs/>
          <w:color w:val="auto"/>
          <w:kern w:val="0"/>
          <w:sz w:val="32"/>
          <w:szCs w:val="32"/>
          <w:lang w:eastAsia="zh-CN"/>
        </w:rPr>
        <w:t>。</w:t>
      </w:r>
      <w:r>
        <w:rPr>
          <w:rFonts w:hint="default" w:ascii="Times New Roman" w:hAnsi="Times New Roman" w:eastAsia="仿宋_GB2312" w:cs="Times New Roman"/>
          <w:b w:val="0"/>
          <w:bCs w:val="0"/>
          <w:color w:val="auto"/>
          <w:sz w:val="32"/>
          <w:szCs w:val="32"/>
          <w:lang w:val="en-US" w:eastAsia="zh-CN"/>
        </w:rPr>
        <w:t>稀土产业园企业制管理模式基本形成，锰矿区管理体制和锰资源税收征管体制改革取得实质性进展</w:t>
      </w:r>
      <w:r>
        <w:rPr>
          <w:rFonts w:hint="default" w:ascii="Times New Roman" w:hAnsi="Times New Roman" w:eastAsia="仿宋_GB2312" w:cs="Times New Roman"/>
          <w:b w:val="0"/>
          <w:bCs w:val="0"/>
          <w:color w:val="auto"/>
          <w:sz w:val="32"/>
          <w:szCs w:val="32"/>
          <w:highlight w:val="none"/>
          <w:lang w:val="en-US" w:eastAsia="zh-CN"/>
        </w:rPr>
        <w:t>。全市首个县级政务数字人“零小e”正式上线运行，实现“一网通办”统一受理事项对接上线率达100%。“高效办成一件事”改革取得显著成效，相关实践经验被省级主流媒体宣传推介。潇湘源城发集团信用评级成功升至AA+，</w:t>
      </w:r>
      <w:r>
        <w:rPr>
          <w:rFonts w:hint="default" w:ascii="Times New Roman" w:hAnsi="Times New Roman" w:eastAsia="仿宋_GB2312" w:cs="Times New Roman"/>
          <w:b w:val="0"/>
          <w:bCs w:val="0"/>
          <w:color w:val="auto"/>
          <w:sz w:val="32"/>
          <w:szCs w:val="32"/>
          <w:lang w:val="en-US" w:eastAsia="zh-CN"/>
        </w:rPr>
        <w:t>全年压降平台公司2家，</w:t>
      </w:r>
      <w:r>
        <w:rPr>
          <w:rFonts w:hint="eastAsia" w:ascii="Times New Roman" w:hAnsi="Times New Roman" w:eastAsia="仿宋_GB2312" w:cs="Times New Roman"/>
          <w:b w:val="0"/>
          <w:bCs w:val="0"/>
          <w:color w:val="auto"/>
          <w:sz w:val="32"/>
          <w:szCs w:val="32"/>
          <w:highlight w:val="none"/>
          <w:lang w:val="en-US" w:eastAsia="zh-CN"/>
        </w:rPr>
        <w:t>较去年</w:t>
      </w:r>
      <w:r>
        <w:rPr>
          <w:rFonts w:hint="default" w:ascii="Times New Roman" w:hAnsi="Times New Roman" w:eastAsia="仿宋_GB2312" w:cs="Times New Roman"/>
          <w:b w:val="0"/>
          <w:bCs w:val="0"/>
          <w:color w:val="auto"/>
          <w:sz w:val="32"/>
          <w:szCs w:val="32"/>
          <w:highlight w:val="none"/>
          <w:lang w:val="en-US" w:eastAsia="zh-CN"/>
        </w:rPr>
        <w:t>节约融资利息超1亿元，融资能力与市场竞争力大幅提升。零基预算改革扎实推进，财政保障质效齐升。稳慎推进土地二轮延包整区试点，合同网签率97.82%。</w:t>
      </w:r>
    </w:p>
    <w:p w14:paraId="760136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val="0"/>
        <w:wordWrap/>
        <w:overflowPunct/>
        <w:topLinePunct/>
        <w:autoSpaceDE w:val="0"/>
        <w:autoSpaceDN w:val="0"/>
        <w:bidi w:val="0"/>
        <w:adjustRightInd/>
        <w:snapToGrid/>
        <w:spacing w:before="0" w:beforeAutospacing="0" w:after="0" w:line="540" w:lineRule="exact"/>
        <w:ind w:left="0" w:leftChars="0"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2.科技创新蓄势赋能。</w:t>
      </w:r>
      <w:r>
        <w:rPr>
          <w:rFonts w:hint="default" w:ascii="Times New Roman" w:hAnsi="Times New Roman" w:eastAsia="仿宋_GB2312" w:cs="Times New Roman"/>
          <w:b w:val="0"/>
          <w:bCs w:val="0"/>
          <w:color w:val="auto"/>
          <w:sz w:val="32"/>
          <w:szCs w:val="32"/>
          <w:highlight w:val="none"/>
          <w:lang w:val="en-US" w:eastAsia="zh-CN"/>
        </w:rPr>
        <w:t>全年新增省级专精特新企业11家、创新型中小企业6家，科技型中小企业评价入库293家，同比增长78.7%，新增高价值发明专利6件，数量位居全市</w:t>
      </w:r>
      <w:r>
        <w:rPr>
          <w:rFonts w:hint="eastAsia" w:ascii="Times New Roman" w:hAnsi="Times New Roman" w:eastAsia="仿宋_GB2312" w:cs="Times New Roman"/>
          <w:b w:val="0"/>
          <w:bCs w:val="0"/>
          <w:color w:val="auto"/>
          <w:sz w:val="32"/>
          <w:szCs w:val="32"/>
          <w:highlight w:val="none"/>
          <w:lang w:val="en-US" w:eastAsia="zh-CN"/>
        </w:rPr>
        <w:t>前列</w:t>
      </w:r>
      <w:r>
        <w:rPr>
          <w:rFonts w:hint="default" w:ascii="Times New Roman" w:hAnsi="Times New Roman" w:eastAsia="仿宋_GB2312" w:cs="Times New Roman"/>
          <w:b w:val="0"/>
          <w:bCs w:val="0"/>
          <w:color w:val="auto"/>
          <w:sz w:val="32"/>
          <w:szCs w:val="32"/>
          <w:highlight w:val="none"/>
          <w:lang w:val="en-US" w:eastAsia="zh-CN"/>
        </w:rPr>
        <w:t>。高新技术产业增加值达19.55亿元，同比增长15.1%。恒飞生物荣获全省创新创业大赛优胜奖，创新实力得到认可。</w:t>
      </w:r>
    </w:p>
    <w:p w14:paraId="5986B8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overflowPunct/>
        <w:bidi w:val="0"/>
        <w:adjustRightInd/>
        <w:snapToGrid/>
        <w:spacing w:before="0" w:beforeAutospacing="0" w:after="0" w:afterAutospacing="0" w:line="540" w:lineRule="exact"/>
        <w:ind w:left="0" w:leftChars="0" w:right="0" w:firstLine="643"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highlight w:val="none"/>
          <w:lang w:val="en-US" w:eastAsia="zh-CN"/>
        </w:rPr>
        <w:t>3.营商环境向优向好。</w:t>
      </w:r>
      <w:r>
        <w:rPr>
          <w:rFonts w:hint="default" w:ascii="Times New Roman" w:hAnsi="Times New Roman" w:eastAsia="仿宋_GB2312" w:cs="Times New Roman"/>
          <w:b w:val="0"/>
          <w:bCs w:val="0"/>
          <w:color w:val="auto"/>
          <w:sz w:val="32"/>
          <w:szCs w:val="32"/>
          <w:lang w:val="en-US" w:eastAsia="zh-CN"/>
        </w:rPr>
        <w:t>扎实开展“环境优化提升攻坚”行动，清退涉企押金362.79万元，清偿化解拖欠企业账款12.04亿元。创新性地推出“三层三级”保姆式服务模式，常态化举办“四定四化”政企交流恳谈会，累计帮助企业解决问题263个，提供“帮代办”服务83件。“企业出题、部门答题”机制破解难题57个，营商环境综合评估位居全省前列。</w:t>
      </w:r>
    </w:p>
    <w:p w14:paraId="6176ED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overflowPunct/>
        <w:bidi w:val="0"/>
        <w:adjustRightInd/>
        <w:snapToGrid/>
        <w:spacing w:before="0" w:beforeAutospacing="0" w:after="0" w:afterAutospacing="0" w:line="540" w:lineRule="exact"/>
        <w:ind w:left="0" w:leftChars="0" w:right="0"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lang w:val="en-US" w:eastAsia="zh-CN"/>
        </w:rPr>
        <w:t>开放合作持续深化。</w:t>
      </w:r>
      <w:r>
        <w:rPr>
          <w:rFonts w:hint="default" w:ascii="Times New Roman" w:hAnsi="Times New Roman" w:eastAsia="仿宋_GB2312" w:cs="Times New Roman"/>
          <w:color w:val="auto"/>
          <w:sz w:val="32"/>
          <w:szCs w:val="32"/>
        </w:rPr>
        <w:t>全年签约5000万</w:t>
      </w:r>
      <w:r>
        <w:rPr>
          <w:rFonts w:hint="default"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rPr>
        <w:t>以上</w:t>
      </w:r>
      <w:r>
        <w:rPr>
          <w:rFonts w:hint="default" w:ascii="Times New Roman" w:hAnsi="Times New Roman" w:eastAsia="仿宋_GB2312" w:cs="Times New Roman"/>
          <w:color w:val="auto"/>
          <w:sz w:val="32"/>
          <w:szCs w:val="32"/>
          <w:lang w:val="en-US" w:eastAsia="zh-CN"/>
        </w:rPr>
        <w:t>产业</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rPr>
        <w:t>个，合同引资</w:t>
      </w:r>
      <w:r>
        <w:rPr>
          <w:rFonts w:hint="default" w:ascii="Times New Roman" w:hAnsi="Times New Roman" w:eastAsia="仿宋_GB2312" w:cs="Times New Roman"/>
          <w:color w:val="auto"/>
          <w:sz w:val="32"/>
          <w:szCs w:val="32"/>
          <w:lang w:val="en-US" w:eastAsia="zh-CN"/>
        </w:rPr>
        <w:t>52</w:t>
      </w:r>
      <w:r>
        <w:rPr>
          <w:rFonts w:hint="default" w:ascii="Times New Roman" w:hAnsi="Times New Roman" w:eastAsia="仿宋_GB2312" w:cs="Times New Roman"/>
          <w:color w:val="auto"/>
          <w:sz w:val="32"/>
          <w:szCs w:val="32"/>
        </w:rPr>
        <w:t>亿元。</w:t>
      </w:r>
      <w:r>
        <w:rPr>
          <w:rFonts w:hint="default" w:ascii="Times New Roman" w:hAnsi="Times New Roman" w:eastAsia="仿宋_GB2312" w:cs="Times New Roman"/>
          <w:color w:val="auto"/>
          <w:sz w:val="32"/>
          <w:szCs w:val="32"/>
          <w:lang w:val="en-US" w:eastAsia="zh-CN"/>
        </w:rPr>
        <w:t>湘商回归新注册项目15个，实际到位资金30亿元。</w:t>
      </w:r>
      <w:r>
        <w:rPr>
          <w:rFonts w:hint="default" w:ascii="Times New Roman" w:hAnsi="Times New Roman" w:eastAsia="仿宋_GB2312" w:cs="Times New Roman"/>
          <w:b w:val="0"/>
          <w:bCs w:val="0"/>
          <w:color w:val="auto"/>
          <w:sz w:val="32"/>
          <w:szCs w:val="32"/>
          <w:lang w:val="en-US" w:eastAsia="zh-CN"/>
        </w:rPr>
        <w:t>全年外贸进出口总额实现20亿元，同比增长6.0%，其中蔬菜出口额达14.5亿元。完成对非贸易额2.3亿元，实际使用外资250万美元。</w:t>
      </w:r>
    </w:p>
    <w:p w14:paraId="20376C6D">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（四）城乡协同发展，区域格局更趋协调</w:t>
      </w:r>
    </w:p>
    <w:p w14:paraId="525A6D1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overflowPunct/>
        <w:bidi w:val="0"/>
        <w:adjustRightInd/>
        <w:snapToGrid/>
        <w:spacing w:before="0" w:beforeAutospacing="0" w:after="0" w:afterAutospacing="0" w:line="540" w:lineRule="exact"/>
        <w:ind w:left="0" w:leftChars="0" w:right="0" w:firstLine="643"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1.城市品质持续提升。</w:t>
      </w:r>
      <w:r>
        <w:rPr>
          <w:rFonts w:hint="default" w:ascii="Times New Roman" w:hAnsi="Times New Roman" w:eastAsia="仿宋_GB2312" w:cs="Times New Roman"/>
          <w:b w:val="0"/>
          <w:bCs w:val="0"/>
          <w:color w:val="auto"/>
          <w:sz w:val="32"/>
          <w:szCs w:val="32"/>
          <w:lang w:val="en-US" w:eastAsia="zh-CN"/>
        </w:rPr>
        <w:t>城乡交通网络日趋完善。</w:t>
      </w:r>
      <w:r>
        <w:rPr>
          <w:rFonts w:hint="default" w:ascii="Times New Roman" w:hAnsi="Times New Roman" w:eastAsia="仿宋_GB2312" w:cs="Times New Roman"/>
          <w:b w:val="0"/>
          <w:bCs w:val="0"/>
          <w:color w:val="auto"/>
          <w:sz w:val="32"/>
          <w:szCs w:val="32"/>
          <w:highlight w:val="none"/>
          <w:lang w:val="en-US" w:eastAsia="zh-CN"/>
        </w:rPr>
        <w:t>零道高速公路建设预计明年底建成。萍阳北路延伸段</w:t>
      </w:r>
      <w:r>
        <w:rPr>
          <w:rFonts w:hint="default" w:ascii="Times New Roman" w:hAnsi="Times New Roman" w:eastAsia="仿宋_GB2312" w:cs="Times New Roman"/>
          <w:b w:val="0"/>
          <w:bCs w:val="0"/>
          <w:color w:val="auto"/>
          <w:sz w:val="32"/>
          <w:szCs w:val="32"/>
          <w:lang w:val="en-US" w:eastAsia="zh-CN"/>
        </w:rPr>
        <w:t>年底</w:t>
      </w:r>
      <w:r>
        <w:rPr>
          <w:rFonts w:hint="default" w:ascii="Times New Roman" w:hAnsi="Times New Roman" w:eastAsia="仿宋_GB2312" w:cs="Times New Roman"/>
          <w:b w:val="0"/>
          <w:bCs w:val="0"/>
          <w:color w:val="auto"/>
          <w:sz w:val="32"/>
          <w:szCs w:val="32"/>
          <w:highlight w:val="none"/>
          <w:lang w:val="en-US" w:eastAsia="zh-CN"/>
        </w:rPr>
        <w:t>通车，荷叶塘人行天桥已建成并投入使用。34个老旧小区改造项目有序实施</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225套保障性租赁住房全面完成，五里堆612套公租房投入使用</w:t>
      </w:r>
      <w:r>
        <w:rPr>
          <w:rFonts w:hint="default" w:ascii="Times New Roman" w:hAnsi="Times New Roman" w:eastAsia="仿宋_GB2312" w:cs="Times New Roman"/>
          <w:b w:val="0"/>
          <w:bCs w:val="0"/>
          <w:color w:val="auto"/>
          <w:sz w:val="32"/>
          <w:szCs w:val="32"/>
          <w:highlight w:val="none"/>
          <w:lang w:val="en-US" w:eastAsia="zh-CN"/>
        </w:rPr>
        <w:t>。新改建污水管网6千米、燃气管网27.8千米，中心城区首条河流定向钻燃气管道正式通气，完成河西片区15个小区管网铺设，满足4</w:t>
      </w: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00户居民燃气开户要求。新改建供水管网24千米，解决光明新路、风荷路、廻龙小区等22个片区水压不足问题，</w:t>
      </w:r>
      <w:r>
        <w:rPr>
          <w:rFonts w:hint="default" w:ascii="Times New Roman" w:hAnsi="Times New Roman" w:eastAsia="仿宋_GB2312" w:cs="Times New Roman"/>
          <w:b w:val="0"/>
          <w:bCs w:val="0"/>
          <w:color w:val="auto"/>
          <w:sz w:val="32"/>
          <w:szCs w:val="32"/>
          <w:lang w:val="en-US" w:eastAsia="zh-CN"/>
        </w:rPr>
        <w:t>受益群众1.6万人。</w:t>
      </w:r>
    </w:p>
    <w:p w14:paraId="510BD1E6">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2.乡村振兴扎实推进。</w:t>
      </w:r>
      <w:r>
        <w:rPr>
          <w:rFonts w:hint="default" w:ascii="Times New Roman" w:hAnsi="Times New Roman" w:eastAsia="仿宋_GB2312" w:cs="Times New Roman"/>
          <w:b w:val="0"/>
          <w:bCs w:val="0"/>
          <w:color w:val="auto"/>
          <w:sz w:val="32"/>
          <w:szCs w:val="32"/>
          <w:highlight w:val="none"/>
          <w:lang w:val="en-US" w:eastAsia="zh-CN"/>
        </w:rPr>
        <w:t>珠山至石岩头、水口山至大庆坪两条三级公路已顺利实现通车，</w:t>
      </w:r>
      <w:r>
        <w:rPr>
          <w:rFonts w:hint="eastAsia" w:eastAsia="仿宋_GB2312" w:cs="Times New Roman"/>
          <w:b w:val="0"/>
          <w:bCs w:val="0"/>
          <w:color w:val="auto"/>
          <w:sz w:val="32"/>
          <w:szCs w:val="32"/>
          <w:highlight w:val="none"/>
          <w:lang w:val="en-US" w:eastAsia="zh-CN"/>
        </w:rPr>
        <w:t>完成国省道大中修15公里，</w:t>
      </w:r>
      <w:r>
        <w:rPr>
          <w:rFonts w:hint="default" w:ascii="Times New Roman" w:hAnsi="Times New Roman" w:eastAsia="仿宋_GB2312" w:cs="Times New Roman"/>
          <w:b w:val="0"/>
          <w:bCs w:val="0"/>
          <w:color w:val="auto"/>
          <w:sz w:val="32"/>
          <w:szCs w:val="32"/>
          <w:highlight w:val="none"/>
          <w:lang w:val="en-US" w:eastAsia="zh-CN"/>
        </w:rPr>
        <w:t>建成资源路、产业路、旅游路和撤并村便捷路23.9公里。</w:t>
      </w:r>
      <w:r>
        <w:rPr>
          <w:rFonts w:hint="default" w:ascii="Times New Roman" w:hAnsi="Times New Roman" w:eastAsia="仿宋_GB2312" w:cs="Times New Roman"/>
          <w:b w:val="0"/>
          <w:bCs w:val="0"/>
          <w:color w:val="auto"/>
          <w:sz w:val="32"/>
          <w:szCs w:val="32"/>
          <w:lang w:val="en-US" w:eastAsia="zh-CN"/>
        </w:rPr>
        <w:t>1</w:t>
      </w:r>
      <w:r>
        <w:rPr>
          <w:rFonts w:hint="eastAsia"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个乡镇污水处理厂陆续投入使用，</w:t>
      </w:r>
      <w:r>
        <w:rPr>
          <w:rFonts w:hint="default" w:ascii="Times New Roman" w:hAnsi="Times New Roman" w:eastAsia="仿宋_GB2312" w:cs="Times New Roman"/>
          <w:b w:val="0"/>
          <w:bCs w:val="0"/>
          <w:color w:val="auto"/>
          <w:sz w:val="32"/>
          <w:szCs w:val="32"/>
          <w:highlight w:val="none"/>
          <w:lang w:val="en-US" w:eastAsia="zh-CN"/>
        </w:rPr>
        <w:t>提质升级83处农村供水工程，改善32.07万农村人口饮水质量。</w:t>
      </w:r>
    </w:p>
    <w:p w14:paraId="4E326F38">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（五）民生福祉不断增进，幸福指数稳步攀升</w:t>
      </w:r>
    </w:p>
    <w:p w14:paraId="2E39C32E">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lang w:val="en-US" w:eastAsia="zh-CN"/>
        </w:rPr>
        <w:t>社会保障坚实有力。</w:t>
      </w:r>
      <w:r>
        <w:rPr>
          <w:rFonts w:hint="default" w:ascii="Times New Roman" w:hAnsi="Times New Roman" w:eastAsia="仿宋_GB2312" w:cs="Times New Roman"/>
          <w:b w:val="0"/>
          <w:bCs w:val="0"/>
          <w:color w:val="auto"/>
          <w:sz w:val="32"/>
          <w:szCs w:val="32"/>
          <w:lang w:val="en-US" w:eastAsia="zh-CN"/>
        </w:rPr>
        <w:t>民生支出占公共预算总支出80%，57项省市民生实事全面完成。建成8个“乐业小站”，新增城镇就业</w:t>
      </w:r>
      <w:r>
        <w:rPr>
          <w:rFonts w:hint="eastAsia" w:eastAsia="仿宋_GB2312" w:cs="Times New Roman"/>
          <w:b w:val="0"/>
          <w:bCs w:val="0"/>
          <w:color w:val="auto"/>
          <w:sz w:val="32"/>
          <w:szCs w:val="32"/>
          <w:lang w:val="en-US" w:eastAsia="zh-CN"/>
        </w:rPr>
        <w:t>5967</w:t>
      </w:r>
      <w:r>
        <w:rPr>
          <w:rFonts w:hint="default" w:ascii="Times New Roman" w:hAnsi="Times New Roman" w:eastAsia="仿宋_GB2312" w:cs="Times New Roman"/>
          <w:b w:val="0"/>
          <w:bCs w:val="0"/>
          <w:color w:val="auto"/>
          <w:sz w:val="32"/>
          <w:szCs w:val="32"/>
          <w:lang w:val="en-US" w:eastAsia="zh-CN"/>
        </w:rPr>
        <w:t>人，农村劳动力转移就业5</w:t>
      </w:r>
      <w:r>
        <w:rPr>
          <w:rFonts w:hint="eastAsia" w:eastAsia="仿宋_GB2312" w:cs="Times New Roman"/>
          <w:b w:val="0"/>
          <w:bCs w:val="0"/>
          <w:color w:val="auto"/>
          <w:sz w:val="32"/>
          <w:szCs w:val="32"/>
          <w:lang w:val="en-US" w:eastAsia="zh-CN"/>
        </w:rPr>
        <w:t>127</w:t>
      </w:r>
      <w:r>
        <w:rPr>
          <w:rFonts w:hint="default" w:ascii="Times New Roman" w:hAnsi="Times New Roman" w:eastAsia="仿宋_GB2312" w:cs="Times New Roman"/>
          <w:b w:val="0"/>
          <w:bCs w:val="0"/>
          <w:color w:val="auto"/>
          <w:sz w:val="32"/>
          <w:szCs w:val="32"/>
          <w:lang w:val="en-US" w:eastAsia="zh-CN"/>
        </w:rPr>
        <w:t>人，助力548名残疾人走上就业岗位。</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城乡低保、特困人员、退役军人优抚对象等困难群体保障标准稳步提高，累计发放保障金1.5亿元</w:t>
      </w:r>
      <w:r>
        <w:rPr>
          <w:rFonts w:hint="eastAsia" w:eastAsia="仿宋_GB2312" w:cs="Times New Roman"/>
          <w:i w:val="0"/>
          <w:iCs w:val="0"/>
          <w:caps w:val="0"/>
          <w:color w:val="auto"/>
          <w:spacing w:val="0"/>
          <w:sz w:val="32"/>
          <w:szCs w:val="32"/>
          <w:shd w:val="clear" w:color="auto" w:fill="FFFFFF"/>
          <w:lang w:val="en-US" w:eastAsia="zh-CN"/>
        </w:rPr>
        <w:t>，首批育儿补贴3147.7万元</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。城乡居民养老保险基金支出2.</w:t>
      </w:r>
      <w:r>
        <w:rPr>
          <w:rFonts w:hint="eastAsia" w:eastAsia="仿宋_GB2312" w:cs="Times New Roman"/>
          <w:i w:val="0"/>
          <w:iCs w:val="0"/>
          <w:caps w:val="0"/>
          <w:color w:val="auto"/>
          <w:spacing w:val="0"/>
          <w:sz w:val="32"/>
          <w:szCs w:val="32"/>
          <w:shd w:val="clear" w:color="auto" w:fill="FFFFFF"/>
          <w:lang w:val="en-US" w:eastAsia="zh-CN"/>
        </w:rPr>
        <w:t>46</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亿元。</w:t>
      </w:r>
      <w:r>
        <w:rPr>
          <w:rFonts w:hint="default" w:ascii="Times New Roman" w:hAnsi="Times New Roman" w:eastAsia="仿宋_GB2312" w:cs="Times New Roman"/>
          <w:b w:val="0"/>
          <w:bCs w:val="0"/>
          <w:color w:val="auto"/>
          <w:sz w:val="32"/>
          <w:szCs w:val="32"/>
          <w:lang w:val="en-US" w:eastAsia="zh-CN"/>
        </w:rPr>
        <w:t>零陵区光荣医院、富家桥敬老院即将竣工。“四提四化”助餐模式获《中国民政》宣传推介。养老服务工作获评全国“敬老文明号”。</w:t>
      </w:r>
    </w:p>
    <w:p w14:paraId="45C3EACB">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Style w:val="19"/>
          <w:rFonts w:hint="default" w:ascii="Times New Roman" w:hAnsi="Times New Roman" w:eastAsia="仿宋_GB2312" w:cs="Times New Roman"/>
          <w:b/>
          <w:bCs/>
          <w:color w:val="auto"/>
          <w:kern w:val="0"/>
          <w:sz w:val="32"/>
          <w:szCs w:val="32"/>
        </w:rPr>
        <w:t>社会事业全面</w:t>
      </w:r>
      <w:r>
        <w:rPr>
          <w:rStyle w:val="19"/>
          <w:rFonts w:hint="default" w:ascii="Times New Roman" w:hAnsi="Times New Roman" w:eastAsia="仿宋_GB2312" w:cs="Times New Roman"/>
          <w:b/>
          <w:bCs/>
          <w:color w:val="auto"/>
          <w:kern w:val="0"/>
          <w:sz w:val="32"/>
          <w:szCs w:val="32"/>
          <w:lang w:val="en-US" w:eastAsia="zh-CN"/>
        </w:rPr>
        <w:t>进步</w:t>
      </w:r>
      <w:r>
        <w:rPr>
          <w:rStyle w:val="19"/>
          <w:rFonts w:hint="default" w:ascii="Times New Roman" w:hAnsi="Times New Roman" w:eastAsia="仿宋_GB2312" w:cs="Times New Roman"/>
          <w:b/>
          <w:bCs/>
          <w:color w:val="auto"/>
          <w:kern w:val="0"/>
          <w:sz w:val="32"/>
          <w:szCs w:val="32"/>
          <w:lang w:eastAsia="zh-CN"/>
        </w:rPr>
        <w:t>。</w:t>
      </w:r>
      <w:r>
        <w:rPr>
          <w:rFonts w:hint="default" w:ascii="Times New Roman" w:hAnsi="Times New Roman" w:eastAsia="仿宋_GB2312" w:cs="Times New Roman"/>
          <w:b/>
          <w:bCs/>
          <w:color w:val="auto"/>
          <w:sz w:val="32"/>
          <w:szCs w:val="32"/>
          <w:lang w:val="en-US" w:eastAsia="zh-CN"/>
        </w:rPr>
        <w:t>“学在零陵”更加优质</w:t>
      </w:r>
      <w:r>
        <w:rPr>
          <w:rFonts w:hint="default" w:ascii="Times New Roman" w:hAnsi="Times New Roman" w:eastAsia="仿宋_GB2312" w:cs="Times New Roman"/>
          <w:b w:val="0"/>
          <w:bCs w:val="0"/>
          <w:color w:val="auto"/>
          <w:sz w:val="32"/>
          <w:szCs w:val="32"/>
          <w:lang w:val="en-US" w:eastAsia="zh-CN"/>
        </w:rPr>
        <w:t>，中考成绩稳居全市前列，高考连续五年创新高。邮亭圩镇中学、凼底乡中心小学、水口山镇宝安小学3所乡镇标准化寄宿制学校建成投用。永州一中成功托管永州七中、与永州三中合作共建，建立12所城区学校与农村学校结对帮扶。所有公办学校撤销教师食堂，推行师生同餐、同质同价，21所农村学校4414名师生吃上“免费午餐”。</w:t>
      </w:r>
      <w:r>
        <w:rPr>
          <w:rFonts w:hint="default" w:ascii="Times New Roman" w:hAnsi="Times New Roman" w:eastAsia="仿宋_GB2312" w:cs="Times New Roman"/>
          <w:b/>
          <w:bCs/>
          <w:color w:val="auto"/>
          <w:sz w:val="32"/>
          <w:szCs w:val="32"/>
          <w:lang w:val="en-US" w:eastAsia="zh-CN"/>
        </w:rPr>
        <w:t>“健康零陵”更具成色，</w:t>
      </w:r>
      <w:r>
        <w:rPr>
          <w:rFonts w:hint="default" w:ascii="Times New Roman" w:hAnsi="Times New Roman" w:eastAsia="仿宋_GB2312" w:cs="Times New Roman"/>
          <w:b w:val="0"/>
          <w:bCs w:val="0"/>
          <w:color w:val="auto"/>
          <w:sz w:val="32"/>
          <w:szCs w:val="32"/>
          <w:lang w:val="en-US" w:eastAsia="zh-CN"/>
        </w:rPr>
        <w:t>创新实施“1234+N”紧密型医共体模式，</w:t>
      </w:r>
      <w:r>
        <w:rPr>
          <w:rFonts w:hint="default" w:ascii="Times New Roman" w:hAnsi="Times New Roman" w:eastAsia="仿宋_GB2312" w:cs="Times New Roman"/>
          <w:color w:val="auto"/>
          <w:sz w:val="32"/>
          <w:szCs w:val="32"/>
          <w:lang w:val="en-US" w:eastAsia="zh-CN"/>
        </w:rPr>
        <w:t>市域外就诊率降低至6.7%。永州市老年医院、区肿瘤防治中心正式运行</w:t>
      </w:r>
      <w:r>
        <w:rPr>
          <w:rFonts w:hint="default" w:ascii="Times New Roman" w:hAnsi="Times New Roman" w:eastAsia="仿宋_GB2312" w:cs="Times New Roman"/>
          <w:b w:val="0"/>
          <w:bCs w:val="0"/>
          <w:color w:val="auto"/>
          <w:sz w:val="32"/>
          <w:szCs w:val="32"/>
          <w:lang w:val="en-US" w:eastAsia="zh-CN"/>
        </w:rPr>
        <w:t>，新增省级临床重点专科3个。二级及以上公立医院实现医保信用就医无感支付，全区</w:t>
      </w:r>
      <w:r>
        <w:rPr>
          <w:rFonts w:hint="eastAsia" w:eastAsia="仿宋_GB2312" w:cs="Times New Roman"/>
          <w:b w:val="0"/>
          <w:bCs w:val="0"/>
          <w:color w:val="auto"/>
          <w:sz w:val="32"/>
          <w:szCs w:val="32"/>
          <w:lang w:val="en-US" w:eastAsia="zh-CN"/>
        </w:rPr>
        <w:t>村</w:t>
      </w:r>
      <w:r>
        <w:rPr>
          <w:rFonts w:hint="default" w:ascii="Times New Roman" w:hAnsi="Times New Roman" w:eastAsia="仿宋_GB2312" w:cs="Times New Roman"/>
          <w:b w:val="0"/>
          <w:bCs w:val="0"/>
          <w:color w:val="auto"/>
          <w:sz w:val="32"/>
          <w:szCs w:val="32"/>
          <w:lang w:val="en-US" w:eastAsia="zh-CN"/>
        </w:rPr>
        <w:t>卫生室实现门诊统筹</w:t>
      </w:r>
      <w:r>
        <w:rPr>
          <w:rFonts w:hint="eastAsia" w:eastAsia="仿宋_GB2312" w:cs="Times New Roman"/>
          <w:b w:val="0"/>
          <w:bCs w:val="0"/>
          <w:color w:val="auto"/>
          <w:sz w:val="32"/>
          <w:szCs w:val="32"/>
          <w:lang w:val="en-US" w:eastAsia="zh-CN"/>
        </w:rPr>
        <w:t>报账</w:t>
      </w:r>
      <w:r>
        <w:rPr>
          <w:rFonts w:hint="default" w:ascii="Times New Roman" w:hAnsi="Times New Roman" w:eastAsia="仿宋_GB2312" w:cs="Times New Roman"/>
          <w:b w:val="0"/>
          <w:bCs w:val="0"/>
          <w:color w:val="auto"/>
          <w:sz w:val="32"/>
          <w:szCs w:val="32"/>
          <w:lang w:val="en-US" w:eastAsia="zh-CN"/>
        </w:rPr>
        <w:t>全覆盖。药品和医用耗材带量采购平均降价50%以上，累计</w:t>
      </w:r>
      <w:r>
        <w:rPr>
          <w:rFonts w:hint="eastAsia" w:eastAsia="仿宋_GB2312" w:cs="Times New Roman"/>
          <w:b w:val="0"/>
          <w:bCs w:val="0"/>
          <w:color w:val="auto"/>
          <w:sz w:val="32"/>
          <w:szCs w:val="32"/>
          <w:lang w:val="en-US" w:eastAsia="zh-CN"/>
        </w:rPr>
        <w:t>为</w:t>
      </w:r>
      <w:r>
        <w:rPr>
          <w:rFonts w:hint="default" w:ascii="Times New Roman" w:hAnsi="Times New Roman" w:eastAsia="仿宋_GB2312" w:cs="Times New Roman"/>
          <w:b w:val="0"/>
          <w:bCs w:val="0"/>
          <w:color w:val="auto"/>
          <w:sz w:val="32"/>
          <w:szCs w:val="32"/>
          <w:lang w:val="en-US" w:eastAsia="zh-CN"/>
        </w:rPr>
        <w:t>患者</w:t>
      </w:r>
      <w:r>
        <w:rPr>
          <w:rFonts w:hint="eastAsia" w:eastAsia="仿宋_GB2312" w:cs="Times New Roman"/>
          <w:b w:val="0"/>
          <w:bCs w:val="0"/>
          <w:color w:val="auto"/>
          <w:sz w:val="32"/>
          <w:szCs w:val="32"/>
          <w:lang w:val="en-US" w:eastAsia="zh-CN"/>
        </w:rPr>
        <w:t>节约费用</w:t>
      </w:r>
      <w:r>
        <w:rPr>
          <w:rFonts w:hint="default" w:ascii="Times New Roman" w:hAnsi="Times New Roman" w:eastAsia="仿宋_GB2312" w:cs="Times New Roman"/>
          <w:b w:val="0"/>
          <w:bCs w:val="0"/>
          <w:color w:val="auto"/>
          <w:sz w:val="32"/>
          <w:szCs w:val="32"/>
          <w:lang w:val="en-US" w:eastAsia="zh-CN"/>
        </w:rPr>
        <w:t>1.5亿元。</w:t>
      </w:r>
      <w:r>
        <w:rPr>
          <w:rFonts w:hint="default" w:ascii="Times New Roman" w:hAnsi="Times New Roman" w:eastAsia="仿宋_GB2312" w:cs="Times New Roman"/>
          <w:b/>
          <w:bCs/>
          <w:color w:val="auto"/>
          <w:sz w:val="32"/>
          <w:szCs w:val="32"/>
          <w:lang w:val="en-US" w:eastAsia="zh-CN"/>
        </w:rPr>
        <w:t>“文化零陵”氛围更浓，</w:t>
      </w:r>
      <w:r>
        <w:rPr>
          <w:rFonts w:hint="default" w:ascii="Times New Roman" w:hAnsi="Times New Roman" w:eastAsia="仿宋_GB2312" w:cs="Times New Roman"/>
          <w:b w:val="0"/>
          <w:bCs w:val="0"/>
          <w:color w:val="auto"/>
          <w:sz w:val="32"/>
          <w:szCs w:val="32"/>
          <w:lang w:val="en-US" w:eastAsia="zh-CN"/>
        </w:rPr>
        <w:t>许家桥将军府修缮、周家大院古建筑群展示利用、文化馆数字非遗展厅等项目加快实施。开展送戏下乡、送书下乡、“非遗四进”活动148场，惠及群众10万人次。</w:t>
      </w:r>
    </w:p>
    <w:p w14:paraId="4CE95B04">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bookmarkStart w:id="3" w:name="OLE_LINK6"/>
      <w:r>
        <w:rPr>
          <w:rFonts w:hint="default" w:ascii="Times New Roman" w:hAnsi="Times New Roman" w:eastAsia="楷体_GB2312" w:cs="Times New Roman"/>
          <w:b/>
          <w:bCs/>
          <w:color w:val="auto"/>
          <w:sz w:val="32"/>
          <w:szCs w:val="32"/>
          <w:highlight w:val="none"/>
          <w:lang w:val="en-US" w:eastAsia="zh-CN"/>
        </w:rPr>
        <w:t>（六）安全底线牢牢守住，治理效能</w:t>
      </w:r>
      <w:bookmarkEnd w:id="3"/>
      <w:r>
        <w:rPr>
          <w:rFonts w:hint="default" w:ascii="Times New Roman" w:hAnsi="Times New Roman" w:eastAsia="楷体_GB2312" w:cs="Times New Roman"/>
          <w:b/>
          <w:bCs/>
          <w:color w:val="auto"/>
          <w:sz w:val="32"/>
          <w:szCs w:val="32"/>
          <w:highlight w:val="none"/>
          <w:lang w:val="en-US" w:eastAsia="zh-CN"/>
        </w:rPr>
        <w:t>持续提升</w:t>
      </w:r>
    </w:p>
    <w:p w14:paraId="5F0805E1">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highlight w:val="none"/>
          <w:lang w:val="en-US" w:eastAsia="zh-CN"/>
        </w:rPr>
        <w:t>1.</w:t>
      </w:r>
      <w:r>
        <w:rPr>
          <w:rStyle w:val="19"/>
          <w:rFonts w:hint="default" w:ascii="Times New Roman" w:hAnsi="Times New Roman" w:eastAsia="仿宋_GB2312" w:cs="Times New Roman"/>
          <w:b/>
          <w:bCs/>
          <w:color w:val="auto"/>
          <w:kern w:val="0"/>
          <w:sz w:val="32"/>
          <w:szCs w:val="32"/>
        </w:rPr>
        <w:t>安全生产形势平稳</w:t>
      </w:r>
      <w:r>
        <w:rPr>
          <w:rStyle w:val="19"/>
          <w:rFonts w:hint="default" w:ascii="Times New Roman" w:hAnsi="Times New Roman" w:eastAsia="仿宋_GB2312" w:cs="Times New Roman"/>
          <w:b/>
          <w:bCs/>
          <w:color w:val="auto"/>
          <w:kern w:val="0"/>
          <w:sz w:val="32"/>
          <w:szCs w:val="32"/>
          <w:lang w:eastAsia="zh-CN"/>
        </w:rPr>
        <w:t>。</w:t>
      </w:r>
      <w:r>
        <w:rPr>
          <w:rFonts w:hint="eastAsia" w:eastAsia="仿宋_GB2312" w:cs="Times New Roman"/>
          <w:b w:val="0"/>
          <w:bCs w:val="0"/>
          <w:color w:val="auto"/>
          <w:sz w:val="32"/>
          <w:szCs w:val="32"/>
          <w:lang w:val="en-US" w:eastAsia="zh-CN"/>
        </w:rPr>
        <w:t>高效</w:t>
      </w:r>
      <w:r>
        <w:rPr>
          <w:rFonts w:hint="default" w:ascii="Times New Roman" w:hAnsi="Times New Roman" w:eastAsia="仿宋_GB2312" w:cs="Times New Roman"/>
          <w:b w:val="0"/>
          <w:bCs w:val="0"/>
          <w:color w:val="auto"/>
          <w:sz w:val="32"/>
          <w:szCs w:val="32"/>
          <w:lang w:val="en-US" w:eastAsia="zh-CN"/>
        </w:rPr>
        <w:t>处置“1·31”粗苯泄漏事故，获生态环境部、应急管理部</w:t>
      </w:r>
      <w:r>
        <w:rPr>
          <w:rFonts w:hint="eastAsia" w:eastAsia="仿宋_GB2312" w:cs="Times New Roman"/>
          <w:b w:val="0"/>
          <w:bCs w:val="0"/>
          <w:color w:val="auto"/>
          <w:sz w:val="32"/>
          <w:szCs w:val="32"/>
          <w:lang w:val="en-US" w:eastAsia="zh-CN"/>
        </w:rPr>
        <w:t>典型推介。</w:t>
      </w:r>
      <w:r>
        <w:rPr>
          <w:rFonts w:hint="eastAsia" w:ascii="仿宋_GB2312" w:hAnsi="仿宋_GB2312" w:eastAsia="仿宋_GB2312" w:cs="仿宋_GB2312"/>
          <w:b w:val="0"/>
          <w:bCs w:val="0"/>
          <w:color w:val="auto"/>
          <w:sz w:val="32"/>
          <w:szCs w:val="32"/>
          <w:lang w:val="en-US" w:eastAsia="zh-CN"/>
        </w:rPr>
        <w:t>创新实施“执法+专家”联动机制，成功组建第一届应急管理专家库，聘任行业专家49人。</w:t>
      </w:r>
      <w:r>
        <w:rPr>
          <w:rFonts w:hint="default" w:ascii="Times New Roman" w:hAnsi="Times New Roman" w:eastAsia="仿宋_GB2312" w:cs="Times New Roman"/>
          <w:b w:val="0"/>
          <w:bCs w:val="0"/>
          <w:color w:val="auto"/>
          <w:sz w:val="32"/>
          <w:szCs w:val="32"/>
          <w:lang w:val="en-US" w:eastAsia="zh-CN"/>
        </w:rPr>
        <w:t>深入推进安全生产治本攻坚三年行动，消除安全隐患2941个，交通事故死亡人数同比下降13.63%，烟花爆竹领域连续5年“零事故”。成功销号25处地灾隐患点，完成7个地质灾害微治理项目。</w:t>
      </w:r>
    </w:p>
    <w:p w14:paraId="7A920ADD">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2.社会治理精准高效。</w:t>
      </w:r>
      <w:r>
        <w:rPr>
          <w:rFonts w:hint="default" w:ascii="Times New Roman" w:hAnsi="Times New Roman" w:eastAsia="仿宋_GB2312" w:cs="Times New Roman"/>
          <w:b w:val="0"/>
          <w:bCs w:val="0"/>
          <w:color w:val="auto"/>
          <w:sz w:val="32"/>
          <w:szCs w:val="32"/>
          <w:lang w:val="en-US" w:eastAsia="zh-CN"/>
        </w:rPr>
        <w:t>高质高效办理中央第三巡视组移交信访件506件、省委第十六巡视组移交信访件1377件，及时办结率均为100%。严格落实区级领导接访下访制度，成功化解疑难诉求283件、多年重复信访件44件，调处自然资源权属纠纷13起。充分发挥政法“五老”等人民调解力量，化解率达97%以上。深化“党建引领</w:t>
      </w:r>
      <w:r>
        <w:rPr>
          <w:rFonts w:hint="default" w:ascii="Times New Roman" w:hAnsi="Times New Roman" w:eastAsia="微软雅黑"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三务合一”小区治理模式，55个小区突出矛盾精准化解，38个小区9000余户居民拿到不动产权证。创新公安“4+1”巡防模式，承接市公安局“敏感案事件风险评估预警”创新试点工作。全区刑事案件、传统盗抢骗案件发案率分别下降13.37%、3.01%。</w:t>
      </w:r>
    </w:p>
    <w:p w14:paraId="0F5FC7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overflowPunct/>
        <w:bidi w:val="0"/>
        <w:adjustRightInd/>
        <w:snapToGrid/>
        <w:spacing w:before="0" w:beforeAutospacing="0" w:after="0" w:afterAutospacing="0" w:line="540" w:lineRule="exact"/>
        <w:ind w:left="0" w:leftChars="0" w:right="0" w:firstLine="643"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3.绿色发展成效明显。</w:t>
      </w:r>
      <w:r>
        <w:rPr>
          <w:rFonts w:hint="default" w:ascii="Times New Roman" w:hAnsi="Times New Roman" w:eastAsia="仿宋_GB2312" w:cs="Times New Roman"/>
          <w:b w:val="0"/>
          <w:bCs w:val="0"/>
          <w:color w:val="auto"/>
          <w:sz w:val="32"/>
          <w:szCs w:val="32"/>
          <w:lang w:val="en-US" w:eastAsia="zh-CN"/>
        </w:rPr>
        <w:t>“夏季攻势”72项省市任务年内办结。空气质量优良率综合指数改善幅度排名全市第1。饮用水水源水质优良率、断面水质达标率均为100%。土壤环境保持安全稳定。永州市建筑垃圾资源化利用项目投入运营，水埠头村、斑竹塘村锰矿区覆土平整基本完成。完成中央财政国土绿化示范项目4294.1亩、湘西南水土流失及石漠化综合治理项目9681亩，森林质量精准提升5172亩。</w:t>
      </w:r>
    </w:p>
    <w:p w14:paraId="31A825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overflowPunct/>
        <w:bidi w:val="0"/>
        <w:adjustRightInd/>
        <w:snapToGrid/>
        <w:spacing w:before="0" w:beforeAutospacing="0" w:after="0" w:afterAutospacing="0" w:line="540" w:lineRule="exact"/>
        <w:ind w:left="0" w:leftChars="0" w:right="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与此同时，国防动员和后备力量全面加强，工会、共青团、妇联、残联、工商联、文联、侨联、科协、慈善总会、红十字会等群团组织作用得到充分发挥，档案、人防、气象、水文、史志、对台、老龄、机关事务等工作</w:t>
      </w:r>
      <w:r>
        <w:rPr>
          <w:rFonts w:hint="default" w:ascii="Times New Roman" w:hAnsi="Times New Roman" w:eastAsia="仿宋_GB2312" w:cs="Times New Roman"/>
          <w:color w:val="auto"/>
          <w:sz w:val="32"/>
          <w:szCs w:val="32"/>
          <w:lang w:val="en-US" w:eastAsia="zh-CN"/>
        </w:rPr>
        <w:t>取得</w:t>
      </w:r>
      <w:r>
        <w:rPr>
          <w:rFonts w:hint="default" w:ascii="Times New Roman" w:hAnsi="Times New Roman" w:eastAsia="仿宋_GB2312" w:cs="Times New Roman"/>
          <w:color w:val="auto"/>
          <w:sz w:val="32"/>
          <w:szCs w:val="32"/>
        </w:rPr>
        <w:t>新进步。</w:t>
      </w:r>
    </w:p>
    <w:p w14:paraId="0085346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autoSpaceDE w:val="0"/>
        <w:autoSpaceDN w:val="0"/>
        <w:bidi w:val="0"/>
        <w:adjustRightInd/>
        <w:snapToGrid/>
        <w:spacing w:before="0" w:beforeAutospacing="0" w:after="0" w:afterAutospacing="0" w:line="540" w:lineRule="exact"/>
        <w:ind w:left="0" w:leftChars="0" w:firstLine="640" w:firstLineChars="200"/>
        <w:jc w:val="both"/>
        <w:textAlignment w:val="auto"/>
        <w:outlineLvl w:val="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各位代表！在肯定成绩的同时，我们也清醒看到前进道路上面临的困难和挑战</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发展不平衡、不充分的问题依旧突出，部分领域存在诸多短板。尤其是受超预期因素影响，以及我们工作中的不足，导致一些主要经济指标没有达到预期，“十四五”时期部分目标任务未能高质量完成。</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基础支撑与高质量发展要求还不适应，“一主一特”产业总量不大、分量不重，自主创新能力不强，对内对外开放水平不高，建成、在建和储备的重大项目不多，发展后劲仍显不足。</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受债务负担重、财政运转难等影响，</w:t>
      </w:r>
      <w:r>
        <w:rPr>
          <w:rFonts w:hint="default" w:ascii="Times New Roman" w:hAnsi="Times New Roman" w:eastAsia="仿宋_GB2312" w:cs="Times New Roman"/>
          <w:color w:val="auto"/>
          <w:sz w:val="32"/>
          <w:szCs w:val="32"/>
        </w:rPr>
        <w:t>民生领域还有不少短板，部分群众在就业、教育、医疗、交通、养老等方面还有不少“急难愁盼”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尤其是古城路至今尚未打通、河西片区部分居民对使用管道燃气的需求尚未满足，等等，对此，我们还需再接再厉、久久为功</w:t>
      </w:r>
      <w:r>
        <w:rPr>
          <w:rFonts w:hint="default" w:ascii="Times New Roman" w:hAnsi="Times New Roman" w:eastAsia="仿宋_GB2312" w:cs="Times New Roman"/>
          <w:color w:val="auto"/>
          <w:sz w:val="32"/>
          <w:szCs w:val="32"/>
          <w:lang w:eastAsia="zh-CN"/>
        </w:rPr>
        <w:t>。</w:t>
      </w:r>
    </w:p>
    <w:p w14:paraId="1B93762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val="0"/>
        <w:wordWrap/>
        <w:overflowPunct/>
        <w:topLinePunct/>
        <w:autoSpaceDE w:val="0"/>
        <w:autoSpaceDN w:val="0"/>
        <w:bidi w:val="0"/>
        <w:adjustRightInd/>
        <w:snapToGrid/>
        <w:spacing w:before="0" w:beforeAutospacing="0" w:after="0" w:afterAutospacing="0" w:line="540" w:lineRule="exact"/>
        <w:ind w:left="0" w:leftChars="0" w:firstLine="616" w:firstLineChars="200"/>
        <w:jc w:val="both"/>
        <w:textAlignment w:val="auto"/>
        <w:outlineLvl w:val="0"/>
        <w:rPr>
          <w:rFonts w:hint="default" w:ascii="Times New Roman" w:hAnsi="Times New Roman" w:eastAsia="黑体" w:cs="Times New Roman"/>
          <w:color w:val="auto"/>
          <w:spacing w:val="-6"/>
          <w:sz w:val="32"/>
          <w:szCs w:val="32"/>
          <w:highlight w:val="none"/>
          <w:lang w:val="en-US" w:eastAsia="zh-CN"/>
        </w:rPr>
      </w:pPr>
      <w:r>
        <w:rPr>
          <w:rFonts w:hint="default" w:ascii="Times New Roman" w:hAnsi="Times New Roman" w:eastAsia="黑体" w:cs="Times New Roman"/>
          <w:color w:val="auto"/>
          <w:spacing w:val="-6"/>
          <w:sz w:val="32"/>
          <w:szCs w:val="32"/>
          <w:highlight w:val="none"/>
          <w:lang w:val="en-US" w:eastAsia="zh-CN"/>
        </w:rPr>
        <w:t>二、2026年国民经济和社会发展主要预期目标和任务</w:t>
      </w:r>
    </w:p>
    <w:p w14:paraId="4229A55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val="0"/>
        <w:wordWrap/>
        <w:overflowPunct/>
        <w:topLinePunct/>
        <w:autoSpaceDE w:val="0"/>
        <w:autoSpaceDN w:val="0"/>
        <w:bidi w:val="0"/>
        <w:adjustRightInd/>
        <w:snapToGrid/>
        <w:spacing w:before="0" w:beforeAutospacing="0" w:after="0" w:afterAutospacing="0" w:line="540" w:lineRule="exact"/>
        <w:ind w:left="0" w:leftChars="0" w:firstLine="640" w:firstLineChars="200"/>
        <w:jc w:val="both"/>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2026年是“十五五”规划开局之年，做好全年工作意义重大。</w:t>
      </w:r>
    </w:p>
    <w:p w14:paraId="025DCBC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val="0"/>
        <w:wordWrap/>
        <w:overflowPunct/>
        <w:topLinePunct/>
        <w:autoSpaceDE w:val="0"/>
        <w:autoSpaceDN w:val="0"/>
        <w:bidi w:val="0"/>
        <w:adjustRightInd/>
        <w:snapToGrid/>
        <w:spacing w:before="0" w:beforeAutospacing="0" w:after="0" w:afterAutospacing="0" w:line="540" w:lineRule="exact"/>
        <w:ind w:left="0" w:leftChars="0" w:firstLine="643" w:firstLineChars="200"/>
        <w:jc w:val="both"/>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总体要求是：</w:t>
      </w:r>
      <w:r>
        <w:rPr>
          <w:rFonts w:hint="default" w:ascii="Times New Roman" w:hAnsi="Times New Roman" w:eastAsia="黑体" w:cs="Times New Roman"/>
          <w:color w:val="auto"/>
          <w:sz w:val="32"/>
          <w:szCs w:val="32"/>
          <w:lang w:val="en-US" w:eastAsia="zh-CN"/>
        </w:rPr>
        <w:t>以习近平新时代中国特色社会主义思想为指导，深入贯彻党的二十大和二十届历次全会精神，认真贯彻习近平总书记关于湖南工作的重要讲话和指示批示精神，全面落实省委十二届九次、市委六届八次全会精神，落实区委九届九次全会部署，完整准确全面贯彻新发展理念，加快构建新发展格局，着力推动高质量发展，坚持稳中求进工作总基调，全面落实“三高四新”美好蓝图，牢牢把握“六大战略支点”，聚焦打造“四区两地一枢纽”目标，加快构建“一核三带五支点”区域经济发展格局，更好统筹发展和安全，持续扩大内需、优化供给，做优增量、盘活存量，因地制宜发展新质生产力，加快融入全国统一大市场建设，持续防范化解重点领域风险，着力稳就业、稳企业、稳市场、稳预期，推动经济实现质的有效提升和量的合理增长，保持社会和谐稳定，实现“十五五”良好开局。</w:t>
      </w:r>
    </w:p>
    <w:p w14:paraId="5F48D1D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val="0"/>
        <w:wordWrap/>
        <w:overflowPunct/>
        <w:topLinePunct/>
        <w:autoSpaceDE w:val="0"/>
        <w:autoSpaceDN w:val="0"/>
        <w:bidi w:val="0"/>
        <w:adjustRightInd/>
        <w:snapToGrid/>
        <w:spacing w:before="0" w:beforeAutospacing="0" w:after="0" w:afterAutospacing="0" w:line="540" w:lineRule="exact"/>
        <w:ind w:left="0" w:leftChars="0" w:firstLine="640" w:firstLineChars="200"/>
        <w:jc w:val="both"/>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重点抓好七个方面的工作：</w:t>
      </w:r>
    </w:p>
    <w:p w14:paraId="100CED2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highlight w:val="none"/>
          <w:lang w:val="en-US" w:eastAsia="zh-CN"/>
        </w:rPr>
        <w:t>（一）激活产业动能，推动实体经济转型升级</w:t>
      </w:r>
      <w:r>
        <w:rPr>
          <w:rFonts w:hint="eastAsia" w:ascii="Times New Roman" w:hAnsi="Times New Roman" w:eastAsia="楷体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lang w:val="en-US" w:eastAsia="zh-CN"/>
        </w:rPr>
        <w:t>全年完成规模工业总产值269.5亿元以上，规模工业增加值同比增长7.5%以上。</w:t>
      </w:r>
    </w:p>
    <w:p w14:paraId="404C3AA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1.培育壮大稀土新材料产业，构筑核心竞争优势。</w:t>
      </w:r>
      <w:r>
        <w:rPr>
          <w:rFonts w:hint="default" w:ascii="Times New Roman" w:hAnsi="Times New Roman" w:eastAsia="仿宋_GB2312" w:cs="Times New Roman"/>
          <w:color w:val="auto"/>
          <w:sz w:val="32"/>
          <w:szCs w:val="32"/>
          <w:lang w:val="en-US" w:eastAsia="zh-CN"/>
        </w:rPr>
        <w:t>充分发挥伴生矿物料综合处置中心（一期）、弹性可扩展的三类工业用地以及全国首批辐射环评认证等竞争优势，全力争取中国稀土集团将全省独居石加工和冶炼分离产能有序整合到园区来，增强园区核心竞争力。</w:t>
      </w:r>
      <w:r>
        <w:rPr>
          <w:rFonts w:hint="eastAsia" w:ascii="Times New Roman" w:hAnsi="Times New Roman" w:eastAsia="仿宋_GB2312" w:cs="Times New Roman"/>
          <w:color w:val="auto"/>
          <w:sz w:val="32"/>
          <w:szCs w:val="32"/>
          <w:lang w:val="en-US" w:eastAsia="zh-CN"/>
        </w:rPr>
        <w:t>启动园区二期调扩区工作，</w:t>
      </w:r>
      <w:r>
        <w:rPr>
          <w:rFonts w:hint="default" w:ascii="Times New Roman" w:hAnsi="Times New Roman" w:eastAsia="仿宋_GB2312" w:cs="Times New Roman"/>
          <w:color w:val="auto"/>
          <w:sz w:val="32"/>
          <w:szCs w:val="32"/>
          <w:lang w:val="en-US" w:eastAsia="zh-CN"/>
        </w:rPr>
        <w:t>加快完善园区基础设施配套，支持共伴生矿处置中心投产运营，推动4万吨独居石加工利用、盛电新材料（二期）、循环科技等项目建成投产。同步促成1.5万吨氯化稀土分离、稀贵金属提纯等延链补链项目签约落地。积极推进与中核集团在天然核素提取、钽铌矿加工等共伴生矿综合利用领域的战略合作，力争取得实质性突破。深化稀土产业园管运分离改革，支持永稀公司建立</w:t>
      </w:r>
      <w:r>
        <w:rPr>
          <w:rFonts w:hint="eastAsia" w:ascii="Times New Roman" w:hAnsi="Times New Roman" w:eastAsia="仿宋_GB2312" w:cs="Times New Roman"/>
          <w:color w:val="auto"/>
          <w:sz w:val="32"/>
          <w:szCs w:val="32"/>
          <w:lang w:val="en-US" w:eastAsia="zh-CN"/>
        </w:rPr>
        <w:t>市场化运营机制</w:t>
      </w:r>
      <w:r>
        <w:rPr>
          <w:rFonts w:hint="default" w:ascii="Times New Roman" w:hAnsi="Times New Roman" w:eastAsia="仿宋_GB2312" w:cs="Times New Roman"/>
          <w:color w:val="auto"/>
          <w:sz w:val="32"/>
          <w:szCs w:val="32"/>
          <w:lang w:val="en-US" w:eastAsia="zh-CN"/>
        </w:rPr>
        <w:t>，通过股权</w:t>
      </w:r>
      <w:r>
        <w:rPr>
          <w:rFonts w:hint="eastAsia" w:ascii="Times New Roman" w:hAnsi="Times New Roman" w:eastAsia="仿宋_GB2312" w:cs="Times New Roman"/>
          <w:color w:val="auto"/>
          <w:sz w:val="32"/>
          <w:szCs w:val="32"/>
          <w:lang w:val="en-US" w:eastAsia="zh-CN"/>
        </w:rPr>
        <w:t>合作</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资金运营</w:t>
      </w:r>
      <w:r>
        <w:rPr>
          <w:rFonts w:hint="default" w:ascii="Times New Roman" w:hAnsi="Times New Roman" w:eastAsia="仿宋_GB2312" w:cs="Times New Roman"/>
          <w:color w:val="auto"/>
          <w:sz w:val="32"/>
          <w:szCs w:val="32"/>
          <w:lang w:val="en-US" w:eastAsia="zh-CN"/>
        </w:rPr>
        <w:t>等方式</w:t>
      </w:r>
      <w:r>
        <w:rPr>
          <w:rFonts w:hint="eastAsia" w:ascii="Times New Roman" w:hAnsi="Times New Roman" w:eastAsia="仿宋_GB2312" w:cs="Times New Roman"/>
          <w:color w:val="auto"/>
          <w:sz w:val="32"/>
          <w:szCs w:val="32"/>
          <w:lang w:val="en-US" w:eastAsia="zh-CN"/>
        </w:rPr>
        <w:t>，适度参与优质项目运营</w:t>
      </w:r>
      <w:r>
        <w:rPr>
          <w:rFonts w:hint="default" w:ascii="Times New Roman" w:hAnsi="Times New Roman" w:eastAsia="仿宋_GB2312" w:cs="Times New Roman"/>
          <w:color w:val="auto"/>
          <w:sz w:val="32"/>
          <w:szCs w:val="32"/>
          <w:lang w:val="en-US" w:eastAsia="zh-CN"/>
        </w:rPr>
        <w:t>，实现“以企建园、以业强园、以园兴企”。</w:t>
      </w:r>
    </w:p>
    <w:p w14:paraId="0DE45D0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2.大力推动锰系新材料产业转型，建设产业发展高地。</w:t>
      </w:r>
      <w:r>
        <w:rPr>
          <w:rFonts w:hint="default" w:ascii="Times New Roman" w:hAnsi="Times New Roman" w:eastAsia="仿宋_GB2312" w:cs="Times New Roman"/>
          <w:color w:val="auto"/>
          <w:sz w:val="32"/>
          <w:szCs w:val="32"/>
          <w:lang w:val="en-US" w:eastAsia="zh-CN"/>
        </w:rPr>
        <w:t>坚定不移增强对锰矿资源的掌控力，大力推进矿权整治整合</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锰矿采选技术升级，适度参与锰系新材料产业链尖端项目运营。全力支持联汇新材料、科瑞锰业、中设新材料、鑫城锰业等涉锰企业满负荷生产，支持百信锰业复工复产，力争锰产业年产值突破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0亿元。推动鑫城锰业与湘潭电化深度合作，争取年产5万吨四氧化三锰项目落地实施。聚焦高纯硫酸锰、富锂锰基、磷酸锰铁锂等锰基新能源材料方向，引进投资超亿元的企业1家以上，打造湘南地区具有重要影响力的锰基新材料产业高地。</w:t>
      </w:r>
      <w:r>
        <w:rPr>
          <w:rFonts w:hint="eastAsia" w:ascii="仿宋_GB2312" w:hAnsi="仿宋_GB2312" w:eastAsia="仿宋_GB2312" w:cs="仿宋_GB2312"/>
          <w:color w:val="auto"/>
          <w:sz w:val="32"/>
          <w:szCs w:val="32"/>
          <w:lang w:val="en-US" w:eastAsia="zh-CN"/>
        </w:rPr>
        <w:t>推动水埠头矿区大型绿色矿山开工建设、污水处理厂正式投运。</w:t>
      </w:r>
    </w:p>
    <w:p w14:paraId="5A947B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overflowPunct/>
        <w:bidi w:val="0"/>
        <w:adjustRightInd/>
        <w:snapToGrid/>
        <w:spacing w:before="0" w:beforeAutospacing="0" w:after="0" w:afterAutospacing="0" w:line="540" w:lineRule="exact"/>
        <w:ind w:left="0" w:leftChars="0" w:right="0" w:firstLine="642"/>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3.不断夯实河西工业园基础，培育特色产业集群。</w:t>
      </w:r>
      <w:r>
        <w:rPr>
          <w:rFonts w:hint="default" w:ascii="Times New Roman" w:hAnsi="Times New Roman" w:eastAsia="仿宋_GB2312" w:cs="Times New Roman"/>
          <w:color w:val="auto"/>
          <w:sz w:val="32"/>
          <w:szCs w:val="32"/>
          <w:lang w:val="en-US" w:eastAsia="zh-CN"/>
        </w:rPr>
        <w:t>充分发挥全区“特优中药材”种植传统与生态优势，依托大健康产业联盟平台，推动“永州市特优中药材提取”集群与“中成药复杂作用解析”省级重点实验室协同创新。支持时代阳光、永靛中药等企业做大做强，助力德诺贝莱提质扩能，打造特色鲜明的大健康产业集聚区。支持恒飞生物联合深圳美凯特等企业合作共建，打造全省CDM、生物酶等细分领域头部企业。做大做强智能康养电器，支持富润电器与星曼科技深度合作，引入小米、美的等更多供应链资源，加快建设区域康养电器研发制造基地，打造具有特色的大健康家电产业园。培育“直播+制造”新业态，建设数字化营销中心，赋能企业品牌与数字化升级。</w:t>
      </w:r>
    </w:p>
    <w:p w14:paraId="39A295C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highlight w:val="none"/>
          <w:lang w:val="en-US" w:eastAsia="zh-CN"/>
        </w:rPr>
        <w:t>（二）深挖内需潜力，持续扩大市场需求规模</w:t>
      </w:r>
      <w:r>
        <w:rPr>
          <w:rFonts w:hint="eastAsia" w:ascii="Times New Roman" w:hAnsi="Times New Roman" w:eastAsia="楷体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lang w:val="en-US" w:eastAsia="zh-CN"/>
        </w:rPr>
        <w:t>全年完成地区生产总值330亿元以上，同比增长5.5%以上。</w:t>
      </w:r>
    </w:p>
    <w:p w14:paraId="526450F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1.激发消费潜能。</w:t>
      </w:r>
      <w:r>
        <w:rPr>
          <w:rFonts w:hint="eastAsia" w:ascii="仿宋_GB2312" w:hAnsi="仿宋_GB2312" w:eastAsia="仿宋_GB2312" w:cs="仿宋_GB2312"/>
          <w:color w:val="auto"/>
          <w:sz w:val="32"/>
          <w:szCs w:val="32"/>
          <w:lang w:val="en-US" w:eastAsia="zh-CN"/>
        </w:rPr>
        <w:t>用好用活“两新”政策，深入实施提振消费专项行动，持续打造区域消费中心城市。</w:t>
      </w:r>
      <w:r>
        <w:rPr>
          <w:rFonts w:hint="default" w:ascii="Times New Roman" w:hAnsi="Times New Roman" w:eastAsia="仿宋_GB2312" w:cs="Times New Roman"/>
          <w:b w:val="0"/>
          <w:bCs w:val="0"/>
          <w:color w:val="auto"/>
          <w:sz w:val="32"/>
          <w:szCs w:val="32"/>
          <w:highlight w:val="none"/>
          <w:lang w:val="en-US" w:eastAsia="zh-CN"/>
        </w:rPr>
        <w:t>突出汽车消费，加快新能源汽车广场、二手车市场建设，打造百亿级汽车产业园区。</w:t>
      </w:r>
      <w:r>
        <w:rPr>
          <w:rFonts w:hint="eastAsia" w:ascii="仿宋_GB2312" w:hAnsi="仿宋_GB2312" w:eastAsia="仿宋_GB2312" w:cs="仿宋_GB2312"/>
          <w:color w:val="auto"/>
          <w:sz w:val="32"/>
          <w:szCs w:val="32"/>
          <w:lang w:val="en-US" w:eastAsia="zh-CN"/>
        </w:rPr>
        <w:t>实施核心商圈存量资产焕新计划，</w:t>
      </w:r>
      <w:r>
        <w:rPr>
          <w:rFonts w:hint="default" w:ascii="Times New Roman" w:hAnsi="Times New Roman" w:eastAsia="仿宋_GB2312" w:cs="Times New Roman"/>
          <w:b w:val="0"/>
          <w:bCs w:val="0"/>
          <w:color w:val="auto"/>
          <w:sz w:val="32"/>
          <w:szCs w:val="32"/>
          <w:highlight w:val="none"/>
          <w:lang w:val="en-US" w:eastAsia="zh-CN"/>
        </w:rPr>
        <w:t>提升零陵古城、春天广场、永州商业城等商业载体品质</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积极培育夜间经济、文旅休闲、街区市集等多元消费场景</w:t>
      </w:r>
      <w:r>
        <w:rPr>
          <w:rFonts w:hint="default" w:ascii="Times New Roman" w:hAnsi="Times New Roman" w:eastAsia="仿宋_GB2312" w:cs="Times New Roman"/>
          <w:b w:val="0"/>
          <w:bCs w:val="0"/>
          <w:color w:val="auto"/>
          <w:sz w:val="32"/>
          <w:szCs w:val="32"/>
          <w:highlight w:val="none"/>
          <w:lang w:val="en-US" w:eastAsia="zh-CN"/>
        </w:rPr>
        <w:t>。推动建材市场提档升级</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推动红星美凯龙家居生活广场转型升级，着力打造全市最具竞争力的家居建材综合销售市场。</w:t>
      </w:r>
      <w:r>
        <w:rPr>
          <w:rFonts w:hint="default" w:ascii="Times New Roman" w:hAnsi="Times New Roman" w:eastAsia="仿宋_GB2312" w:cs="Times New Roman"/>
          <w:b w:val="0"/>
          <w:bCs w:val="0"/>
          <w:color w:val="auto"/>
          <w:sz w:val="32"/>
          <w:szCs w:val="32"/>
          <w:highlight w:val="none"/>
          <w:lang w:val="en-US" w:eastAsia="zh-CN"/>
        </w:rPr>
        <w:t>实施电商提质增效工程，完善城乡物流配送体系，吸引电商龙头企业入驻。规划建设绿色智能</w:t>
      </w:r>
      <w:r>
        <w:rPr>
          <w:rFonts w:hint="eastAsia" w:ascii="Times New Roman" w:hAnsi="Times New Roman" w:eastAsia="仿宋_GB2312" w:cs="Times New Roman"/>
          <w:b w:val="0"/>
          <w:bCs w:val="0"/>
          <w:color w:val="auto"/>
          <w:sz w:val="32"/>
          <w:szCs w:val="32"/>
          <w:highlight w:val="none"/>
          <w:lang w:val="en-US" w:eastAsia="zh-CN"/>
        </w:rPr>
        <w:t>低碳</w:t>
      </w:r>
      <w:r>
        <w:rPr>
          <w:rFonts w:hint="default" w:ascii="Times New Roman" w:hAnsi="Times New Roman" w:eastAsia="仿宋_GB2312" w:cs="Times New Roman"/>
          <w:b w:val="0"/>
          <w:bCs w:val="0"/>
          <w:color w:val="auto"/>
          <w:sz w:val="32"/>
          <w:szCs w:val="32"/>
          <w:highlight w:val="none"/>
          <w:lang w:val="en-US" w:eastAsia="zh-CN"/>
        </w:rPr>
        <w:t>物流集配中心和农产品智慧仓储商贸中心，加快交通物流园、江洋仓储建设，完成</w:t>
      </w:r>
      <w:r>
        <w:rPr>
          <w:rFonts w:hint="eastAsia" w:ascii="Times New Roman" w:hAnsi="Times New Roman" w:eastAsia="仿宋_GB2312" w:cs="Times New Roman"/>
          <w:b w:val="0"/>
          <w:bCs w:val="0"/>
          <w:color w:val="auto"/>
          <w:sz w:val="32"/>
          <w:szCs w:val="32"/>
          <w:highlight w:val="none"/>
          <w:lang w:val="en-US" w:eastAsia="zh-CN"/>
        </w:rPr>
        <w:t>商业城</w:t>
      </w:r>
      <w:r>
        <w:rPr>
          <w:rFonts w:hint="default" w:ascii="Times New Roman" w:hAnsi="Times New Roman" w:eastAsia="仿宋_GB2312" w:cs="Times New Roman"/>
          <w:b w:val="0"/>
          <w:bCs w:val="0"/>
          <w:color w:val="auto"/>
          <w:sz w:val="32"/>
          <w:szCs w:val="32"/>
          <w:highlight w:val="none"/>
          <w:lang w:val="en-US" w:eastAsia="zh-CN"/>
        </w:rPr>
        <w:t>农产品市场搬迁，打造湘粤桂结合部物流中转中心。深入开展“放心消费在零陵”活动，力争全年社会消费品零售总额125亿元以上，同比增长6%以上</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新增限上商贸企业15家以上，批零住餐销售额增长10%以上。</w:t>
      </w:r>
    </w:p>
    <w:p w14:paraId="5203C73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2.扩大有效投资。</w:t>
      </w:r>
      <w:r>
        <w:rPr>
          <w:rFonts w:hint="default" w:ascii="Times New Roman" w:hAnsi="Times New Roman" w:eastAsia="仿宋_GB2312" w:cs="Times New Roman"/>
          <w:b w:val="0"/>
          <w:bCs w:val="0"/>
          <w:color w:val="auto"/>
          <w:sz w:val="32"/>
          <w:szCs w:val="32"/>
          <w:highlight w:val="none"/>
          <w:lang w:val="en-US" w:eastAsia="zh-CN"/>
        </w:rPr>
        <w:t>聚焦政策研究与争取，重点围绕城市更新、农业水利、交通运输、社会事业、环境治理等领域谋划储备一批重大项目，确保在库项目100个以上。全年争取中央预算内资金2亿元以上、超长期国债2亿元以上、专项债和一般债12亿元以上。积极探索资源禀赋招商、产业链招商、基金招商等招商新路子，持续做好“湘商回归”“校友回湘”工作，力争全年引进5000万元以上项目30个以上、合同引资50亿元以上，新注册湘商项目15个以上，实际到位资金30亿元以上。探索建立政府和社会资本合作新机制，设立企业优化扩能升级专项基金，充分释放现有市场主体投资活力，力争民间投资增长1</w:t>
      </w:r>
      <w:r>
        <w:rPr>
          <w:rFonts w:hint="eastAsia"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lang w:val="en-US" w:eastAsia="zh-CN"/>
        </w:rPr>
        <w:t>%以上。持续加大项目建设力度，滚动实施重点项目120个以上，完成年度投资130亿元以上</w:t>
      </w:r>
      <w:r>
        <w:rPr>
          <w:rFonts w:hint="eastAsia" w:ascii="Times New Roman" w:hAnsi="Times New Roman" w:eastAsia="仿宋_GB2312" w:cs="Times New Roman"/>
          <w:b w:val="0"/>
          <w:bCs w:val="0"/>
          <w:color w:val="auto"/>
          <w:sz w:val="32"/>
          <w:szCs w:val="32"/>
          <w:highlight w:val="none"/>
          <w:lang w:val="en-US" w:eastAsia="zh-CN"/>
        </w:rPr>
        <w:t>，同比增长5.5%以上</w:t>
      </w:r>
      <w:r>
        <w:rPr>
          <w:rFonts w:hint="default" w:ascii="Times New Roman" w:hAnsi="Times New Roman" w:eastAsia="仿宋_GB2312" w:cs="Times New Roman"/>
          <w:b w:val="0"/>
          <w:bCs w:val="0"/>
          <w:color w:val="auto"/>
          <w:sz w:val="32"/>
          <w:szCs w:val="32"/>
          <w:highlight w:val="none"/>
          <w:lang w:val="en-US" w:eastAsia="zh-CN"/>
        </w:rPr>
        <w:t>。加快燃气发电、智能康养器材产业园生产基地等重大项目建设，力争110</w:t>
      </w:r>
      <w:r>
        <w:rPr>
          <w:rFonts w:hint="eastAsia" w:ascii="Times New Roman" w:hAnsi="Times New Roman" w:eastAsia="仿宋_GB2312" w:cs="Times New Roman"/>
          <w:b w:val="0"/>
          <w:bCs w:val="0"/>
          <w:color w:val="auto"/>
          <w:sz w:val="32"/>
          <w:szCs w:val="32"/>
          <w:highlight w:val="none"/>
          <w:lang w:val="en-US" w:eastAsia="zh-CN"/>
        </w:rPr>
        <w:t>KV</w:t>
      </w:r>
      <w:r>
        <w:rPr>
          <w:rFonts w:hint="default" w:ascii="Times New Roman" w:hAnsi="Times New Roman" w:eastAsia="仿宋_GB2312" w:cs="Times New Roman"/>
          <w:b w:val="0"/>
          <w:bCs w:val="0"/>
          <w:color w:val="auto"/>
          <w:sz w:val="32"/>
          <w:szCs w:val="32"/>
          <w:highlight w:val="none"/>
          <w:lang w:val="en-US" w:eastAsia="zh-CN"/>
        </w:rPr>
        <w:t>东山发电站建成投用，</w:t>
      </w:r>
      <w:r>
        <w:rPr>
          <w:rFonts w:hint="eastAsia" w:ascii="仿宋_GB2312" w:hAnsi="仿宋_GB2312" w:eastAsia="仿宋_GB2312" w:cs="仿宋_GB2312"/>
          <w:b w:val="0"/>
          <w:bCs w:val="0"/>
          <w:strike w:val="0"/>
          <w:dstrike w:val="0"/>
          <w:color w:val="auto"/>
          <w:sz w:val="32"/>
          <w:szCs w:val="32"/>
          <w:lang w:val="en-US" w:eastAsia="zh-CN"/>
        </w:rPr>
        <w:t>永州港零陵港区</w:t>
      </w:r>
      <w:r>
        <w:rPr>
          <w:rFonts w:hint="eastAsia" w:ascii="仿宋_GB2312" w:eastAsia="仿宋_GB2312" w:cs="仿宋_GB2312"/>
          <w:color w:val="auto"/>
          <w:sz w:val="32"/>
          <w:szCs w:val="32"/>
          <w:shd w:val="clear" w:color="auto" w:fill="FFFFFF"/>
        </w:rPr>
        <w:t>、</w:t>
      </w:r>
      <w:r>
        <w:rPr>
          <w:rFonts w:hint="eastAsia" w:ascii="仿宋_GB2312" w:eastAsia="仿宋_GB2312" w:cs="仿宋_GB2312"/>
          <w:color w:val="auto"/>
          <w:sz w:val="32"/>
          <w:szCs w:val="32"/>
          <w:shd w:val="clear" w:color="auto" w:fill="FFFFFF"/>
          <w:lang w:val="en-US" w:eastAsia="zh-CN"/>
        </w:rPr>
        <w:t>湘江三级航道、永州南环</w:t>
      </w:r>
      <w:r>
        <w:rPr>
          <w:rFonts w:hint="eastAsia" w:ascii="仿宋_GB2312" w:eastAsia="仿宋_GB2312" w:cs="仿宋_GB2312"/>
          <w:color w:val="auto"/>
          <w:sz w:val="32"/>
          <w:szCs w:val="32"/>
          <w:shd w:val="clear" w:color="auto" w:fill="FFFFFF"/>
        </w:rPr>
        <w:t>高速、湘桂运河等重大</w:t>
      </w:r>
      <w:r>
        <w:rPr>
          <w:rFonts w:hint="eastAsia" w:ascii="仿宋_GB2312" w:eastAsia="仿宋_GB2312" w:cs="仿宋_GB2312"/>
          <w:color w:val="auto"/>
          <w:sz w:val="32"/>
          <w:szCs w:val="32"/>
          <w:shd w:val="clear" w:color="auto" w:fill="FFFFFF"/>
          <w:lang w:val="en-US" w:eastAsia="zh-CN"/>
        </w:rPr>
        <w:t>项目</w:t>
      </w:r>
      <w:r>
        <w:rPr>
          <w:rFonts w:hint="eastAsia" w:ascii="仿宋_GB2312" w:eastAsia="仿宋_GB2312" w:cs="仿宋_GB2312"/>
          <w:color w:val="auto"/>
          <w:sz w:val="32"/>
          <w:szCs w:val="32"/>
          <w:shd w:val="clear" w:color="auto" w:fill="FFFFFF"/>
        </w:rPr>
        <w:t>前期工作取得新</w:t>
      </w:r>
      <w:r>
        <w:rPr>
          <w:rFonts w:hint="eastAsia" w:ascii="仿宋_GB2312" w:eastAsia="仿宋_GB2312" w:cs="仿宋_GB2312"/>
          <w:color w:val="auto"/>
          <w:sz w:val="32"/>
          <w:szCs w:val="32"/>
          <w:shd w:val="clear" w:color="auto" w:fill="FFFFFF"/>
          <w:lang w:val="en-US" w:eastAsia="zh-CN"/>
        </w:rPr>
        <w:t>进展</w:t>
      </w:r>
      <w:r>
        <w:rPr>
          <w:rFonts w:hint="default" w:ascii="Times New Roman" w:hAnsi="Times New Roman" w:eastAsia="仿宋_GB2312" w:cs="Times New Roman"/>
          <w:b w:val="0"/>
          <w:bCs w:val="0"/>
          <w:color w:val="auto"/>
          <w:sz w:val="32"/>
          <w:szCs w:val="32"/>
          <w:highlight w:val="none"/>
          <w:lang w:val="en-US" w:eastAsia="zh-CN"/>
        </w:rPr>
        <w:t>，争取何仙观水库年内开工建设。</w:t>
      </w:r>
    </w:p>
    <w:p w14:paraId="3478A0A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3.稳定外贸增长。</w:t>
      </w:r>
      <w:r>
        <w:rPr>
          <w:rFonts w:hint="default" w:ascii="Times New Roman" w:hAnsi="Times New Roman" w:eastAsia="仿宋_GB2312" w:cs="Times New Roman"/>
          <w:color w:val="auto"/>
          <w:sz w:val="32"/>
          <w:szCs w:val="32"/>
          <w:shd w:val="clear" w:color="auto" w:fill="FFFFFF"/>
          <w:lang w:val="en-US" w:eastAsia="zh-CN"/>
        </w:rPr>
        <w:t>依托永州国际陆港深度融入东盟自贸区、粤港澳大湾区市场，大力推动外向型优势产业发展。深入实施外贸保稳提质工程，支持古郡贸易公司、腾运贸易公司扩大对非贸易业务、拓展“一带一路”订单，实现年度贸易额3亿元以上。抢抓全省二手车出口先机，加快发展跨境电商、二手车出口新业态，力争实现二手车出口零的突破。</w:t>
      </w:r>
      <w:r>
        <w:rPr>
          <w:rFonts w:hint="default" w:ascii="Times New Roman" w:hAnsi="Times New Roman" w:eastAsia="仿宋_GB2312" w:cs="Times New Roman"/>
          <w:color w:val="auto"/>
          <w:sz w:val="32"/>
          <w:szCs w:val="32"/>
          <w:shd w:val="clear" w:color="auto" w:fill="FFFFFF"/>
        </w:rPr>
        <w:t>深入落实省“蔬十条”</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力争蔬菜出口额达到15亿元以上。</w:t>
      </w:r>
      <w:r>
        <w:rPr>
          <w:rFonts w:hint="default" w:ascii="Times New Roman" w:hAnsi="Times New Roman" w:eastAsia="仿宋_GB2312" w:cs="Times New Roman"/>
          <w:color w:val="auto"/>
          <w:sz w:val="32"/>
          <w:szCs w:val="32"/>
          <w:shd w:val="clear" w:color="auto" w:fill="FFFFFF"/>
        </w:rPr>
        <w:t>支持德诺贝莱、美源达等企业</w:t>
      </w:r>
      <w:r>
        <w:rPr>
          <w:rFonts w:hint="default" w:ascii="Times New Roman" w:hAnsi="Times New Roman" w:eastAsia="仿宋_GB2312" w:cs="Times New Roman"/>
          <w:color w:val="auto"/>
          <w:sz w:val="32"/>
          <w:szCs w:val="32"/>
          <w:shd w:val="clear" w:color="auto" w:fill="FFFFFF"/>
          <w:lang w:val="en-US" w:eastAsia="zh-CN"/>
        </w:rPr>
        <w:t>拓展海外</w:t>
      </w:r>
      <w:r>
        <w:rPr>
          <w:rFonts w:hint="default" w:ascii="Times New Roman" w:hAnsi="Times New Roman" w:eastAsia="仿宋_GB2312" w:cs="Times New Roman"/>
          <w:color w:val="auto"/>
          <w:sz w:val="32"/>
          <w:szCs w:val="32"/>
          <w:shd w:val="clear" w:color="auto" w:fill="FFFFFF"/>
        </w:rPr>
        <w:t>市场，</w:t>
      </w:r>
      <w:r>
        <w:rPr>
          <w:rFonts w:hint="default" w:ascii="Times New Roman" w:hAnsi="Times New Roman" w:eastAsia="仿宋_GB2312" w:cs="Times New Roman"/>
          <w:color w:val="auto"/>
          <w:sz w:val="32"/>
          <w:szCs w:val="32"/>
          <w:shd w:val="clear" w:color="auto" w:fill="FFFFFF"/>
          <w:lang w:val="en-US" w:eastAsia="zh-CN"/>
        </w:rPr>
        <w:t>支持伍子醉、九州木业等新办外贸资质企业尽快开展外贸业务。力争全年实现外贸进出口总额超21亿元，同比增长8%以上。</w:t>
      </w:r>
    </w:p>
    <w:p w14:paraId="4A39D2C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楷体_GB2312" w:cs="Times New Roman"/>
          <w:b/>
          <w:bCs/>
          <w:color w:val="auto"/>
          <w:sz w:val="32"/>
          <w:szCs w:val="32"/>
          <w:highlight w:val="none"/>
          <w:lang w:val="en-US" w:eastAsia="zh-CN"/>
        </w:rPr>
        <w:t>（三）夯实“三农”根基，全面推进乡村振兴落地</w:t>
      </w:r>
      <w:r>
        <w:rPr>
          <w:rFonts w:hint="eastAsia" w:ascii="Times New Roman" w:hAnsi="Times New Roman" w:eastAsia="楷体_GB2312" w:cs="Times New Roman"/>
          <w:b/>
          <w:bCs/>
          <w:color w:val="auto"/>
          <w:sz w:val="32"/>
          <w:szCs w:val="32"/>
          <w:highlight w:val="none"/>
          <w:lang w:val="en-US" w:eastAsia="zh-CN"/>
        </w:rPr>
        <w:t>。</w:t>
      </w:r>
      <w:r>
        <w:rPr>
          <w:rFonts w:hint="eastAsia" w:ascii="Times New Roman" w:hAnsi="Times New Roman" w:eastAsia="仿宋_GB2312" w:cs="Times New Roman"/>
          <w:b w:val="0"/>
          <w:bCs w:val="0"/>
          <w:strike w:val="0"/>
          <w:dstrike w:val="0"/>
          <w:color w:val="auto"/>
          <w:sz w:val="32"/>
          <w:szCs w:val="32"/>
          <w:lang w:val="en-US" w:eastAsia="zh-CN"/>
        </w:rPr>
        <w:t>全年完成农林牧渔总产值122亿元以上，同比增长4.1%以上。</w:t>
      </w:r>
    </w:p>
    <w:p w14:paraId="73AFAA4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1.筑牢农业基础，坚守粮食安全底线。</w:t>
      </w:r>
      <w:r>
        <w:rPr>
          <w:rFonts w:hint="default" w:ascii="Times New Roman" w:hAnsi="Times New Roman" w:eastAsia="仿宋_GB2312" w:cs="Times New Roman"/>
          <w:b w:val="0"/>
          <w:bCs w:val="0"/>
          <w:strike w:val="0"/>
          <w:dstrike w:val="0"/>
          <w:color w:val="auto"/>
          <w:sz w:val="32"/>
          <w:szCs w:val="32"/>
          <w:lang w:val="en-US" w:eastAsia="zh-CN"/>
        </w:rPr>
        <w:t>全年完成耕地恢复3000亩，新建高标准农田2.03万亩，确保粮食播种面积稳定在86万亩以上、总产量37万吨以上。全力保障“菜篮子”产品有效供给，落实蔬菜种植面积45万亩以上、油料面积24万亩以上、水果面积22.5万亩以上，稳定生猪出栏85万头以上。构建覆盖全程、便捷高效的农业社会化服务体系，力争全区主要农作物综合机械化率提升至70%，水稻耕种收综合机械化率90%以上。</w:t>
      </w:r>
    </w:p>
    <w:p w14:paraId="5AD65D1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2.做强农业产业，提升产业发展能级。</w:t>
      </w:r>
      <w:r>
        <w:rPr>
          <w:rFonts w:hint="default" w:ascii="Times New Roman" w:hAnsi="Times New Roman" w:eastAsia="仿宋_GB2312" w:cs="Times New Roman"/>
          <w:b w:val="0"/>
          <w:bCs w:val="0"/>
          <w:color w:val="auto"/>
          <w:sz w:val="32"/>
          <w:szCs w:val="32"/>
          <w:lang w:val="en-US" w:eastAsia="zh-CN"/>
        </w:rPr>
        <w:t>强化招商引资和项目建设，力争引进亿元以上农业产业项目1个、5000万元以上项目4个，每个乡镇招引1</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2个500万元以上项目，下决心打造1</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个特色优势产业和拳头产品。新增“千字号”基地3个以上，每个乡镇至少建成1个面积超200亩的特色农业产业示范基地。支持异蛇产业向药用、保健等高附加值领域转型，推动禧勤蛋鸡（二期）、玲琴鸭业（二期）、温氏邮亭圩养殖小区等项目建成投产。围绕蔬菜、油茶、柑橘、竹木等优势资源，力争引进1-2家精深加工龙头企业，全年新增规上农业企业3家、省市级农业产业化龙头企业2家。推动林下经济加快发展，</w:t>
      </w:r>
      <w:r>
        <w:rPr>
          <w:rFonts w:hint="default" w:ascii="Times New Roman" w:hAnsi="Times New Roman" w:eastAsia="仿宋_GB2312" w:cs="Times New Roman"/>
          <w:color w:val="auto"/>
          <w:sz w:val="32"/>
          <w:szCs w:val="32"/>
        </w:rPr>
        <w:t>每个林场培育1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2个特色林下经济种</w:t>
      </w:r>
      <w:r>
        <w:rPr>
          <w:rFonts w:hint="default" w:ascii="Times New Roman" w:hAnsi="Times New Roman" w:eastAsia="仿宋_GB2312" w:cs="Times New Roman"/>
          <w:color w:val="auto"/>
          <w:sz w:val="32"/>
          <w:szCs w:val="32"/>
          <w:lang w:val="en-US" w:eastAsia="zh-CN"/>
        </w:rPr>
        <w:t>养</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b w:val="0"/>
          <w:bCs w:val="0"/>
          <w:color w:val="auto"/>
          <w:sz w:val="32"/>
          <w:szCs w:val="32"/>
          <w:lang w:val="en-US" w:eastAsia="zh-CN"/>
        </w:rPr>
        <w:t>。全力支持水口山“黄牛小镇”建设，支持各乡镇发展“一镇一特、一村一品”特色产业。</w:t>
      </w:r>
    </w:p>
    <w:p w14:paraId="4D711F2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3.拓宽收入渠道，促进农民增收致富。</w:t>
      </w:r>
      <w:r>
        <w:rPr>
          <w:rFonts w:hint="default" w:ascii="Times New Roman" w:hAnsi="Times New Roman" w:eastAsia="仿宋_GB2312" w:cs="Times New Roman"/>
          <w:b w:val="0"/>
          <w:bCs w:val="0"/>
          <w:color w:val="auto"/>
          <w:sz w:val="32"/>
          <w:szCs w:val="32"/>
          <w:highlight w:val="none"/>
          <w:lang w:val="en-US" w:eastAsia="zh-CN"/>
        </w:rPr>
        <w:t>持续巩固拓展脱贫攻坚成果，坚决守住不发生规模性返贫致贫底线。大力发展新型农村集体经济，优化村集体企业运行机制，实施一批村集体经济扶持项目。加强农民职业技能培训与产业指导，鼓励高校毕业生、退役军人、农民工等返乡创业，新培育家庭农场10家以上。</w:t>
      </w:r>
      <w:r>
        <w:rPr>
          <w:rFonts w:hint="eastAsia" w:ascii="仿宋_GB2312" w:hAnsi="仿宋_GB2312" w:eastAsia="仿宋_GB2312" w:cs="仿宋_GB2312"/>
          <w:bCs/>
          <w:color w:val="auto"/>
          <w:kern w:val="0"/>
          <w:sz w:val="32"/>
          <w:szCs w:val="32"/>
          <w:lang w:val="en-US" w:eastAsia="zh-CN"/>
        </w:rPr>
        <w:t>持续推进</w:t>
      </w:r>
      <w:r>
        <w:rPr>
          <w:rFonts w:hint="eastAsia" w:ascii="仿宋_GB2312" w:hAnsi="仿宋_GB2312" w:eastAsia="仿宋_GB2312" w:cs="仿宋_GB2312"/>
          <w:color w:val="auto"/>
          <w:sz w:val="32"/>
          <w:szCs w:val="32"/>
          <w:lang w:val="en-US" w:eastAsia="zh-CN"/>
        </w:rPr>
        <w:t>乡村振兴</w:t>
      </w:r>
      <w:r>
        <w:rPr>
          <w:rFonts w:hint="eastAsia" w:ascii="仿宋_GB2312" w:hAnsi="仿宋_GB2312" w:eastAsia="仿宋_GB2312" w:cs="仿宋_GB2312"/>
          <w:bCs/>
          <w:color w:val="auto"/>
          <w:kern w:val="0"/>
          <w:sz w:val="32"/>
          <w:szCs w:val="32"/>
          <w:lang w:val="en-US" w:eastAsia="zh-CN"/>
        </w:rPr>
        <w:t>就业帮扶车间建设，优先吸纳农村弱劳力、脱贫劳动力就近就地就业。</w:t>
      </w:r>
      <w:r>
        <w:rPr>
          <w:rFonts w:hint="default" w:ascii="Times New Roman" w:hAnsi="Times New Roman" w:eastAsia="仿宋_GB2312" w:cs="Times New Roman"/>
          <w:b w:val="0"/>
          <w:bCs w:val="0"/>
          <w:color w:val="auto"/>
          <w:sz w:val="32"/>
          <w:szCs w:val="32"/>
          <w:highlight w:val="none"/>
          <w:lang w:val="en-US" w:eastAsia="zh-CN"/>
        </w:rPr>
        <w:t>支持群众利用闲置宅基地和农房发展乡村旅游、文创产业及庭院经济，新培育庭院经济示范户30户。</w:t>
      </w:r>
    </w:p>
    <w:p w14:paraId="7628AB9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4.改善人居环境，建设宜居宜业乡村。</w:t>
      </w:r>
      <w:r>
        <w:rPr>
          <w:rFonts w:hint="default" w:ascii="Times New Roman" w:hAnsi="Times New Roman" w:eastAsia="仿宋_GB2312" w:cs="Times New Roman"/>
          <w:b w:val="0"/>
          <w:bCs w:val="0"/>
          <w:color w:val="auto"/>
          <w:sz w:val="32"/>
          <w:szCs w:val="32"/>
          <w:highlight w:val="none"/>
          <w:lang w:val="en-US" w:eastAsia="zh-CN"/>
        </w:rPr>
        <w:t>学习运用“千万工程”经验，分类推进乡村全面振兴。加强传统村落保护和风貌提升，引导村民集中建房，</w:t>
      </w:r>
      <w:r>
        <w:rPr>
          <w:rFonts w:hint="default" w:ascii="Times New Roman" w:hAnsi="Times New Roman" w:eastAsia="仿宋_GB2312" w:cs="Times New Roman"/>
          <w:color w:val="auto"/>
          <w:sz w:val="32"/>
          <w:szCs w:val="32"/>
          <w:lang w:val="en-US" w:eastAsia="zh-CN"/>
        </w:rPr>
        <w:t>持续推进农村路网、水网、电网、管网、互联网等基础建设，加强农村亮化工程建设，加快农村基础设施现代化</w:t>
      </w:r>
      <w:r>
        <w:rPr>
          <w:rFonts w:hint="default" w:ascii="Times New Roman" w:hAnsi="Times New Roman" w:eastAsia="仿宋_GB2312" w:cs="Times New Roman"/>
          <w:b w:val="0"/>
          <w:bCs w:val="0"/>
          <w:color w:val="auto"/>
          <w:sz w:val="32"/>
          <w:szCs w:val="32"/>
          <w:highlight w:val="none"/>
          <w:lang w:val="en-US" w:eastAsia="zh-CN"/>
        </w:rPr>
        <w:t>。整合城区资源，优化农村教育、医疗、养老、文化等公共服务。深化人居环境整治，重点抓好改厕管护、空心房清理、污水治理和垃圾分类减量。力争创建省级美丽乡村重点村1个、美丽屋场30个。加强乡村精神文明建设，培育文明乡风、良好家风、淳朴民风。</w:t>
      </w:r>
    </w:p>
    <w:p w14:paraId="1924D91B">
      <w:pPr>
        <w:keepNext w:val="0"/>
        <w:keepLines w:val="0"/>
        <w:pageBreakBefore w:val="0"/>
        <w:widowControl w:val="0"/>
        <w:wordWrap/>
        <w:overflowPunct/>
        <w:bidi w:val="0"/>
        <w:adjustRightInd/>
        <w:snapToGrid/>
        <w:spacing w:before="0" w:beforeAutospacing="0" w:after="0" w:afterAutospacing="0" w:line="540" w:lineRule="exact"/>
        <w:ind w:left="0" w:leftChars="0" w:right="0" w:firstLine="643" w:firstLineChars="200"/>
        <w:textAlignment w:val="auto"/>
        <w:outlineLvl w:val="9"/>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（四）</w:t>
      </w:r>
      <w:r>
        <w:rPr>
          <w:rFonts w:hint="default" w:ascii="Times New Roman" w:hAnsi="Times New Roman" w:eastAsia="楷体_GB2312" w:cs="Times New Roman"/>
          <w:b/>
          <w:bCs/>
          <w:color w:val="auto"/>
          <w:sz w:val="32"/>
          <w:szCs w:val="32"/>
          <w:highlight w:val="none"/>
          <w:lang w:val="en-US" w:eastAsia="zh-CN"/>
        </w:rPr>
        <w:t>擦亮文旅招牌，打造特色文旅名城标杆</w:t>
      </w:r>
      <w:r>
        <w:rPr>
          <w:rFonts w:hint="eastAsia" w:ascii="Times New Roman" w:hAnsi="Times New Roman" w:eastAsia="楷体_GB2312" w:cs="Times New Roman"/>
          <w:b/>
          <w:bCs/>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全年接待游客量达到800万人次以上，研学学生5万人次以上。</w:t>
      </w:r>
    </w:p>
    <w:p w14:paraId="00015B9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1.强化古城引领，激活文旅核心引擎。</w:t>
      </w:r>
      <w:r>
        <w:rPr>
          <w:rFonts w:hint="default" w:ascii="Times New Roman" w:hAnsi="Times New Roman" w:eastAsia="仿宋_GB2312" w:cs="Times New Roman"/>
          <w:b w:val="0"/>
          <w:bCs w:val="0"/>
          <w:color w:val="auto"/>
          <w:sz w:val="32"/>
          <w:szCs w:val="32"/>
          <w:highlight w:val="none"/>
          <w:lang w:val="en-US" w:eastAsia="zh-CN"/>
        </w:rPr>
        <w:t>聚焦“一城两带三线四区”，推进零陵古城B、D地块后续开发，实施古城片区公有历史建筑修缮、立面改造及污水管网等项目，培育沉浸式演出、非遗工坊、文创市集等业态，打造城市漫步、柳子家宴、古装经济等消费场景。探索“管委会+公司”管理模式，理顺柳子街等</w:t>
      </w:r>
      <w:r>
        <w:rPr>
          <w:rFonts w:hint="eastAsia" w:ascii="Times New Roman" w:hAnsi="Times New Roman" w:eastAsia="仿宋_GB2312" w:cs="Times New Roman"/>
          <w:b w:val="0"/>
          <w:bCs w:val="0"/>
          <w:color w:val="auto"/>
          <w:sz w:val="32"/>
          <w:szCs w:val="32"/>
          <w:highlight w:val="none"/>
          <w:lang w:val="en-US" w:eastAsia="zh-CN"/>
        </w:rPr>
        <w:t>3个</w:t>
      </w:r>
      <w:r>
        <w:rPr>
          <w:rFonts w:hint="default" w:ascii="Times New Roman" w:hAnsi="Times New Roman" w:eastAsia="仿宋_GB2312" w:cs="Times New Roman"/>
          <w:b w:val="0"/>
          <w:bCs w:val="0"/>
          <w:color w:val="auto"/>
          <w:sz w:val="32"/>
          <w:szCs w:val="32"/>
          <w:highlight w:val="none"/>
          <w:lang w:val="en-US" w:eastAsia="zh-CN"/>
        </w:rPr>
        <w:t>街区运营机制，优化功能布局，将古城建设成为全省历史传承与旅游活化融合的标杆。鼓励多元主体共同参与，精心办好柳宗元文化旅游周、民俗庙会、怀素书法艺术周等品牌活动。</w:t>
      </w:r>
    </w:p>
    <w:p w14:paraId="1D8F9A7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2.加快项目建设，筑牢文旅发展根基。</w:t>
      </w:r>
      <w:r>
        <w:rPr>
          <w:rFonts w:hint="default" w:ascii="Times New Roman" w:hAnsi="Times New Roman" w:eastAsia="仿宋_GB2312" w:cs="Times New Roman"/>
          <w:color w:val="auto"/>
          <w:sz w:val="32"/>
          <w:szCs w:val="32"/>
          <w:lang w:val="en-US" w:eastAsia="zh-CN"/>
        </w:rPr>
        <w:t>全力服务第七届湖南省旅发大会，积极争取城市更新、旅游开发、文物保护等领域项目资金。加快推进“一线一路一片区”建设，规划建设犁头嘴至“石涧记”滨江步道、体育公园</w:t>
      </w:r>
      <w:r>
        <w:rPr>
          <w:rFonts w:hint="eastAsia" w:ascii="Times New Roman" w:hAnsi="Times New Roman" w:eastAsia="仿宋_GB2312" w:cs="Times New Roman"/>
          <w:color w:val="auto"/>
          <w:sz w:val="32"/>
          <w:szCs w:val="32"/>
          <w:lang w:val="en-US" w:eastAsia="zh-CN"/>
        </w:rPr>
        <w:t>等项目</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明年7月底</w:t>
      </w:r>
      <w:r>
        <w:rPr>
          <w:rFonts w:hint="default" w:ascii="Times New Roman" w:hAnsi="Times New Roman" w:eastAsia="仿宋_GB2312" w:cs="Times New Roman"/>
          <w:color w:val="auto"/>
          <w:sz w:val="32"/>
          <w:szCs w:val="32"/>
          <w:lang w:val="en-US" w:eastAsia="zh-CN"/>
        </w:rPr>
        <w:t>完成东风氮肥厂工业遗址旅游区、蘋洲书院等基础设施建设。持续推进</w:t>
      </w:r>
      <w:r>
        <w:rPr>
          <w:rFonts w:hint="eastAsia" w:ascii="Times New Roman" w:hAnsi="Times New Roman" w:eastAsia="仿宋_GB2312" w:cs="Times New Roman"/>
          <w:color w:val="auto"/>
          <w:sz w:val="32"/>
          <w:szCs w:val="32"/>
          <w:lang w:val="en-US" w:eastAsia="zh-CN"/>
        </w:rPr>
        <w:t>历史文化街区示范片区建设</w:t>
      </w:r>
      <w:r>
        <w:rPr>
          <w:rFonts w:hint="default" w:ascii="Times New Roman" w:hAnsi="Times New Roman" w:eastAsia="仿宋_GB2312" w:cs="Times New Roman"/>
          <w:color w:val="auto"/>
          <w:sz w:val="32"/>
          <w:szCs w:val="32"/>
          <w:lang w:val="en-US" w:eastAsia="zh-CN"/>
        </w:rPr>
        <w:t>，力争</w:t>
      </w:r>
      <w:r>
        <w:rPr>
          <w:rFonts w:hint="eastAsia" w:ascii="Times New Roman" w:hAnsi="Times New Roman" w:eastAsia="仿宋_GB2312" w:cs="Times New Roman"/>
          <w:color w:val="auto"/>
          <w:sz w:val="32"/>
          <w:szCs w:val="32"/>
          <w:lang w:val="en-US" w:eastAsia="zh-CN"/>
        </w:rPr>
        <w:t>明年</w:t>
      </w:r>
      <w:r>
        <w:rPr>
          <w:rFonts w:hint="default" w:ascii="Times New Roman" w:hAnsi="Times New Roman" w:eastAsia="仿宋_GB2312" w:cs="Times New Roman"/>
          <w:color w:val="auto"/>
          <w:sz w:val="32"/>
          <w:szCs w:val="32"/>
          <w:lang w:val="en-US" w:eastAsia="zh-CN"/>
        </w:rPr>
        <w:t>5月底前</w:t>
      </w:r>
      <w:r>
        <w:rPr>
          <w:rFonts w:hint="eastAsia" w:ascii="Times New Roman" w:hAnsi="Times New Roman" w:eastAsia="仿宋_GB2312" w:cs="Times New Roman"/>
          <w:color w:val="auto"/>
          <w:sz w:val="32"/>
          <w:szCs w:val="32"/>
          <w:lang w:val="en-US" w:eastAsia="zh-CN"/>
        </w:rPr>
        <w:t>完成大西门历史文化公园、西山景区基础设施建设</w:t>
      </w:r>
      <w:r>
        <w:rPr>
          <w:rFonts w:hint="default" w:ascii="Times New Roman" w:hAnsi="Times New Roman" w:eastAsia="仿宋_GB2312" w:cs="Times New Roman"/>
          <w:color w:val="auto"/>
          <w:sz w:val="32"/>
          <w:szCs w:val="32"/>
          <w:lang w:val="en-US" w:eastAsia="zh-CN"/>
        </w:rPr>
        <w:t>。加快古城历史建筑修缮、立面改造和愚溪河生态治理。开展文旅招商，推进“文墨潇湘·千年零陵”水上旅游、愚溪河滨水观光等项目落地，夯实零陵文旅高质量发展基础。</w:t>
      </w:r>
    </w:p>
    <w:p w14:paraId="73A8430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3.繁荣文化事业，传承地方特色文脉。</w:t>
      </w:r>
      <w:r>
        <w:rPr>
          <w:rFonts w:hint="default" w:ascii="Times New Roman" w:hAnsi="Times New Roman" w:eastAsia="仿宋_GB2312" w:cs="Times New Roman"/>
          <w:b w:val="0"/>
          <w:bCs w:val="0"/>
          <w:color w:val="auto"/>
          <w:sz w:val="32"/>
          <w:szCs w:val="32"/>
          <w:highlight w:val="none"/>
          <w:lang w:val="en-US" w:eastAsia="zh-CN"/>
        </w:rPr>
        <w:t>实施文物保护利用“六大工程”，深挖柳文化、怀素书艺、潇湘文化内涵，讲好零陵故事。推进周家大院展示利用、柳子庙数字化建设，启动东城门修缮工程。传承零陵花鼓戏、渔鼓等非遗，打造柳子街非遗展示窗口。健全城乡公共文化服务体系，开展送戏下乡、送书下乡、“非遗四进”等活动200场以上。实施全民健身设施补短板工程，补齐社区、乡村、公园等区域设施短板。积极承接“湘超”等赛事，备战省第十五届运动会。</w:t>
      </w:r>
    </w:p>
    <w:p w14:paraId="7D5A6646">
      <w:pPr>
        <w:keepNext w:val="0"/>
        <w:keepLines w:val="0"/>
        <w:pageBreakBefore w:val="0"/>
        <w:widowControl w:val="0"/>
        <w:wordWrap/>
        <w:overflowPunct/>
        <w:bidi w:val="0"/>
        <w:adjustRightInd/>
        <w:snapToGrid/>
        <w:spacing w:before="0" w:beforeAutospacing="0" w:after="0" w:afterAutospacing="0" w:line="540" w:lineRule="exact"/>
        <w:ind w:left="0" w:leftChars="0" w:right="0" w:firstLine="643" w:firstLineChars="200"/>
        <w:textAlignment w:val="auto"/>
        <w:outlineLvl w:val="9"/>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lang w:val="en-US" w:eastAsia="zh-CN"/>
        </w:rPr>
        <w:t>强化创新驱动，深化改革激发发展活力</w:t>
      </w:r>
      <w:r>
        <w:rPr>
          <w:rFonts w:hint="eastAsia" w:ascii="Times New Roman" w:hAnsi="Times New Roman" w:eastAsia="楷体_GB2312" w:cs="Times New Roman"/>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坚持向改革要动力、向创新要活力，不断激发高质量发展活力。</w:t>
      </w:r>
    </w:p>
    <w:p w14:paraId="7D3BB37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1.深化重点领域改革，破除体制机制障碍。</w:t>
      </w:r>
      <w:r>
        <w:rPr>
          <w:rFonts w:hint="eastAsia" w:ascii="Times New Roman" w:hAnsi="Times New Roman" w:eastAsia="仿宋_GB2312" w:cs="Times New Roman"/>
          <w:b w:val="0"/>
          <w:bCs w:val="0"/>
          <w:color w:val="auto"/>
          <w:sz w:val="32"/>
          <w:szCs w:val="32"/>
          <w:highlight w:val="none"/>
          <w:lang w:val="en-US" w:eastAsia="zh-CN"/>
        </w:rPr>
        <w:t>继续</w:t>
      </w:r>
      <w:r>
        <w:rPr>
          <w:rFonts w:hint="default" w:ascii="Times New Roman" w:hAnsi="Times New Roman" w:eastAsia="仿宋_GB2312" w:cs="Times New Roman"/>
          <w:b w:val="0"/>
          <w:bCs w:val="0"/>
          <w:color w:val="auto"/>
          <w:sz w:val="32"/>
          <w:szCs w:val="32"/>
          <w:highlight w:val="none"/>
          <w:lang w:val="en-US" w:eastAsia="zh-CN"/>
        </w:rPr>
        <w:t>推行零基预算改革，打破支出固化格局，健全招商项目财税事前评估机制。深化国资国企改革，支持城发集团转型为城市综合运营服务商，力争盘活国有“三资”收益3.2亿元。推进园区市场化运营，探索共建粤港澳大湾区“飞地园区”。深化锰资源税收征管改革，提升矿产资源利用效能。健全“亩均效益”评价机制，加快清理批而未供和闲置低效用地。深化农村宅基地“三权分置”改革试点。持续优化营商环境，完善“高效办成一件事”机制。</w:t>
      </w:r>
    </w:p>
    <w:p w14:paraId="3F9F427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2.强化科技创新引领，培育新质生产力。</w:t>
      </w:r>
      <w:r>
        <w:rPr>
          <w:rFonts w:hint="default" w:ascii="Times New Roman" w:hAnsi="Times New Roman" w:eastAsia="仿宋_GB2312" w:cs="Times New Roman"/>
          <w:b w:val="0"/>
          <w:bCs w:val="0"/>
          <w:color w:val="auto"/>
          <w:sz w:val="32"/>
          <w:szCs w:val="32"/>
          <w:highlight w:val="none"/>
          <w:lang w:val="en-US" w:eastAsia="zh-CN"/>
        </w:rPr>
        <w:t>凸显企业科技创新主体地位，实施高新技术企业和科技型中小企业“双倍增”行动，培育新质生产力。深化产学研用深度融合，力争技术合同交易额增长超15%。支持龙头企业联合高校院所建设博士创新站、研发中心，支持盛电新材料申报省重点研发项目。加速制造业“智改数转网联”进程，推动潇湘超智融合智能算力中心落地建设。全年新增高新技术企业5家</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“上云”企业458家、“上平台”企业40家，</w:t>
      </w:r>
      <w:r>
        <w:rPr>
          <w:rFonts w:hint="default" w:ascii="Times New Roman" w:hAnsi="Times New Roman" w:eastAsia="仿宋_GB2312" w:cs="Times New Roman"/>
          <w:b w:val="0"/>
          <w:bCs w:val="0"/>
          <w:color w:val="auto"/>
          <w:sz w:val="32"/>
          <w:szCs w:val="32"/>
          <w:lang w:val="en-US" w:eastAsia="zh-CN"/>
        </w:rPr>
        <w:t>专利授权量增长10%</w:t>
      </w:r>
      <w:r>
        <w:rPr>
          <w:rFonts w:hint="default" w:ascii="Times New Roman" w:hAnsi="Times New Roman" w:eastAsia="仿宋_GB2312" w:cs="Times New Roman"/>
          <w:b w:val="0"/>
          <w:bCs w:val="0"/>
          <w:color w:val="auto"/>
          <w:sz w:val="32"/>
          <w:szCs w:val="32"/>
          <w:highlight w:val="none"/>
          <w:lang w:val="en-US" w:eastAsia="zh-CN"/>
        </w:rPr>
        <w:t>。</w:t>
      </w:r>
    </w:p>
    <w:p w14:paraId="1073399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3.打造一流营商环境，厚植企业发展沃土。</w:t>
      </w:r>
      <w:r>
        <w:rPr>
          <w:rFonts w:hint="default" w:ascii="Times New Roman" w:hAnsi="Times New Roman" w:eastAsia="仿宋_GB2312" w:cs="Times New Roman"/>
          <w:b w:val="0"/>
          <w:bCs w:val="0"/>
          <w:color w:val="auto"/>
          <w:sz w:val="32"/>
          <w:szCs w:val="32"/>
          <w:highlight w:val="none"/>
          <w:lang w:val="en-US" w:eastAsia="zh-CN"/>
        </w:rPr>
        <w:t>全面落实公平竞争审查制度，健全支持民营经济发展、融入全国统一大市场的长效机制。持续开展“送政策、解难题、优服务”专项行动，用心用情为企业纾困解难。加强诚信政府建设，强化“双公示”和“湘信贷”平台应用，力争年底前“6·30台账”欠款化解率达80%。推行包容审慎监管，继续实行“企业宁静日”</w:t>
      </w:r>
      <w:r>
        <w:rPr>
          <w:rFonts w:hint="eastAsia" w:ascii="Times New Roman" w:hAnsi="Times New Roman" w:eastAsia="仿宋_GB2312" w:cs="Times New Roman"/>
          <w:b w:val="0"/>
          <w:bCs w:val="0"/>
          <w:color w:val="auto"/>
          <w:sz w:val="32"/>
          <w:szCs w:val="32"/>
          <w:highlight w:val="none"/>
          <w:lang w:val="en-US" w:eastAsia="zh-CN"/>
        </w:rPr>
        <w:t>制度</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做到“无事不扰”</w:t>
      </w:r>
      <w:r>
        <w:rPr>
          <w:rFonts w:hint="default" w:ascii="Times New Roman" w:hAnsi="Times New Roman" w:eastAsia="仿宋_GB2312" w:cs="Times New Roman"/>
          <w:b w:val="0"/>
          <w:bCs w:val="0"/>
          <w:color w:val="auto"/>
          <w:sz w:val="32"/>
          <w:szCs w:val="32"/>
          <w:highlight w:val="none"/>
          <w:lang w:val="en-US" w:eastAsia="zh-CN"/>
        </w:rPr>
        <w:t>，深化“四定四化”政企交流和“三层三级”保姆式服务。推进18个区直单位开展“五化”建设，开展优化营商环境提升年行动。</w:t>
      </w:r>
    </w:p>
    <w:p w14:paraId="7349384A">
      <w:pPr>
        <w:keepNext w:val="0"/>
        <w:keepLines w:val="0"/>
        <w:pageBreakBefore w:val="0"/>
        <w:widowControl w:val="0"/>
        <w:wordWrap/>
        <w:overflowPunct/>
        <w:bidi w:val="0"/>
        <w:adjustRightInd/>
        <w:snapToGrid/>
        <w:spacing w:before="0" w:beforeAutospacing="0" w:after="0" w:afterAutospacing="0" w:line="540" w:lineRule="exact"/>
        <w:ind w:left="0" w:leftChars="0" w:right="0" w:firstLine="643" w:firstLineChars="200"/>
        <w:textAlignment w:val="auto"/>
        <w:outlineLvl w:val="9"/>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（六）</w:t>
      </w:r>
      <w:r>
        <w:rPr>
          <w:rFonts w:hint="default" w:ascii="Times New Roman" w:hAnsi="Times New Roman" w:eastAsia="楷体_GB2312" w:cs="Times New Roman"/>
          <w:b/>
          <w:bCs/>
          <w:color w:val="auto"/>
          <w:sz w:val="32"/>
          <w:szCs w:val="32"/>
          <w:highlight w:val="none"/>
          <w:lang w:val="en-US" w:eastAsia="zh-CN"/>
        </w:rPr>
        <w:t>聚焦民生关切，持续提升居民生活品质</w:t>
      </w:r>
      <w:r>
        <w:rPr>
          <w:rFonts w:hint="eastAsia" w:ascii="Times New Roman" w:hAnsi="Times New Roman" w:eastAsia="楷体_GB2312" w:cs="Times New Roman"/>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着力</w:t>
      </w:r>
      <w:r>
        <w:rPr>
          <w:rFonts w:hint="default" w:ascii="仿宋_GB2312" w:hAnsi="仿宋_GB2312" w:eastAsia="仿宋_GB2312" w:cs="仿宋_GB2312"/>
          <w:b w:val="0"/>
          <w:bCs w:val="0"/>
          <w:color w:val="auto"/>
          <w:sz w:val="32"/>
          <w:szCs w:val="32"/>
          <w:lang w:val="en-US" w:eastAsia="zh-CN"/>
        </w:rPr>
        <w:t>加强普惠性、基础性、兜底性民生建设，</w:t>
      </w:r>
      <w:r>
        <w:rPr>
          <w:rFonts w:hint="eastAsia" w:ascii="仿宋_GB2312" w:hAnsi="仿宋_GB2312" w:eastAsia="仿宋_GB2312" w:cs="仿宋_GB2312"/>
          <w:b w:val="0"/>
          <w:bCs w:val="0"/>
          <w:color w:val="auto"/>
          <w:sz w:val="32"/>
          <w:szCs w:val="32"/>
          <w:lang w:val="en-US" w:eastAsia="zh-CN"/>
        </w:rPr>
        <w:t>切实</w:t>
      </w:r>
      <w:r>
        <w:rPr>
          <w:rFonts w:hint="default" w:ascii="仿宋_GB2312" w:hAnsi="仿宋_GB2312" w:eastAsia="仿宋_GB2312" w:cs="仿宋_GB2312"/>
          <w:b w:val="0"/>
          <w:bCs w:val="0"/>
          <w:color w:val="auto"/>
          <w:sz w:val="32"/>
          <w:szCs w:val="32"/>
          <w:lang w:val="en-US" w:eastAsia="zh-CN"/>
        </w:rPr>
        <w:t>解决好人民群众急难愁盼，努力让零陵发展更有温度、人民幸福更有质感。</w:t>
      </w:r>
    </w:p>
    <w:p w14:paraId="248937A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1.兜牢民生保障底线。</w:t>
      </w:r>
      <w:r>
        <w:rPr>
          <w:rFonts w:hint="default" w:ascii="Times New Roman" w:hAnsi="Times New Roman" w:eastAsia="仿宋_GB2312" w:cs="Times New Roman"/>
          <w:b w:val="0"/>
          <w:bCs w:val="0"/>
          <w:color w:val="auto"/>
          <w:sz w:val="32"/>
          <w:szCs w:val="32"/>
          <w:highlight w:val="none"/>
          <w:lang w:val="en-US" w:eastAsia="zh-CN"/>
        </w:rPr>
        <w:t>坚持就业优先，强化政策协同，力争城镇新增就业5600人以上，农村劳动力转移就业5100人以上。聚焦高校毕业生、农民工、脱贫劳动力、</w:t>
      </w:r>
      <w:r>
        <w:rPr>
          <w:rFonts w:hint="default" w:ascii="Times New Roman" w:hAnsi="Times New Roman" w:eastAsia="仿宋_GB2312" w:cs="Times New Roman"/>
          <w:bCs/>
          <w:color w:val="auto"/>
          <w:sz w:val="32"/>
          <w:szCs w:val="32"/>
          <w:lang w:val="en-US" w:eastAsia="zh-CN"/>
        </w:rPr>
        <w:t>自主就业退役士兵</w:t>
      </w:r>
      <w:r>
        <w:rPr>
          <w:rFonts w:hint="default" w:ascii="Times New Roman" w:hAnsi="Times New Roman" w:eastAsia="仿宋_GB2312" w:cs="Times New Roman"/>
          <w:b w:val="0"/>
          <w:bCs w:val="0"/>
          <w:color w:val="auto"/>
          <w:sz w:val="32"/>
          <w:szCs w:val="32"/>
          <w:highlight w:val="none"/>
          <w:lang w:val="en-US" w:eastAsia="zh-CN"/>
        </w:rPr>
        <w:t>等重点群体，支持灵活就业和“零工经济”，打造“金牌月嫂”“零陵缝纫工”“小家电装配工”等特色劳务品牌。完善参保帮扶机制，推动城乡居民养老、医保应保尽保，基本医保参保率稳定在96%以上。健全分层分类社会救助体系，精准发放低保、特困等补助资金。探索“中医+康养”养老模式，加快富家桥中心敬老院建设，新增护理型床位150张。提升孤儿和事实无人抚养儿童保障水平，</w:t>
      </w:r>
      <w:r>
        <w:rPr>
          <w:rFonts w:hint="eastAsia" w:ascii="仿宋_GB2312" w:eastAsia="仿宋_GB2312" w:cs="仿宋_GB2312"/>
          <w:color w:val="auto"/>
          <w:sz w:val="32"/>
          <w:szCs w:val="32"/>
        </w:rPr>
        <w:t>统筹做好社会救助</w:t>
      </w:r>
      <w:r>
        <w:rPr>
          <w:rFonts w:hint="eastAsia" w:ascii="仿宋_GB2312" w:eastAsia="仿宋_GB2312" w:cs="仿宋_GB2312"/>
          <w:color w:val="auto"/>
          <w:sz w:val="32"/>
          <w:szCs w:val="32"/>
          <w:lang w:val="en-US" w:eastAsia="zh-CN"/>
        </w:rPr>
        <w:t>及</w:t>
      </w:r>
      <w:r>
        <w:rPr>
          <w:rFonts w:hint="eastAsia" w:ascii="仿宋_GB2312" w:eastAsia="仿宋_GB2312" w:cs="仿宋_GB2312"/>
          <w:color w:val="auto"/>
          <w:sz w:val="32"/>
          <w:szCs w:val="32"/>
        </w:rPr>
        <w:t>福利、退役军人服务保障、妇女儿童权益保障等工作</w:t>
      </w:r>
      <w:r>
        <w:rPr>
          <w:rFonts w:hint="default" w:ascii="Times New Roman" w:hAnsi="Times New Roman" w:eastAsia="仿宋_GB2312" w:cs="Times New Roman"/>
          <w:b w:val="0"/>
          <w:bCs w:val="0"/>
          <w:color w:val="auto"/>
          <w:sz w:val="32"/>
          <w:szCs w:val="32"/>
          <w:highlight w:val="none"/>
          <w:lang w:val="en-US" w:eastAsia="zh-CN"/>
        </w:rPr>
        <w:t>。</w:t>
      </w:r>
    </w:p>
    <w:p w14:paraId="21FB896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2.办好人民满意教育。</w:t>
      </w:r>
      <w:r>
        <w:rPr>
          <w:rFonts w:hint="default" w:ascii="Times New Roman" w:hAnsi="Times New Roman" w:eastAsia="仿宋_GB2312" w:cs="Times New Roman"/>
          <w:b w:val="0"/>
          <w:bCs w:val="0"/>
          <w:color w:val="auto"/>
          <w:sz w:val="32"/>
          <w:szCs w:val="32"/>
          <w:highlight w:val="none"/>
          <w:lang w:val="en-US" w:eastAsia="zh-CN"/>
        </w:rPr>
        <w:t>全面落实立德树人任务，深化大中小学思政课一体化和“学在零陵”品牌建设，每学期召开教育高质量发展分析会，稳步提升教育质量。实施“弱校提质”行动，着力提升农村学校办学水平。推进永州七中改扩建、永州三中提质改造、工商职业中专产教融合实践中心等项目建设，加快数字化校园建设。盘活闲置校舍，改扩建公办幼儿园，新增园位680个。支持永州一中，永州三中、永州一中朝阳学校做优做强，工商职业中专争创全国“双优”中职校。支持日升学校、永州九中、七里店小学等学校足球特色教育发展，争创一批省级学校体育（校园足球）高质量发展试点校。巩固“校园餐”整治成果，加强民办学校餐饮监管，守护师生“舌尖安全”。</w:t>
      </w:r>
    </w:p>
    <w:p w14:paraId="54FC16F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3.提升医疗服务水平。</w:t>
      </w:r>
      <w:r>
        <w:rPr>
          <w:rFonts w:hint="default" w:ascii="Times New Roman" w:hAnsi="Times New Roman" w:eastAsia="仿宋_GB2312" w:cs="Times New Roman"/>
          <w:b w:val="0"/>
          <w:bCs w:val="0"/>
          <w:color w:val="auto"/>
          <w:sz w:val="32"/>
          <w:szCs w:val="32"/>
          <w:highlight w:val="none"/>
          <w:lang w:val="en-US" w:eastAsia="zh-CN"/>
        </w:rPr>
        <w:t>深化医药卫生体制改革，纵深推进“1234+N”紧密型县域医共体建设，支持市第四人民医院创建三级医院、区中医医院创建三级中医医院，水口山镇、邮亭圩镇中心卫生院创建二级医院。加强临床专科建设，力争引进全日制研究生16名以上，省市级重点专科达6个。推动优质医疗资源下沉，完成25个标准化村卫生室提质和35个以上中医阁建设。落实生育支持政策，健全普惠托育和托幼一体化服务，做实医养结合，促进人口高质量发展。</w:t>
      </w:r>
    </w:p>
    <w:p w14:paraId="1787971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4.统筹城乡协调发展。</w:t>
      </w:r>
      <w:r>
        <w:rPr>
          <w:rFonts w:hint="default" w:ascii="Times New Roman" w:hAnsi="Times New Roman" w:eastAsia="仿宋_GB2312" w:cs="Times New Roman"/>
          <w:b w:val="0"/>
          <w:bCs w:val="0"/>
          <w:color w:val="auto"/>
          <w:sz w:val="32"/>
          <w:szCs w:val="32"/>
          <w:highlight w:val="none"/>
          <w:lang w:val="en-US" w:eastAsia="zh-CN"/>
        </w:rPr>
        <w:t>实施存量土地盘活增效三年行动。加快“一网统管”智慧城市平台建设，不断提升城市精细化管理水平。加快柳子街、大西门、正大街—城南路历史文化街区保护利用示范片建设，完成34个老旧小区改造。积极争取红石山大桥、香零山大桥等项目实施，加快人何连接线建设，全力推动古城路开工建设。完成杨万里路、萍洲西路提质改造。新改建供水管网21.4千米、雨污管网8千米，新建燃气中压管道9.3千米。加快自来水厂设备更新和供水设施提质改造，完成应急备用水厂建设。加快朝阳片区污水管网改造</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同步修复200余处缺陷管网，完成2.7公里管网清淤。启动菱角塘镇、珠山镇等10个乡镇污水处理厂配套管网项目建设。建设乡镇双循环路25公里、资源产业路、旅游路和撤并村便捷路32公里。扩大保障性租赁住房供给，新增保障性住房144套，改造乡镇公有住房82套。</w:t>
      </w:r>
    </w:p>
    <w:p w14:paraId="2B8CDDB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（七）</w:t>
      </w:r>
      <w:r>
        <w:rPr>
          <w:rFonts w:hint="default" w:ascii="Times New Roman" w:hAnsi="Times New Roman" w:eastAsia="楷体_GB2312" w:cs="Times New Roman"/>
          <w:b/>
          <w:bCs/>
          <w:color w:val="auto"/>
          <w:sz w:val="32"/>
          <w:szCs w:val="32"/>
          <w:highlight w:val="none"/>
          <w:lang w:val="en-US" w:eastAsia="zh-CN"/>
        </w:rPr>
        <w:t>守牢安全底线，筑牢平安零陵建设屏障</w:t>
      </w:r>
      <w:r>
        <w:rPr>
          <w:rFonts w:hint="eastAsia" w:ascii="Times New Roman" w:hAnsi="Times New Roman" w:eastAsia="楷体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统筹做好防风险、保安全、护稳定各项工作，打造基础更牢、水平更高、群众更满意的平安零陵。</w:t>
      </w:r>
    </w:p>
    <w:p w14:paraId="610E8EA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1.提升社会治理效能。</w:t>
      </w:r>
      <w:r>
        <w:rPr>
          <w:rFonts w:hint="default" w:ascii="Times New Roman" w:hAnsi="Times New Roman" w:eastAsia="仿宋_GB2312" w:cs="Times New Roman"/>
          <w:b w:val="0"/>
          <w:bCs w:val="0"/>
          <w:color w:val="auto"/>
          <w:sz w:val="32"/>
          <w:szCs w:val="32"/>
          <w:highlight w:val="none"/>
          <w:lang w:val="en-US" w:eastAsia="zh-CN"/>
        </w:rPr>
        <w:t>坚持和发展新时代“枫桥经验”“浦江经验”，健全矛盾纠纷多元化解机制，强化源头治理和诉前调解，基层吸附率达90%以上。推进信访法治化，落实领导接访和联席会议制度，推动由“个案办理”向“类案治理”转变，攻坚化解积案，力争存量下降</w:t>
      </w:r>
      <w:r>
        <w:rPr>
          <w:rFonts w:hint="eastAsia" w:ascii="Times New Roman" w:hAnsi="Times New Roman" w:eastAsia="仿宋_GB2312" w:cs="Times New Roman"/>
          <w:b w:val="0"/>
          <w:bCs w:val="0"/>
          <w:color w:val="auto"/>
          <w:sz w:val="32"/>
          <w:szCs w:val="32"/>
          <w:highlight w:val="none"/>
          <w:lang w:val="en-US" w:eastAsia="zh-CN"/>
        </w:rPr>
        <w:t>70</w:t>
      </w:r>
      <w:r>
        <w:rPr>
          <w:rFonts w:hint="default" w:ascii="Times New Roman" w:hAnsi="Times New Roman" w:eastAsia="仿宋_GB2312" w:cs="Times New Roman"/>
          <w:b w:val="0"/>
          <w:bCs w:val="0"/>
          <w:color w:val="auto"/>
          <w:sz w:val="32"/>
          <w:szCs w:val="32"/>
          <w:highlight w:val="none"/>
          <w:lang w:val="en-US" w:eastAsia="zh-CN"/>
        </w:rPr>
        <w:t>%以上。深化“快反135”和派出所主防“12345”机制，常态化推进扫黑除恶，严打盗抢骗、涉毒、涉赌、涉诈等突出犯罪，加强网络安全与舆情防控工作。以“时时放心不下”的责任感，消除风险隐患，严防极端案事件，维护社会大局稳定。</w:t>
      </w:r>
    </w:p>
    <w:p w14:paraId="3686703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2.防范化解重大风险。</w:t>
      </w:r>
      <w:r>
        <w:rPr>
          <w:rFonts w:hint="default" w:ascii="Times New Roman" w:hAnsi="Times New Roman" w:eastAsia="仿宋_GB2312" w:cs="Times New Roman"/>
          <w:b w:val="0"/>
          <w:bCs w:val="0"/>
          <w:color w:val="auto"/>
          <w:sz w:val="32"/>
          <w:szCs w:val="32"/>
          <w:highlight w:val="none"/>
          <w:lang w:val="en-US" w:eastAsia="zh-CN"/>
        </w:rPr>
        <w:t>全力防范政府债务风险，推动债券“刚转柔”、债务“短转长”、利率“高转低”，完成债务置换2</w:t>
      </w:r>
      <w:r>
        <w:rPr>
          <w:rFonts w:hint="eastAsia"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lang w:val="en-US" w:eastAsia="zh-CN"/>
        </w:rPr>
        <w:t>亿元以上，发行产品接替存量债务</w:t>
      </w:r>
      <w:r>
        <w:rPr>
          <w:rFonts w:hint="eastAsia"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val="en-US" w:eastAsia="zh-CN"/>
        </w:rPr>
        <w:t>亿元以上，力争存量贷款利率降至3.9%、新增贷款</w:t>
      </w:r>
      <w:r>
        <w:rPr>
          <w:rFonts w:hint="eastAsia" w:ascii="Times New Roman" w:hAnsi="Times New Roman" w:eastAsia="仿宋_GB2312" w:cs="Times New Roman"/>
          <w:b w:val="0"/>
          <w:bCs w:val="0"/>
          <w:color w:val="auto"/>
          <w:sz w:val="32"/>
          <w:szCs w:val="32"/>
          <w:highlight w:val="none"/>
          <w:lang w:val="en-US" w:eastAsia="zh-CN"/>
        </w:rPr>
        <w:t>平均利率</w:t>
      </w:r>
      <w:r>
        <w:rPr>
          <w:rFonts w:hint="default" w:ascii="Times New Roman" w:hAnsi="Times New Roman" w:eastAsia="仿宋_GB2312" w:cs="Times New Roman"/>
          <w:b w:val="0"/>
          <w:bCs w:val="0"/>
          <w:color w:val="auto"/>
          <w:sz w:val="32"/>
          <w:szCs w:val="32"/>
          <w:highlight w:val="none"/>
          <w:lang w:val="en-US" w:eastAsia="zh-CN"/>
        </w:rPr>
        <w:t>降至3.5%，全年节支利息5000万元以上。实施财源建设十大行动，盘活资源资产，培植税源、清缴欠税、清收代偿资金，全年完成财源</w:t>
      </w:r>
      <w:r>
        <w:rPr>
          <w:rFonts w:hint="eastAsia" w:ascii="Times New Roman" w:hAnsi="Times New Roman" w:eastAsia="仿宋_GB2312" w:cs="Times New Roman"/>
          <w:b w:val="0"/>
          <w:bCs w:val="0"/>
          <w:color w:val="auto"/>
          <w:sz w:val="32"/>
          <w:szCs w:val="32"/>
          <w:highlight w:val="none"/>
          <w:lang w:val="en-US" w:eastAsia="zh-CN"/>
        </w:rPr>
        <w:t>建设任务</w:t>
      </w:r>
      <w:r>
        <w:rPr>
          <w:rFonts w:hint="default" w:ascii="Times New Roman" w:hAnsi="Times New Roman" w:eastAsia="仿宋_GB2312" w:cs="Times New Roman"/>
          <w:b w:val="0"/>
          <w:bCs w:val="0"/>
          <w:color w:val="auto"/>
          <w:sz w:val="32"/>
          <w:szCs w:val="32"/>
          <w:highlight w:val="none"/>
          <w:lang w:val="en-US" w:eastAsia="zh-CN"/>
        </w:rPr>
        <w:t>10亿元以上。</w:t>
      </w:r>
      <w:r>
        <w:rPr>
          <w:rFonts w:hint="eastAsia" w:ascii="Times New Roman" w:hAnsi="Times New Roman" w:eastAsia="仿宋_GB2312" w:cs="Times New Roman"/>
          <w:b w:val="0"/>
          <w:bCs w:val="0"/>
          <w:color w:val="auto"/>
          <w:sz w:val="32"/>
          <w:szCs w:val="32"/>
          <w:highlight w:val="none"/>
          <w:lang w:val="en-US" w:eastAsia="zh-CN"/>
        </w:rPr>
        <w:t>全力防范金融风险，</w:t>
      </w:r>
      <w:r>
        <w:rPr>
          <w:rFonts w:hint="default" w:ascii="Times New Roman" w:hAnsi="Times New Roman" w:eastAsia="仿宋_GB2312" w:cs="Times New Roman"/>
          <w:b w:val="0"/>
          <w:bCs w:val="0"/>
          <w:color w:val="auto"/>
          <w:sz w:val="32"/>
          <w:szCs w:val="32"/>
          <w:highlight w:val="none"/>
          <w:lang w:val="en-US" w:eastAsia="zh-CN"/>
        </w:rPr>
        <w:t>稳妥处置“锦源金禧”事件，整治“一非三贷”等</w:t>
      </w:r>
      <w:r>
        <w:rPr>
          <w:rFonts w:hint="eastAsia" w:ascii="Times New Roman" w:hAnsi="Times New Roman" w:eastAsia="仿宋_GB2312" w:cs="Times New Roman"/>
          <w:b w:val="0"/>
          <w:bCs w:val="0"/>
          <w:color w:val="auto"/>
          <w:sz w:val="32"/>
          <w:szCs w:val="32"/>
          <w:highlight w:val="none"/>
          <w:lang w:val="en-US" w:eastAsia="zh-CN"/>
        </w:rPr>
        <w:t>违</w:t>
      </w:r>
      <w:r>
        <w:rPr>
          <w:rFonts w:hint="default" w:ascii="Times New Roman" w:hAnsi="Times New Roman" w:eastAsia="仿宋_GB2312" w:cs="Times New Roman"/>
          <w:b w:val="0"/>
          <w:bCs w:val="0"/>
          <w:color w:val="auto"/>
          <w:sz w:val="32"/>
          <w:szCs w:val="32"/>
          <w:highlight w:val="none"/>
          <w:lang w:val="en-US" w:eastAsia="zh-CN"/>
        </w:rPr>
        <w:t>法金融活动，守住不发生系统性金融风险底线。</w:t>
      </w:r>
      <w:r>
        <w:rPr>
          <w:rFonts w:hint="eastAsia" w:ascii="仿宋_GB2312" w:hAnsi="仿宋_GB2312" w:eastAsia="仿宋_GB2312" w:cs="仿宋_GB2312"/>
          <w:color w:val="auto"/>
          <w:sz w:val="32"/>
          <w:szCs w:val="32"/>
          <w:lang w:val="en-US" w:eastAsia="zh-CN"/>
        </w:rPr>
        <w:t>全力防范房地产领域风险，推广“房票+房源超市”模式，</w:t>
      </w:r>
      <w:r>
        <w:rPr>
          <w:rFonts w:hint="eastAsia" w:ascii="仿宋_GB2312" w:eastAsia="仿宋_GB2312" w:cs="仿宋_GB2312"/>
          <w:color w:val="auto"/>
          <w:sz w:val="32"/>
          <w:szCs w:val="32"/>
          <w:shd w:val="clear" w:color="auto" w:fill="FFFFFF"/>
          <w:lang w:val="en-US" w:eastAsia="zh-CN"/>
        </w:rPr>
        <w:t>有序推行商品房现房销售，</w:t>
      </w:r>
      <w:r>
        <w:rPr>
          <w:rFonts w:hint="eastAsia" w:ascii="仿宋_GB2312" w:hAnsi="仿宋_GB2312" w:eastAsia="仿宋_GB2312" w:cs="仿宋_GB2312"/>
          <w:color w:val="auto"/>
          <w:sz w:val="32"/>
          <w:szCs w:val="32"/>
          <w:lang w:val="en-US" w:eastAsia="zh-CN"/>
        </w:rPr>
        <w:t>收购1200套存量商品房用于保障性住房</w:t>
      </w:r>
      <w:r>
        <w:rPr>
          <w:rFonts w:hint="eastAsia" w:ascii="仿宋_GB2312" w:eastAsia="仿宋_GB2312" w:cs="仿宋_GB2312"/>
          <w:color w:val="auto"/>
          <w:sz w:val="32"/>
          <w:szCs w:val="32"/>
          <w:shd w:val="clear" w:color="auto" w:fill="FFFFFF"/>
        </w:rPr>
        <w:t>。</w:t>
      </w:r>
      <w:r>
        <w:rPr>
          <w:rFonts w:hint="default" w:ascii="Times New Roman" w:hAnsi="Times New Roman" w:eastAsia="仿宋_GB2312" w:cs="Times New Roman"/>
          <w:b w:val="0"/>
          <w:bCs w:val="0"/>
          <w:color w:val="auto"/>
          <w:sz w:val="32"/>
          <w:szCs w:val="32"/>
          <w:highlight w:val="none"/>
          <w:lang w:val="en-US" w:eastAsia="zh-CN"/>
        </w:rPr>
        <w:t>健全房地产“白名单”融资机制，加强资金监管，严控新增风险</w:t>
      </w:r>
      <w:r>
        <w:rPr>
          <w:rFonts w:hint="eastAsia" w:ascii="Times New Roman" w:hAnsi="Times New Roman" w:eastAsia="仿宋_GB2312" w:cs="Times New Roman"/>
          <w:b w:val="0"/>
          <w:bCs w:val="0"/>
          <w:color w:val="auto"/>
          <w:sz w:val="32"/>
          <w:szCs w:val="32"/>
          <w:highlight w:val="none"/>
          <w:lang w:val="en-US" w:eastAsia="zh-CN"/>
        </w:rPr>
        <w:t>楼盘</w:t>
      </w:r>
      <w:r>
        <w:rPr>
          <w:rFonts w:hint="default" w:ascii="Times New Roman" w:hAnsi="Times New Roman" w:eastAsia="仿宋_GB2312" w:cs="Times New Roman"/>
          <w:b w:val="0"/>
          <w:bCs w:val="0"/>
          <w:color w:val="auto"/>
          <w:sz w:val="32"/>
          <w:szCs w:val="32"/>
          <w:highlight w:val="none"/>
          <w:lang w:val="en-US" w:eastAsia="zh-CN"/>
        </w:rPr>
        <w:t>。扎实做好“保交楼”“保交房”，稳妥化解正央公园、金科桃李郡、古城印象等项目遗留问题，确保房屋如期交付。</w:t>
      </w:r>
    </w:p>
    <w:p w14:paraId="50250B1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3.抓好污染防治攻坚。</w:t>
      </w:r>
      <w:r>
        <w:rPr>
          <w:rFonts w:hint="default" w:ascii="Times New Roman" w:hAnsi="Times New Roman" w:eastAsia="仿宋_GB2312" w:cs="Times New Roman"/>
          <w:b w:val="0"/>
          <w:bCs w:val="0"/>
          <w:color w:val="auto"/>
          <w:sz w:val="32"/>
          <w:szCs w:val="32"/>
          <w:highlight w:val="none"/>
          <w:lang w:val="en-US" w:eastAsia="zh-CN"/>
        </w:rPr>
        <w:t>扎实开展中央和省环保督察整改“回头看”，严防问题反弹。持续打好蓝天、碧水、净土保卫战，确保空气质量优良率92%以上，国控、省控断面水质达Ⅱ类以上，污染耕地安全利用率93%以上。完成31个</w:t>
      </w:r>
      <w:r>
        <w:rPr>
          <w:rFonts w:hint="eastAsia" w:ascii="仿宋_GB2312" w:hAnsi="仿宋_GB2312" w:eastAsia="仿宋_GB2312" w:cs="仿宋_GB2312"/>
          <w:color w:val="auto"/>
          <w:sz w:val="32"/>
          <w:szCs w:val="32"/>
          <w:lang w:val="en-US" w:eastAsia="zh-CN"/>
        </w:rPr>
        <w:t>历史遗留</w:t>
      </w:r>
      <w:r>
        <w:rPr>
          <w:rFonts w:hint="default" w:ascii="Times New Roman" w:hAnsi="Times New Roman" w:eastAsia="仿宋_GB2312" w:cs="Times New Roman"/>
          <w:b w:val="0"/>
          <w:bCs w:val="0"/>
          <w:color w:val="auto"/>
          <w:sz w:val="32"/>
          <w:szCs w:val="32"/>
          <w:highlight w:val="none"/>
          <w:lang w:val="en-US" w:eastAsia="zh-CN"/>
        </w:rPr>
        <w:t>废弃矿山图斑生态修复，争创1个省级绿色矿山。</w:t>
      </w:r>
      <w:r>
        <w:rPr>
          <w:rFonts w:hint="eastAsia" w:ascii="仿宋_GB2312" w:hAnsi="仿宋_GB2312" w:eastAsia="仿宋_GB2312" w:cs="仿宋_GB2312"/>
          <w:color w:val="auto"/>
          <w:sz w:val="32"/>
          <w:szCs w:val="32"/>
          <w:lang w:val="en-US" w:eastAsia="zh-CN"/>
        </w:rPr>
        <w:t>持续推进矿区人居环境突出问题专项整治，重点实施珠山镇枣木铺村、石岩头镇板上村锰矿废渣治理等项目。</w:t>
      </w:r>
      <w:r>
        <w:rPr>
          <w:rFonts w:hint="default" w:ascii="Times New Roman" w:hAnsi="Times New Roman" w:eastAsia="仿宋_GB2312" w:cs="Times New Roman"/>
          <w:b w:val="0"/>
          <w:bCs w:val="0"/>
          <w:color w:val="auto"/>
          <w:sz w:val="32"/>
          <w:szCs w:val="32"/>
          <w:highlight w:val="none"/>
          <w:lang w:val="en-US" w:eastAsia="zh-CN"/>
        </w:rPr>
        <w:t>全面落实河长制、林长制、田长制和野生动植物保护机制。加强与诚通碳汇（湖南）公司合作，力争年内实现CCER碳汇项目交易</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持续推进国储林和中央财政国土绿化项目。</w:t>
      </w:r>
    </w:p>
    <w:p w14:paraId="0AD4221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4.守牢安全生产底线。</w:t>
      </w:r>
      <w:r>
        <w:rPr>
          <w:rFonts w:hint="default" w:ascii="Times New Roman" w:hAnsi="Times New Roman" w:eastAsia="仿宋_GB2312" w:cs="Times New Roman"/>
          <w:b w:val="0"/>
          <w:bCs w:val="0"/>
          <w:color w:val="auto"/>
          <w:sz w:val="32"/>
          <w:szCs w:val="32"/>
          <w:highlight w:val="none"/>
          <w:lang w:val="en-US" w:eastAsia="zh-CN"/>
        </w:rPr>
        <w:t>严格落实安全生产“十五条硬措施”，</w:t>
      </w:r>
      <w:r>
        <w:rPr>
          <w:rFonts w:hint="eastAsia" w:ascii="仿宋_GB2312" w:hAnsi="仿宋_GB2312" w:eastAsia="仿宋_GB2312" w:cs="仿宋_GB2312"/>
          <w:b w:val="0"/>
          <w:bCs w:val="0"/>
          <w:color w:val="auto"/>
          <w:sz w:val="32"/>
          <w:szCs w:val="32"/>
          <w:lang w:val="en-US" w:eastAsia="zh-CN"/>
        </w:rPr>
        <w:t>继续安排财政预算预备费的一半，专项用于安全生产隐患排查整治和应急处置，</w:t>
      </w:r>
      <w:r>
        <w:rPr>
          <w:rFonts w:hint="default" w:ascii="Times New Roman" w:hAnsi="Times New Roman" w:eastAsia="仿宋_GB2312" w:cs="Times New Roman"/>
          <w:b w:val="0"/>
          <w:bCs w:val="0"/>
          <w:color w:val="auto"/>
          <w:sz w:val="32"/>
          <w:szCs w:val="32"/>
          <w:highlight w:val="none"/>
          <w:lang w:val="en-US" w:eastAsia="zh-CN"/>
        </w:rPr>
        <w:t>优先保障安全生产、生态环保、社会稳定等底线支出。深化“2614”工作法，落实重大风险隐患报告制度和乡镇履职清单、周工作制</w:t>
      </w:r>
      <w:r>
        <w:rPr>
          <w:rFonts w:hint="eastAsia" w:ascii="Times New Roman" w:hAnsi="Times New Roman" w:eastAsia="仿宋_GB2312" w:cs="Times New Roman"/>
          <w:b w:val="0"/>
          <w:bCs w:val="0"/>
          <w:color w:val="auto"/>
          <w:sz w:val="32"/>
          <w:szCs w:val="32"/>
          <w:highlight w:val="none"/>
          <w:lang w:val="en-US" w:eastAsia="zh-CN"/>
        </w:rPr>
        <w:t>度</w:t>
      </w:r>
      <w:r>
        <w:rPr>
          <w:rFonts w:hint="default" w:ascii="Times New Roman" w:hAnsi="Times New Roman" w:eastAsia="仿宋_GB2312" w:cs="Times New Roman"/>
          <w:b w:val="0"/>
          <w:bCs w:val="0"/>
          <w:color w:val="auto"/>
          <w:sz w:val="32"/>
          <w:szCs w:val="32"/>
          <w:highlight w:val="none"/>
          <w:lang w:val="en-US" w:eastAsia="zh-CN"/>
        </w:rPr>
        <w:t>，实现基层排查和执法监管“两个全覆盖”。聚焦交通、燃气、建筑施工、非煤矿山、消防、危化品、烟花爆竹、人员密集场所等重点领域，常态化开展风险隐患排查整治，提升本质安全水平。加强食品、药品、工业产品和特种设备安全监管。强化自然灾害监测预警，建强基层应急队伍和装备，常态化开展应急演练和培训，全面提升防灾减灾救灾能力。</w:t>
      </w:r>
      <w:r>
        <w:rPr>
          <w:rFonts w:hint="default" w:ascii="Times New Roman" w:hAnsi="Times New Roman" w:eastAsia="仿宋_GB2312" w:cs="Times New Roman"/>
          <w:b w:val="0"/>
          <w:bCs w:val="0"/>
          <w:color w:val="auto"/>
          <w:sz w:val="32"/>
          <w:szCs w:val="32"/>
          <w:highlight w:val="none"/>
          <w:lang w:val="en-US" w:eastAsia="zh-CN"/>
        </w:rPr>
        <w:tab/>
      </w:r>
    </w:p>
    <w:p w14:paraId="094A1E4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与此同时，持续做好国防动员、消防、工会、共青团、妇联、残联、工商联、文联、侨联、审计、移民、保密、统计、物价、档案、人防、气象、水文、史志、对台、老龄等工作。</w:t>
      </w:r>
    </w:p>
    <w:p w14:paraId="0A7E2BC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各位代表，2026年任务艰巨、责任重大、使命光荣。我们要更加紧密地团结在以习近平同志为核心的党中央周围，在省委、省政府、市委、市政府和区委、区政府的坚强领导下，在区人大、区政协的监督支持下，锚定目标，坚定信心，踔厉奋发、勇毅前行，为顺利实现“十五五”规划各项目标任务、为全面建设社会主义现代化新零陵而团结奋斗</w:t>
      </w:r>
      <w:r>
        <w:rPr>
          <w:rFonts w:hint="eastAsia" w:ascii="Times New Roman" w:hAnsi="Times New Roman" w:eastAsia="仿宋_GB2312" w:cs="Times New Roman"/>
          <w:b w:val="0"/>
          <w:bCs w:val="0"/>
          <w:color w:val="auto"/>
          <w:sz w:val="32"/>
          <w:szCs w:val="32"/>
          <w:highlight w:val="none"/>
          <w:lang w:val="en-US" w:eastAsia="zh-CN"/>
        </w:rPr>
        <w:t>！</w:t>
      </w:r>
    </w:p>
    <w:p w14:paraId="5F46150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40"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p>
    <w:p w14:paraId="0744F1A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p>
    <w:p w14:paraId="311CAA1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60" w:lineRule="exact"/>
        <w:ind w:left="0" w:leftChars="0"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名词解释：</w:t>
      </w:r>
    </w:p>
    <w:p w14:paraId="5890BEE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60" w:lineRule="exact"/>
        <w:ind w:left="0" w:leftChars="0" w:firstLine="420" w:firstLineChars="200"/>
        <w:jc w:val="righ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cs="Times New Roman"/>
          <w:color w:val="auto"/>
        </w:rPr>
        <w:drawing>
          <wp:anchor distT="0" distB="0" distL="114300" distR="114300" simplePos="0" relativeHeight="251659264" behindDoc="1" locked="0" layoutInCell="1" allowOverlap="1">
            <wp:simplePos x="0" y="0"/>
            <wp:positionH relativeFrom="column">
              <wp:posOffset>4284980</wp:posOffset>
            </wp:positionH>
            <wp:positionV relativeFrom="paragraph">
              <wp:posOffset>130175</wp:posOffset>
            </wp:positionV>
            <wp:extent cx="1133475" cy="1097915"/>
            <wp:effectExtent l="0" t="0" r="9525" b="6985"/>
            <wp:wrapTight wrapText="bothSides">
              <wp:wrapPolygon>
                <wp:start x="0" y="0"/>
                <wp:lineTo x="0" y="21363"/>
                <wp:lineTo x="21418" y="21363"/>
                <wp:lineTo x="21418"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133475" cy="1097915"/>
                    </a:xfrm>
                    <a:prstGeom prst="rect">
                      <a:avLst/>
                    </a:prstGeom>
                    <a:noFill/>
                    <a:ln>
                      <a:noFill/>
                    </a:ln>
                  </pic:spPr>
                </pic:pic>
              </a:graphicData>
            </a:graphic>
          </wp:anchor>
        </w:drawing>
      </w:r>
    </w:p>
    <w:p w14:paraId="0A324B7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p>
    <w:sectPr>
      <w:footerReference r:id="rId3" w:type="default"/>
      <w:pgSz w:w="11905" w:h="16838" w:orient="landscape"/>
      <w:pgMar w:top="1701" w:right="1701" w:bottom="1701" w:left="1701"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846A83-3BA4-4FA8-BAC1-3AD9305371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2" w:fontKey="{5AF19220-00F0-4A00-A042-EC9BF1A7384E}"/>
  </w:font>
  <w:font w:name="华文中宋">
    <w:panose1 w:val="02010600040101010101"/>
    <w:charset w:val="86"/>
    <w:family w:val="auto"/>
    <w:pitch w:val="default"/>
    <w:sig w:usb0="00000287" w:usb1="080F0000" w:usb2="00000000" w:usb3="00000000" w:csb0="0004009F" w:csb1="DFD70000"/>
    <w:embedRegular r:id="rId3" w:fontKey="{C449534F-5830-4860-A366-640F74223D42}"/>
  </w:font>
  <w:font w:name="仿宋_GB2312">
    <w:panose1 w:val="02010609030101010101"/>
    <w:charset w:val="86"/>
    <w:family w:val="auto"/>
    <w:pitch w:val="default"/>
    <w:sig w:usb0="00000001" w:usb1="080E0000" w:usb2="00000000" w:usb3="00000000" w:csb0="00040000" w:csb1="00000000"/>
    <w:embedRegular r:id="rId4" w:fontKey="{495FDCB4-3222-4C6B-93C5-CA77012301E9}"/>
  </w:font>
  <w:font w:name="微软雅黑">
    <w:panose1 w:val="020B0503020204020204"/>
    <w:charset w:val="86"/>
    <w:family w:val="auto"/>
    <w:pitch w:val="default"/>
    <w:sig w:usb0="80000287" w:usb1="2ACF3C50" w:usb2="00000016" w:usb3="00000000" w:csb0="0004001F" w:csb1="00000000"/>
    <w:embedRegular r:id="rId5" w:fontKey="{875F410B-D022-4D50-A4A1-D6A49451CD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E275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1A4F4">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31A4F4">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EB200"/>
    <w:multiLevelType w:val="singleLevel"/>
    <w:tmpl w:val="F2DEB2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MjBjOTVlMDlkN2M4MTYzM2RlOWM0YmI0ZWJiMWUifQ=="/>
    <w:docVar w:name="KSO_WPS_MARK_KEY" w:val="c6a5a0ba-11d1-4319-a647-f92ec91580eb"/>
  </w:docVars>
  <w:rsids>
    <w:rsidRoot w:val="2145210D"/>
    <w:rsid w:val="005B6C31"/>
    <w:rsid w:val="00687A37"/>
    <w:rsid w:val="00B1486B"/>
    <w:rsid w:val="017311EE"/>
    <w:rsid w:val="047B2A82"/>
    <w:rsid w:val="05570E2A"/>
    <w:rsid w:val="07153E89"/>
    <w:rsid w:val="07CF36DD"/>
    <w:rsid w:val="088050B2"/>
    <w:rsid w:val="09E0252C"/>
    <w:rsid w:val="0AD660F6"/>
    <w:rsid w:val="0C3126AA"/>
    <w:rsid w:val="0C995AB6"/>
    <w:rsid w:val="0DDB738E"/>
    <w:rsid w:val="0E110BA6"/>
    <w:rsid w:val="0ED87C76"/>
    <w:rsid w:val="100B7BD7"/>
    <w:rsid w:val="11011CA1"/>
    <w:rsid w:val="1109680C"/>
    <w:rsid w:val="11DE2D25"/>
    <w:rsid w:val="12702818"/>
    <w:rsid w:val="13B550A5"/>
    <w:rsid w:val="14DA3C44"/>
    <w:rsid w:val="164304AF"/>
    <w:rsid w:val="16BB08D6"/>
    <w:rsid w:val="16F23BD0"/>
    <w:rsid w:val="18FC6C57"/>
    <w:rsid w:val="19D30249"/>
    <w:rsid w:val="1AE479A2"/>
    <w:rsid w:val="1F4160D7"/>
    <w:rsid w:val="205B02D0"/>
    <w:rsid w:val="205D1405"/>
    <w:rsid w:val="2145210D"/>
    <w:rsid w:val="22D14CB0"/>
    <w:rsid w:val="23DC475D"/>
    <w:rsid w:val="24B91781"/>
    <w:rsid w:val="259A582D"/>
    <w:rsid w:val="27003DB6"/>
    <w:rsid w:val="271C188B"/>
    <w:rsid w:val="2A136595"/>
    <w:rsid w:val="2AE93CBC"/>
    <w:rsid w:val="2C6C4BD5"/>
    <w:rsid w:val="2DFC4C81"/>
    <w:rsid w:val="2E3A195C"/>
    <w:rsid w:val="2E8F099E"/>
    <w:rsid w:val="2F130AEE"/>
    <w:rsid w:val="306373F8"/>
    <w:rsid w:val="3111284C"/>
    <w:rsid w:val="31DB35D8"/>
    <w:rsid w:val="3268100B"/>
    <w:rsid w:val="345657F1"/>
    <w:rsid w:val="346B7312"/>
    <w:rsid w:val="37E60D92"/>
    <w:rsid w:val="38923717"/>
    <w:rsid w:val="38D71082"/>
    <w:rsid w:val="38E47094"/>
    <w:rsid w:val="3BC0355E"/>
    <w:rsid w:val="3E230966"/>
    <w:rsid w:val="40EA4008"/>
    <w:rsid w:val="418336A8"/>
    <w:rsid w:val="43081395"/>
    <w:rsid w:val="43CA5588"/>
    <w:rsid w:val="43D146B8"/>
    <w:rsid w:val="49224E2D"/>
    <w:rsid w:val="499131C2"/>
    <w:rsid w:val="4A8978D5"/>
    <w:rsid w:val="4B1714B1"/>
    <w:rsid w:val="4BA6642B"/>
    <w:rsid w:val="4BEB0A94"/>
    <w:rsid w:val="4D7D148A"/>
    <w:rsid w:val="4E531AFA"/>
    <w:rsid w:val="4E7B1255"/>
    <w:rsid w:val="4F3517CE"/>
    <w:rsid w:val="4FAB02FC"/>
    <w:rsid w:val="4FE64698"/>
    <w:rsid w:val="503451E4"/>
    <w:rsid w:val="50C9743A"/>
    <w:rsid w:val="50CA2BBB"/>
    <w:rsid w:val="51085264"/>
    <w:rsid w:val="51804F46"/>
    <w:rsid w:val="54745318"/>
    <w:rsid w:val="55AC288F"/>
    <w:rsid w:val="55E239FF"/>
    <w:rsid w:val="5656105B"/>
    <w:rsid w:val="56A45C5C"/>
    <w:rsid w:val="56E83D9B"/>
    <w:rsid w:val="56F7281B"/>
    <w:rsid w:val="57B863C9"/>
    <w:rsid w:val="58D520FD"/>
    <w:rsid w:val="5B0D5EAE"/>
    <w:rsid w:val="5B1B0026"/>
    <w:rsid w:val="5EDA4AF4"/>
    <w:rsid w:val="5F6917F1"/>
    <w:rsid w:val="624058E7"/>
    <w:rsid w:val="62F35BF8"/>
    <w:rsid w:val="63112D6F"/>
    <w:rsid w:val="636B7593"/>
    <w:rsid w:val="6397429B"/>
    <w:rsid w:val="66C23698"/>
    <w:rsid w:val="67D91B72"/>
    <w:rsid w:val="68190258"/>
    <w:rsid w:val="68394457"/>
    <w:rsid w:val="6879313A"/>
    <w:rsid w:val="69A47B5D"/>
    <w:rsid w:val="69FA6B46"/>
    <w:rsid w:val="6A9D3272"/>
    <w:rsid w:val="6BDC307A"/>
    <w:rsid w:val="6EED3FA1"/>
    <w:rsid w:val="71A06D61"/>
    <w:rsid w:val="71C56D5B"/>
    <w:rsid w:val="72897A86"/>
    <w:rsid w:val="73313E8B"/>
    <w:rsid w:val="751237CD"/>
    <w:rsid w:val="751734B3"/>
    <w:rsid w:val="75FF7FCA"/>
    <w:rsid w:val="769E5DCD"/>
    <w:rsid w:val="77336515"/>
    <w:rsid w:val="775C6FB7"/>
    <w:rsid w:val="77FD6997"/>
    <w:rsid w:val="7A174F13"/>
    <w:rsid w:val="7A1F0589"/>
    <w:rsid w:val="7B217C52"/>
    <w:rsid w:val="7C7F13BB"/>
    <w:rsid w:val="7DB04FFE"/>
    <w:rsid w:val="7DBF4391"/>
    <w:rsid w:val="7DFD0C42"/>
    <w:rsid w:val="7F320727"/>
    <w:rsid w:val="7F811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oc 5"/>
    <w:basedOn w:val="1"/>
    <w:next w:val="1"/>
    <w:qFormat/>
    <w:uiPriority w:val="0"/>
    <w:pPr>
      <w:ind w:left="1680" w:leftChars="800"/>
    </w:pPr>
    <w:rPr>
      <w:rFonts w:hint="eastAsia" w:ascii="Times New Roman" w:hAnsi="Times New Roman" w:eastAsia="宋体" w:cs="Times New Roman"/>
      <w:sz w:val="22"/>
      <w:szCs w:val="24"/>
    </w:rPr>
  </w:style>
  <w:style w:type="paragraph" w:styleId="7">
    <w:name w:val="Body Text Indent"/>
    <w:basedOn w:val="1"/>
    <w:qFormat/>
    <w:uiPriority w:val="0"/>
    <w:pPr>
      <w:spacing w:line="600" w:lineRule="exact"/>
      <w:ind w:firstLine="600" w:firstLineChars="200"/>
      <w:jc w:val="left"/>
    </w:pPr>
    <w:rPr>
      <w:rFonts w:ascii="方正仿宋简体" w:eastAsia="方正仿宋简体"/>
      <w:sz w:val="30"/>
    </w:rPr>
  </w:style>
  <w:style w:type="paragraph" w:styleId="8">
    <w:name w:val="endnote text"/>
    <w:basedOn w:val="1"/>
    <w:next w:val="5"/>
    <w:qFormat/>
    <w:uiPriority w:val="0"/>
    <w:rPr>
      <w:rFonts w:ascii="Times New Roman" w:hAnsi="Times New Roman"/>
    </w:rPr>
  </w:style>
  <w:style w:type="paragraph" w:styleId="9">
    <w:name w:val="Balloon Text"/>
    <w:basedOn w:val="1"/>
    <w:qFormat/>
    <w:uiPriority w:val="0"/>
    <w:rPr>
      <w:rFonts w:ascii="Times New Roman" w:hAnsi="Times New Roman" w:cs="Times New Roman"/>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index 9"/>
    <w:basedOn w:val="1"/>
    <w:next w:val="1"/>
    <w:qFormat/>
    <w:uiPriority w:val="0"/>
    <w:pPr>
      <w:ind w:left="3360"/>
    </w:pPr>
  </w:style>
  <w:style w:type="paragraph" w:styleId="12">
    <w:name w:val="Body Text First Indent"/>
    <w:basedOn w:val="5"/>
    <w:qFormat/>
    <w:uiPriority w:val="0"/>
    <w:pPr>
      <w:ind w:firstLine="420" w:firstLineChars="100"/>
    </w:pPr>
  </w:style>
  <w:style w:type="paragraph" w:styleId="13">
    <w:name w:val="Body Text First Indent 2"/>
    <w:basedOn w:val="7"/>
    <w:qFormat/>
    <w:uiPriority w:val="99"/>
    <w:pPr>
      <w:ind w:firstLine="420"/>
    </w:pPr>
  </w:style>
  <w:style w:type="character" w:styleId="16">
    <w:name w:val="Emphasis"/>
    <w:basedOn w:val="15"/>
    <w:qFormat/>
    <w:uiPriority w:val="0"/>
    <w:rPr>
      <w:i/>
    </w:rPr>
  </w:style>
  <w:style w:type="paragraph" w:customStyle="1" w:styleId="17">
    <w:name w:val="BodyText"/>
    <w:basedOn w:val="1"/>
    <w:next w:val="18"/>
    <w:qFormat/>
    <w:uiPriority w:val="0"/>
    <w:pPr>
      <w:spacing w:after="120"/>
      <w:textAlignment w:val="baseline"/>
    </w:pPr>
    <w:rPr>
      <w:rFonts w:ascii="Times New Roman" w:hAnsi="Times New Roman" w:eastAsia="宋体" w:cs="Times New Roman"/>
    </w:rPr>
  </w:style>
  <w:style w:type="paragraph" w:customStyle="1" w:styleId="18">
    <w:name w:val="BodyText1I"/>
    <w:basedOn w:val="17"/>
    <w:qFormat/>
    <w:uiPriority w:val="0"/>
    <w:pPr>
      <w:widowControl/>
      <w:snapToGrid w:val="0"/>
      <w:ind w:firstLine="420" w:firstLineChars="100"/>
    </w:pPr>
    <w:rPr>
      <w:sz w:val="22"/>
      <w:szCs w:val="22"/>
    </w:rPr>
  </w:style>
  <w:style w:type="character" w:customStyle="1" w:styleId="19">
    <w:name w:val="NormalCharacter"/>
    <w:link w:val="20"/>
    <w:qFormat/>
    <w:uiPriority w:val="0"/>
    <w:rPr>
      <w:rFonts w:ascii="Times New Roman" w:hAnsi="Times New Roman"/>
      <w:kern w:val="0"/>
      <w:sz w:val="20"/>
      <w:szCs w:val="20"/>
    </w:rPr>
  </w:style>
  <w:style w:type="paragraph" w:customStyle="1" w:styleId="20">
    <w:name w:val="UserStyle_0"/>
    <w:basedOn w:val="1"/>
    <w:link w:val="19"/>
    <w:qFormat/>
    <w:uiPriority w:val="0"/>
    <w:pPr>
      <w:widowControl/>
      <w:tabs>
        <w:tab w:val="left" w:pos="4665"/>
        <w:tab w:val="left" w:pos="8970"/>
      </w:tabs>
      <w:ind w:firstLine="400"/>
      <w:textAlignment w:val="baseline"/>
    </w:pPr>
    <w:rPr>
      <w:rFonts w:ascii="Times New Roman" w:hAnsi="Times New Roman"/>
      <w:kern w:val="0"/>
      <w:sz w:val="20"/>
      <w:szCs w:val="20"/>
    </w:rPr>
  </w:style>
  <w:style w:type="paragraph" w:customStyle="1" w:styleId="21">
    <w:name w:val="样式 文字 + 首行缩进:  2 字符3"/>
    <w:basedOn w:val="1"/>
    <w:qFormat/>
    <w:uiPriority w:val="99"/>
    <w:pPr>
      <w:spacing w:line="360" w:lineRule="auto"/>
      <w:jc w:val="left"/>
    </w:pPr>
    <w:rPr>
      <w:rFonts w:ascii="Times New Roman" w:hAnsi="Times New Roman" w:eastAsia="楷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6508bc22-5b51-489c-8a98-b7bd61335e42</errorID>
      <errorWord>(</errorWord>
      <group>L1_Format</group>
      <groupName>格式问题</groupName>
      <ability>L2_HalfPunc</ability>
      <abilityName>全半角检查</abilityName>
      <candidateList>
        <item>（</item>
      </candidateList>
      <explain>文本全半角错误。</explain>
      <paraID>2A644E65</paraID>
      <start>49</start>
      <end>50</end>
      <status>unmodified</status>
      <modifiedWord/>
      <trackRevisions>false</trackRevisions>
    </reviewItem>
    <reviewItem>
      <errorID>d6b188e7-4454-410c-9b31-d12cc1ccfc8e</errorID>
      <errorWord>)</errorWord>
      <group>L1_Format</group>
      <groupName>格式问题</groupName>
      <ability>L2_HalfPunc</ability>
      <abilityName>全半角检查</abilityName>
      <candidateList>
        <item>）</item>
      </candidateList>
      <explain>文本全半角错误。</explain>
      <paraID>2A644E65</paraID>
      <start>52</start>
      <end>53</end>
      <status>unmodified</status>
      <modifiedWord/>
      <trackRevisions>false</trackRevisions>
    </reviewItem>
    <reviewItem>
      <errorID>01048fc6-dbc5-49d4-8568-9b7ac917bbe7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5AD65D1E</paraID>
      <start>67</start>
      <end>68</end>
      <status>unmodified</status>
      <modifiedWord/>
      <trackRevisions>false</trackRevisions>
    </reviewItem>
    <reviewItem>
      <errorID>26fe8a37-954d-497d-83f7-7e9a37d9fe83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5AD65D1E</paraID>
      <start>86</start>
      <end>87</end>
      <status>unmodified</status>
      <modifiedWord/>
      <trackRevisions>false</trackRevisions>
    </reviewItem>
    <reviewItem>
      <errorID>752f559d-6b79-4536-b135-19bdabeaf0e1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5AD65D1E</paraID>
      <start>285</start>
      <end>286</end>
      <status>unmodified</status>
      <modifiedWord/>
      <trackRevisions>false</trackRevisions>
    </reviewItem>
    <reviewItem>
      <errorID>bc817f43-9fd9-4870-92fb-d35e621b8b11</errorID>
      <errorWord>建设宜居宜业乡村</errorWord>
      <group>L1_Political</group>
      <groupName>政治性问题</groupName>
      <ability>L2_Keyword</ability>
      <abilityName>固定表述</abilityName>
      <candidateList>
        <item>建设宜居宜业和美乡村</item>
      </candidateList>
      <explain>词汇“建设宜居宜业和美乡村”在特定场景下为固定表述形式，请确认此处的“建设宜居宜业乡村”是否存在不当。</explain>
      <paraID>7628AB9D</paraID>
      <start>9</start>
      <end>17</end>
      <status>unmodified</status>
      <modifiedWord/>
      <trackRevisions>false</trackRevisions>
    </reviewItem>
    <reviewItem>
      <errorID>a087efa6-3e20-4df0-aa7a-2838fb754fc9</errorID>
      <errorWord>蘋</errorWord>
      <group>L1_Word</group>
      <groupName>字词问题</groupName>
      <ability>L2_Fanti</ability>
      <abilityName>繁转简</abilityName>
      <candidateList>
        <item>苹</item>
      </candidateList>
      <explain/>
      <paraID>1D8F9A74</paraID>
      <start>121</start>
      <end>122</end>
      <status>unmodified</status>
      <modifiedWord/>
      <trackRevisions>false</trackRevisions>
    </reviewItem>
    <reviewItem>
      <errorID>12cda792-8b3d-43a5-8923-a41963e50c74</errorID>
      <errorWord>“三权分置”</errorWord>
      <group>L1_Word</group>
      <groupName>字词问题</groupName>
      <ability>L2_Typo</ability>
      <abilityName>字词错误</abilityName>
      <candidateList>
        <item>“三权”分置</item>
      </candidateList>
      <explain/>
      <paraID>7D3BB373</paraID>
      <start>187</start>
      <end>193</end>
      <status>unmodified</status>
      <modifiedWord/>
      <trackRevisions>false</trackRevisions>
    </reviewItem>
    <reviewItem>
      <errorID>80a53adc-3b5c-423a-b7b4-d3f1b50e25a1</errorID>
      <errorWord>办好人民满意教育</errorWord>
      <group>L1_Political</group>
      <groupName>政治性问题</groupName>
      <ability>L2_Keyword</ability>
      <abilityName>固定表述</abilityName>
      <candidateList>
        <item>办好人民满意的教育</item>
      </candidateList>
      <explain>词汇“办好人民满意的教育”在特定场景下为固定表述形式，请确认此处的“办好人民满意教育”是否存在不当。</explain>
      <paraID>21FB8969</paraID>
      <start>2</start>
      <end>10</end>
      <status>unmodified</status>
      <modifiedWord/>
      <trackRevisions>false</trackRevisions>
    </reviewItem>
    <reviewItem>
      <errorID>430aa6bd-a3ce-43ba-8cef-b60109beee2c</errorID>
      <errorWord>何</errorWord>
      <group>L1_Word</group>
      <groupName>字词问题</groupName>
      <ability>L2_Typo</ability>
      <abilityName>字词错误</abilityName>
      <candidateList>
        <item>车</item>
      </candidateList>
      <explain>存在发音相近字词的误用。</explain>
      <paraID>1787971F</paraID>
      <start>126</start>
      <end>127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994f2-3d7d-4b6b-8afb-27d664df15bf}">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2521</Words>
  <Characters>2738</Characters>
  <Lines>0</Lines>
  <Paragraphs>0</Paragraphs>
  <TotalTime>0</TotalTime>
  <ScaleCrop>false</ScaleCrop>
  <LinksUpToDate>false</LinksUpToDate>
  <CharactersWithSpaces>2753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2023-12-11T15:27:00Z</dcterms:created>
  <dc:creator>_小永</dc:creator>
  <cp:lastModifiedBy>天空之城</cp:lastModifiedBy>
  <cp:lastPrinted>2025-12-13T01:36:00Z</cp:lastPrinted>
  <dcterms:modified xsi:type="dcterms:W3CDTF">2026-03-31T01:30:23Z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F03BDEA159CB4D6D9A5AF886D4480A10_13</vt:lpwstr>
  </property>
  <property fmtid="{D5CDD505-2E9C-101B-9397-08002B2CF9AE}" pid="4" name="KSOTemplateDocerSaveRecord">
    <vt:lpwstr>eyJoZGlkIjoiODRjMjBjOTVlMDlkN2M4MTYzM2RlOWM0YmI0ZWJiMWUiLCJ1c2VySWQiOiI0NjQ3MTgxMzQifQ==</vt:lpwstr>
  </property>
</Properties>
</file>