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FF3D0">
      <w:pPr>
        <w:jc w:val="center"/>
        <w:rPr>
          <w:rFonts w:hint="eastAsia" w:eastAsia="方正小标宋_GBK"/>
          <w:sz w:val="48"/>
          <w:szCs w:val="48"/>
          <w:lang w:val="en-US" w:eastAsia="zh-CN"/>
        </w:rPr>
      </w:pPr>
      <w:bookmarkStart w:id="0" w:name="_GoBack"/>
      <w:bookmarkEnd w:id="0"/>
    </w:p>
    <w:p w14:paraId="23F67AE6">
      <w:pPr>
        <w:jc w:val="center"/>
        <w:rPr>
          <w:rFonts w:hint="eastAsia" w:eastAsia="方正小标宋_GBK"/>
          <w:b/>
          <w:bCs/>
          <w:sz w:val="48"/>
          <w:szCs w:val="48"/>
          <w:lang w:val="en-US" w:eastAsia="zh-CN"/>
        </w:rPr>
      </w:pPr>
    </w:p>
    <w:p w14:paraId="431E61CF">
      <w:pPr>
        <w:jc w:val="center"/>
        <w:rPr>
          <w:rFonts w:hint="eastAsia" w:eastAsia="方正小标宋_GBK"/>
          <w:b/>
          <w:bCs/>
          <w:sz w:val="48"/>
          <w:szCs w:val="48"/>
          <w:lang w:eastAsia="zh-CN"/>
        </w:rPr>
      </w:pPr>
      <w:r>
        <w:rPr>
          <w:rFonts w:hint="eastAsia" w:eastAsia="方正小标宋_GBK"/>
          <w:b/>
          <w:bCs/>
          <w:sz w:val="48"/>
          <w:szCs w:val="48"/>
          <w:lang w:val="en-US" w:eastAsia="zh-CN"/>
        </w:rPr>
        <w:t>2023</w:t>
      </w:r>
      <w:r>
        <w:rPr>
          <w:rFonts w:eastAsia="方正小标宋_GBK"/>
          <w:b/>
          <w:bCs/>
          <w:sz w:val="48"/>
          <w:szCs w:val="48"/>
        </w:rPr>
        <w:t>年度</w:t>
      </w:r>
      <w:r>
        <w:rPr>
          <w:rFonts w:hint="eastAsia" w:eastAsia="方正小标宋_GBK"/>
          <w:b/>
          <w:bCs/>
          <w:sz w:val="48"/>
          <w:szCs w:val="48"/>
          <w:lang w:eastAsia="zh-CN"/>
        </w:rPr>
        <w:t>零陵区卫生健康局部门</w:t>
      </w:r>
    </w:p>
    <w:p w14:paraId="4D7019C4">
      <w:pPr>
        <w:jc w:val="center"/>
        <w:rPr>
          <w:rFonts w:eastAsia="方正小标宋_GBK"/>
          <w:b/>
          <w:bCs/>
          <w:sz w:val="48"/>
          <w:szCs w:val="48"/>
        </w:rPr>
      </w:pPr>
      <w:r>
        <w:rPr>
          <w:rFonts w:eastAsia="方正小标宋_GBK"/>
          <w:b/>
          <w:bCs/>
          <w:sz w:val="48"/>
          <w:szCs w:val="48"/>
        </w:rPr>
        <w:t>整体支出绩效自评报告</w:t>
      </w:r>
    </w:p>
    <w:p w14:paraId="0B442099">
      <w:pPr>
        <w:jc w:val="center"/>
        <w:rPr>
          <w:rFonts w:eastAsia="黑体"/>
          <w:sz w:val="32"/>
          <w:szCs w:val="32"/>
        </w:rPr>
      </w:pPr>
    </w:p>
    <w:p w14:paraId="4FF4D507">
      <w:pPr>
        <w:jc w:val="center"/>
        <w:rPr>
          <w:rFonts w:hint="eastAsia" w:eastAsia="黑体"/>
          <w:sz w:val="32"/>
          <w:szCs w:val="32"/>
          <w:lang w:eastAsia="zh-CN"/>
        </w:rPr>
      </w:pPr>
    </w:p>
    <w:p w14:paraId="5CECFF06">
      <w:pPr>
        <w:jc w:val="center"/>
        <w:rPr>
          <w:rFonts w:eastAsia="黑体"/>
          <w:sz w:val="32"/>
          <w:szCs w:val="32"/>
        </w:rPr>
      </w:pPr>
    </w:p>
    <w:p w14:paraId="05C3899A">
      <w:pPr>
        <w:jc w:val="center"/>
        <w:rPr>
          <w:rFonts w:eastAsia="黑体"/>
          <w:sz w:val="32"/>
          <w:szCs w:val="32"/>
        </w:rPr>
      </w:pPr>
    </w:p>
    <w:p w14:paraId="46A99125">
      <w:pPr>
        <w:jc w:val="center"/>
        <w:rPr>
          <w:rFonts w:eastAsia="黑体"/>
          <w:sz w:val="32"/>
          <w:szCs w:val="32"/>
        </w:rPr>
      </w:pPr>
    </w:p>
    <w:p w14:paraId="5A28F67A">
      <w:pPr>
        <w:jc w:val="center"/>
        <w:rPr>
          <w:rFonts w:eastAsia="黑体"/>
          <w:sz w:val="32"/>
          <w:szCs w:val="32"/>
        </w:rPr>
      </w:pPr>
    </w:p>
    <w:p w14:paraId="208EFB2B">
      <w:pPr>
        <w:jc w:val="center"/>
        <w:rPr>
          <w:rFonts w:eastAsia="黑体"/>
          <w:sz w:val="32"/>
          <w:szCs w:val="32"/>
        </w:rPr>
      </w:pPr>
    </w:p>
    <w:p w14:paraId="56D4A6E5">
      <w:pPr>
        <w:ind w:firstLine="880" w:firstLineChars="200"/>
        <w:jc w:val="center"/>
        <w:rPr>
          <w:rFonts w:eastAsia="黑体"/>
          <w:sz w:val="44"/>
          <w:szCs w:val="44"/>
        </w:rPr>
      </w:pPr>
    </w:p>
    <w:p w14:paraId="23278D05">
      <w:pPr>
        <w:ind w:firstLine="880" w:firstLineChars="200"/>
        <w:jc w:val="center"/>
        <w:rPr>
          <w:rFonts w:eastAsia="黑体"/>
          <w:sz w:val="44"/>
          <w:szCs w:val="44"/>
        </w:rPr>
      </w:pPr>
    </w:p>
    <w:p w14:paraId="5B72CB68">
      <w:pPr>
        <w:ind w:firstLine="880" w:firstLineChars="200"/>
        <w:jc w:val="center"/>
        <w:rPr>
          <w:rFonts w:eastAsia="黑体"/>
          <w:sz w:val="44"/>
          <w:szCs w:val="44"/>
        </w:rPr>
      </w:pPr>
    </w:p>
    <w:p w14:paraId="7863D2B1">
      <w:pPr>
        <w:ind w:firstLine="720" w:firstLineChars="200"/>
        <w:jc w:val="center"/>
        <w:rPr>
          <w:rFonts w:eastAsia="黑体"/>
          <w:sz w:val="36"/>
          <w:szCs w:val="36"/>
        </w:rPr>
      </w:pPr>
    </w:p>
    <w:p w14:paraId="49469329">
      <w:pPr>
        <w:jc w:val="center"/>
        <w:rPr>
          <w:rFonts w:hint="eastAsia" w:eastAsia="黑体"/>
          <w:sz w:val="36"/>
          <w:szCs w:val="36"/>
          <w:lang w:eastAsia="zh-CN"/>
        </w:rPr>
      </w:pPr>
      <w:r>
        <w:rPr>
          <w:rFonts w:hint="eastAsia" w:eastAsia="黑体"/>
          <w:sz w:val="36"/>
          <w:szCs w:val="36"/>
          <w:lang w:eastAsia="zh-CN"/>
        </w:rPr>
        <w:t>永州市零陵区卫生健康局</w:t>
      </w:r>
    </w:p>
    <w:p w14:paraId="63B97657">
      <w:pPr>
        <w:pStyle w:val="2"/>
        <w:rPr>
          <w:rFonts w:hint="default" w:ascii="Times New Roman" w:hAnsi="Times New Roman" w:eastAsia="黑体" w:cs="Times New Roman"/>
          <w:sz w:val="36"/>
          <w:szCs w:val="36"/>
          <w:lang w:val="en-US" w:eastAsia="zh-CN"/>
        </w:rPr>
      </w:pPr>
      <w:r>
        <w:rPr>
          <w:rFonts w:hint="eastAsia" w:eastAsia="黑体"/>
          <w:sz w:val="36"/>
          <w:szCs w:val="36"/>
          <w:lang w:val="en-US" w:eastAsia="zh-CN"/>
        </w:rPr>
        <w:t xml:space="preserve">         二</w:t>
      </w:r>
      <w:r>
        <w:rPr>
          <w:rFonts w:hint="eastAsia" w:eastAsia="黑体"/>
          <w:sz w:val="44"/>
          <w:szCs w:val="44"/>
          <w:lang w:val="en-US" w:eastAsia="zh-CN"/>
        </w:rPr>
        <w:t>0</w:t>
      </w:r>
      <w:r>
        <w:rPr>
          <w:rFonts w:hint="eastAsia" w:ascii="Times New Roman" w:hAnsi="Times New Roman" w:eastAsia="黑体" w:cs="Times New Roman"/>
          <w:sz w:val="36"/>
          <w:szCs w:val="36"/>
          <w:lang w:val="en-US" w:eastAsia="zh-CN"/>
        </w:rPr>
        <w:t>二四年五月</w:t>
      </w:r>
    </w:p>
    <w:p w14:paraId="357A91DD">
      <w:pPr>
        <w:jc w:val="center"/>
        <w:rPr>
          <w:rFonts w:eastAsia="仿宋_GB2312"/>
          <w:sz w:val="32"/>
          <w:szCs w:val="32"/>
        </w:rPr>
      </w:pPr>
    </w:p>
    <w:p w14:paraId="52187C5A">
      <w:pPr>
        <w:jc w:val="center"/>
        <w:rPr>
          <w:rFonts w:eastAsia="黑体"/>
          <w:sz w:val="36"/>
          <w:szCs w:val="36"/>
        </w:rPr>
      </w:pPr>
    </w:p>
    <w:p w14:paraId="11AE5ABB">
      <w:pPr>
        <w:jc w:val="center"/>
        <w:rPr>
          <w:rFonts w:eastAsia="黑体"/>
          <w:sz w:val="32"/>
          <w:szCs w:val="32"/>
        </w:rPr>
      </w:pPr>
    </w:p>
    <w:p w14:paraId="6D71AC9D">
      <w:pPr>
        <w:spacing w:line="600" w:lineRule="exact"/>
        <w:ind w:firstLine="640" w:firstLineChars="200"/>
        <w:rPr>
          <w:rFonts w:eastAsia="黑体"/>
          <w:sz w:val="32"/>
          <w:szCs w:val="32"/>
        </w:rPr>
      </w:pPr>
    </w:p>
    <w:p w14:paraId="40066BFF">
      <w:pPr>
        <w:spacing w:line="600" w:lineRule="exact"/>
        <w:ind w:firstLine="640" w:firstLineChars="200"/>
        <w:rPr>
          <w:rFonts w:eastAsia="黑体"/>
          <w:sz w:val="32"/>
          <w:szCs w:val="32"/>
        </w:rPr>
      </w:pPr>
      <w:r>
        <w:rPr>
          <w:rFonts w:hint="eastAsia" w:eastAsia="黑体"/>
          <w:sz w:val="32"/>
          <w:szCs w:val="32"/>
        </w:rPr>
        <w:t>一、</w:t>
      </w:r>
      <w:r>
        <w:rPr>
          <w:rFonts w:eastAsia="黑体"/>
          <w:sz w:val="32"/>
          <w:szCs w:val="32"/>
        </w:rPr>
        <w:t>部门（单位）基本情况</w:t>
      </w:r>
    </w:p>
    <w:p w14:paraId="1934245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_GB2312" w:cs="Times New Roman"/>
          <w:b/>
          <w:sz w:val="32"/>
          <w:szCs w:val="32"/>
          <w:lang w:val="en-US" w:eastAsia="zh-CN"/>
        </w:rPr>
      </w:pPr>
      <w:r>
        <w:rPr>
          <w:rFonts w:hint="eastAsia" w:eastAsia="楷体_GB2312" w:cs="Times New Roman"/>
          <w:b/>
          <w:sz w:val="32"/>
          <w:szCs w:val="32"/>
          <w:lang w:val="en-US" w:eastAsia="zh-CN"/>
        </w:rPr>
        <w:t>(一）</w:t>
      </w:r>
      <w:r>
        <w:rPr>
          <w:rFonts w:hint="eastAsia" w:ascii="Times New Roman" w:hAnsi="Times New Roman" w:eastAsia="楷体_GB2312" w:cs="Times New Roman"/>
          <w:b/>
          <w:sz w:val="32"/>
          <w:szCs w:val="32"/>
          <w:lang w:val="en-US" w:eastAsia="zh-CN"/>
        </w:rPr>
        <w:t>、部门职能职责</w:t>
      </w:r>
    </w:p>
    <w:p w14:paraId="7D1F0B74">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贯彻执行国民健康政策及国家、省卫生健康法律法规及规章，拟制全区卫生健康政策措施、规划、地方之间和技术规范并组织实施。统筹规划全区卫生健康服务资源配置，指导乡镇卫生健康规划的编制和实施。编制实施推进卫生健康基本公共服务均等化、普惠化、便捷化和公共资源向基层延伸等政策措施。</w:t>
      </w:r>
    </w:p>
    <w:p w14:paraId="6FCAA58C">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协调推进全区深化医药卫生体制改革，研究提出全区深化医药卫生体制改革政策措施的建议。组织深化公立医院综合改革，推进管办分离，健全现代医院管理制度，编制实施推动卫生健康公共服务提供主体多元化、提供方式多样化的政策措施，提出医疗服务和药品价格政策的建议。</w:t>
      </w:r>
    </w:p>
    <w:p w14:paraId="76505C66">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编制实施全区疾病预防控制规划、免疫规划以及严重危害人民健康公共卫生问题的干预措施。负责卫生应急工作，组织指导全区突发公共卫生事件的预防控制和各类突发公共事件的医疗卫生救援，承担传染病疫情信息发布工作。</w:t>
      </w:r>
    </w:p>
    <w:p w14:paraId="0341DC7F">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4、推进老年健康服务体系建设和医养结合工作。</w:t>
      </w:r>
    </w:p>
    <w:p w14:paraId="645DBF9B">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贯彻执行国家药物政策和国家基本药物制度，开展药品使用监测、临床综合评价和短缺药品预警。组织开展食品安全风险监测评估，依法拟制并公布食品安全地方标准意见，负责食源性疾病及与食品安全事故有关的流行病学调查。</w:t>
      </w:r>
    </w:p>
    <w:p w14:paraId="4FB9F57E">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6、负责职责范围内的职业卫生、放射卫生、环境卫生、学校卫生、公共场所卫生、饮用水卫生等公共卫生的监督管理。负责传染病防治监督，健全卫生健康综合监督体系。</w:t>
      </w:r>
    </w:p>
    <w:p w14:paraId="69267BFF">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拟制医疗机构、医疗服务行业管理办法并监督实施，建立医疗服务评价和监督管理体系。会同有关部门实施卫生健康专业技术人员资格标准。编制实施医疗服务规范、标准意见和卫生健康专业技术人员执业规则、服务规范。</w:t>
      </w:r>
    </w:p>
    <w:p w14:paraId="09DB1FF3">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8、负责计划生育管理和服务工作，开展人口监测预警，研究提出人口与家庭发展相关政策建议，完善计划生育政策措施。</w:t>
      </w:r>
    </w:p>
    <w:p w14:paraId="425FFDAD">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9、指导全区卫生健康工作，指导基层医疗卫生、妇幼健康服务体系建设，加强全科医生队伍建设。推进卫生健康科技创新发展。</w:t>
      </w:r>
    </w:p>
    <w:p w14:paraId="790E6D14">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10、负责全区病媒生物防治、卫生创建等爱国卫生工作。</w:t>
      </w:r>
    </w:p>
    <w:p w14:paraId="4AD026DD">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11、负责全区健康教育、健康促进和卫生健康信息化建设等工作。</w:t>
      </w:r>
    </w:p>
    <w:p w14:paraId="47664BF5">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12、负责区保健对象的医疗保健工作，负责重要来宾、重要会议与重大活动的医疗卫生保障工作，指导全区保健工作。</w:t>
      </w:r>
    </w:p>
    <w:p w14:paraId="4F64D48E">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13、指导区计划生育协会和区红十字会的业务工作。</w:t>
      </w:r>
    </w:p>
    <w:p w14:paraId="010FDB9C">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14、拟制全区中医药事业发展年度计划并组织实施。监督指导全区中医药领域相关业务工作，负责权限内中医医疗机构评审评价和校验管理。负责加强师承教育、毕业后教育、继续教育等中医人才培养工作。</w:t>
      </w:r>
    </w:p>
    <w:p w14:paraId="120F65A1">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15、负责人体器官捐献和移植的监督管理。</w:t>
      </w:r>
    </w:p>
    <w:p w14:paraId="71007474">
      <w:pPr>
        <w:pStyle w:val="2"/>
        <w:ind w:left="0" w:leftChars="0" w:firstLine="640" w:firstLineChars="200"/>
        <w:rPr>
          <w:rFonts w:hint="default"/>
          <w:lang w:val="en-US" w:eastAsia="zh-CN"/>
        </w:rPr>
      </w:pPr>
      <w:r>
        <w:rPr>
          <w:rFonts w:hint="eastAsia" w:ascii="仿宋" w:hAnsi="仿宋" w:eastAsia="仿宋" w:cs="仿宋"/>
          <w:color w:val="000000"/>
          <w:kern w:val="0"/>
          <w:sz w:val="32"/>
          <w:szCs w:val="32"/>
          <w:lang w:val="en-US" w:eastAsia="zh-CN"/>
        </w:rPr>
        <w:t>16、统筹推进婴幼儿照护服务发展，协调相关部门做好对婴幼儿照护服务机构的监督管理。</w:t>
      </w:r>
    </w:p>
    <w:p w14:paraId="7FBBDC86">
      <w:pPr>
        <w:ind w:firstLine="640" w:firstLineChars="200"/>
        <w:jc w:val="left"/>
        <w:textAlignment w:val="baseline"/>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17、完成区委区人民政府交办的其他任务。</w:t>
      </w:r>
    </w:p>
    <w:p w14:paraId="44E95EE7">
      <w:pPr>
        <w:ind w:firstLine="643" w:firstLineChars="200"/>
        <w:jc w:val="left"/>
        <w:textAlignment w:val="baseline"/>
        <w:rPr>
          <w:rFonts w:hint="eastAsia" w:ascii="仿宋_GB2312" w:hAnsi="仿宋_GB2312" w:eastAsia="仿宋_GB2312" w:cs="仿宋_GB2312"/>
          <w:b w:val="0"/>
          <w:bCs/>
          <w:color w:val="auto"/>
          <w:sz w:val="32"/>
          <w:lang w:val="en-US" w:eastAsia="zh-CN"/>
        </w:rPr>
      </w:pPr>
      <w:r>
        <w:rPr>
          <w:rFonts w:hint="eastAsia" w:eastAsia="楷体_GB2312" w:cs="Times New Roman"/>
          <w:b/>
          <w:sz w:val="32"/>
          <w:szCs w:val="32"/>
          <w:lang w:val="en-US" w:eastAsia="zh-CN"/>
        </w:rPr>
        <w:t>（二）</w:t>
      </w:r>
      <w:r>
        <w:rPr>
          <w:rFonts w:hint="eastAsia" w:ascii="Times New Roman" w:hAnsi="Times New Roman" w:eastAsia="楷体_GB2312" w:cs="Times New Roman"/>
          <w:b/>
          <w:sz w:val="32"/>
          <w:szCs w:val="32"/>
          <w:lang w:val="en-US" w:eastAsia="zh-CN"/>
        </w:rPr>
        <w:t>、机构设置</w:t>
      </w:r>
    </w:p>
    <w:p w14:paraId="45786111">
      <w:pPr>
        <w:ind w:firstLine="640" w:firstLineChars="200"/>
        <w:jc w:val="left"/>
        <w:textAlignment w:val="baseline"/>
        <w:rPr>
          <w:rFonts w:hint="eastAsia" w:ascii="仿宋_GB2312" w:hAnsi="仿宋_GB2312" w:eastAsia="仿宋_GB2312" w:cs="仿宋_GB2312"/>
          <w:b w:val="0"/>
          <w:bCs/>
          <w:color w:val="auto"/>
          <w:sz w:val="32"/>
          <w:lang w:eastAsia="zh-CN"/>
        </w:rPr>
      </w:pPr>
      <w:r>
        <w:rPr>
          <w:rFonts w:hint="eastAsia" w:ascii="仿宋_GB2312" w:hAnsi="仿宋_GB2312" w:eastAsia="仿宋_GB2312" w:cs="仿宋_GB2312"/>
          <w:b w:val="0"/>
          <w:bCs/>
          <w:color w:val="auto"/>
          <w:sz w:val="32"/>
          <w:lang w:val="en-US" w:eastAsia="zh-CN"/>
        </w:rPr>
        <w:t>我局</w:t>
      </w:r>
      <w:r>
        <w:rPr>
          <w:rFonts w:hint="eastAsia" w:ascii="仿宋_GB2312" w:hAnsi="仿宋_GB2312" w:eastAsia="仿宋_GB2312" w:cs="仿宋_GB2312"/>
          <w:b w:val="0"/>
          <w:bCs/>
          <w:color w:val="auto"/>
          <w:sz w:val="32"/>
          <w:lang w:eastAsia="zh-CN"/>
        </w:rPr>
        <w:t>内设机构为1</w:t>
      </w:r>
      <w:r>
        <w:rPr>
          <w:rFonts w:hint="eastAsia" w:ascii="仿宋_GB2312" w:hAnsi="仿宋_GB2312" w:eastAsia="仿宋_GB2312" w:cs="仿宋_GB2312"/>
          <w:b w:val="0"/>
          <w:bCs/>
          <w:color w:val="auto"/>
          <w:sz w:val="32"/>
          <w:lang w:val="en-US" w:eastAsia="zh-CN"/>
        </w:rPr>
        <w:t>7</w:t>
      </w:r>
      <w:r>
        <w:rPr>
          <w:rFonts w:hint="eastAsia" w:ascii="仿宋_GB2312" w:hAnsi="仿宋_GB2312" w:eastAsia="仿宋_GB2312" w:cs="仿宋_GB2312"/>
          <w:b w:val="0"/>
          <w:bCs/>
          <w:color w:val="auto"/>
          <w:sz w:val="32"/>
          <w:lang w:eastAsia="zh-CN"/>
        </w:rPr>
        <w:t>个：办公室、政工室、规划发展与信息化室、财务室、综合监督与食品安全监测室、疾病预防控制室、基层卫生健康室、科教药政与职业健康室、医政与保健室、妇幼健康室、人口监测与家庭发展室、宣传室、健康促进室、医疗应急室、体制改革室、政策法规与行政审批室、中医室。</w:t>
      </w:r>
    </w:p>
    <w:p w14:paraId="6FE1F514">
      <w:pPr>
        <w:widowControl/>
        <w:numPr>
          <w:ilvl w:val="0"/>
          <w:numId w:val="0"/>
        </w:numPr>
        <w:spacing w:line="480" w:lineRule="auto"/>
        <w:ind w:firstLine="643" w:firstLineChars="200"/>
        <w:jc w:val="left"/>
        <w:rPr>
          <w:rFonts w:hint="eastAsia" w:ascii="仿宋" w:hAnsi="仿宋" w:eastAsia="仿宋" w:cs="仿宋"/>
          <w:sz w:val="32"/>
          <w:szCs w:val="32"/>
          <w:lang w:val="en-US" w:eastAsia="zh-CN"/>
        </w:rPr>
      </w:pPr>
      <w:r>
        <w:rPr>
          <w:rFonts w:hint="eastAsia" w:eastAsia="楷体_GB2312" w:cs="Times New Roman"/>
          <w:b/>
          <w:sz w:val="32"/>
          <w:szCs w:val="32"/>
          <w:lang w:val="en-US" w:eastAsia="zh-CN"/>
        </w:rPr>
        <w:t>（三）</w:t>
      </w:r>
      <w:r>
        <w:rPr>
          <w:rFonts w:hint="eastAsia" w:ascii="Times New Roman" w:hAnsi="Times New Roman" w:eastAsia="楷体_GB2312" w:cs="Times New Roman"/>
          <w:b/>
          <w:sz w:val="32"/>
          <w:szCs w:val="32"/>
          <w:lang w:val="en-US" w:eastAsia="zh-CN"/>
        </w:rPr>
        <w:t>、人员编制</w:t>
      </w:r>
    </w:p>
    <w:p w14:paraId="037FA090">
      <w:pPr>
        <w:widowControl/>
        <w:numPr>
          <w:ilvl w:val="0"/>
          <w:numId w:val="0"/>
        </w:numPr>
        <w:spacing w:line="48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sz w:val="32"/>
          <w:szCs w:val="32"/>
        </w:rPr>
        <w:t>零陵区卫</w:t>
      </w:r>
      <w:r>
        <w:rPr>
          <w:rFonts w:hint="eastAsia" w:ascii="仿宋" w:hAnsi="仿宋" w:eastAsia="仿宋" w:cs="仿宋"/>
          <w:sz w:val="32"/>
          <w:szCs w:val="32"/>
          <w:lang w:eastAsia="zh-CN"/>
        </w:rPr>
        <w:t>生</w:t>
      </w:r>
      <w:r>
        <w:rPr>
          <w:rFonts w:hint="eastAsia" w:ascii="仿宋" w:hAnsi="仿宋" w:eastAsia="仿宋" w:cs="仿宋"/>
          <w:sz w:val="32"/>
          <w:szCs w:val="32"/>
        </w:rPr>
        <w:t>健</w:t>
      </w:r>
      <w:r>
        <w:rPr>
          <w:rFonts w:hint="eastAsia" w:ascii="仿宋" w:hAnsi="仿宋" w:eastAsia="仿宋" w:cs="仿宋"/>
          <w:sz w:val="32"/>
          <w:szCs w:val="32"/>
          <w:lang w:eastAsia="zh-CN"/>
        </w:rPr>
        <w:t>康</w:t>
      </w:r>
      <w:r>
        <w:rPr>
          <w:rFonts w:hint="eastAsia" w:ascii="仿宋" w:hAnsi="仿宋" w:eastAsia="仿宋" w:cs="仿宋"/>
          <w:sz w:val="32"/>
          <w:szCs w:val="32"/>
        </w:rPr>
        <w:t>局</w:t>
      </w:r>
      <w:r>
        <w:rPr>
          <w:rFonts w:hint="eastAsia" w:ascii="仿宋" w:hAnsi="仿宋" w:eastAsia="仿宋" w:cs="仿宋"/>
          <w:color w:val="000000"/>
          <w:kern w:val="0"/>
          <w:sz w:val="32"/>
          <w:szCs w:val="32"/>
        </w:rPr>
        <w:t>核定编制数</w:t>
      </w:r>
      <w:r>
        <w:rPr>
          <w:rFonts w:hint="eastAsia" w:ascii="仿宋" w:hAnsi="仿宋" w:eastAsia="仿宋" w:cs="仿宋"/>
          <w:color w:val="000000"/>
          <w:kern w:val="0"/>
          <w:sz w:val="32"/>
          <w:szCs w:val="32"/>
          <w:lang w:val="en-US" w:eastAsia="zh-CN"/>
        </w:rPr>
        <w:t>68</w:t>
      </w:r>
      <w:r>
        <w:rPr>
          <w:rFonts w:hint="eastAsia" w:ascii="仿宋" w:hAnsi="仿宋" w:eastAsia="仿宋" w:cs="仿宋"/>
          <w:color w:val="000000"/>
          <w:kern w:val="0"/>
          <w:sz w:val="32"/>
          <w:szCs w:val="32"/>
        </w:rPr>
        <w:t>人，全额编制</w:t>
      </w:r>
      <w:r>
        <w:rPr>
          <w:rFonts w:hint="eastAsia" w:ascii="仿宋" w:hAnsi="仿宋" w:eastAsia="仿宋" w:cs="仿宋"/>
          <w:color w:val="000000"/>
          <w:kern w:val="0"/>
          <w:sz w:val="32"/>
          <w:szCs w:val="32"/>
          <w:lang w:val="en-US" w:eastAsia="zh-CN"/>
        </w:rPr>
        <w:t>68</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截至</w:t>
      </w:r>
      <w:r>
        <w:rPr>
          <w:rFonts w:hint="eastAsia" w:ascii="仿宋" w:hAnsi="仿宋" w:eastAsia="仿宋" w:cs="仿宋"/>
          <w:color w:val="000000"/>
          <w:kern w:val="0"/>
          <w:sz w:val="32"/>
          <w:szCs w:val="32"/>
          <w:lang w:val="en-US" w:eastAsia="zh-CN"/>
        </w:rPr>
        <w:t>2023年底，我局实际人员为112人，</w:t>
      </w:r>
      <w:r>
        <w:rPr>
          <w:rFonts w:hint="eastAsia" w:ascii="仿宋" w:hAnsi="仿宋" w:eastAsia="仿宋" w:cs="仿宋"/>
          <w:color w:val="000000"/>
          <w:kern w:val="0"/>
          <w:sz w:val="32"/>
          <w:szCs w:val="32"/>
        </w:rPr>
        <w:t>在</w:t>
      </w:r>
      <w:r>
        <w:rPr>
          <w:rFonts w:hint="eastAsia" w:ascii="仿宋" w:hAnsi="仿宋" w:eastAsia="仿宋" w:cs="仿宋"/>
          <w:color w:val="000000"/>
          <w:kern w:val="0"/>
          <w:sz w:val="32"/>
          <w:szCs w:val="32"/>
          <w:lang w:eastAsia="zh-CN"/>
        </w:rPr>
        <w:t>职</w:t>
      </w:r>
      <w:r>
        <w:rPr>
          <w:rFonts w:hint="eastAsia" w:ascii="仿宋" w:hAnsi="仿宋" w:eastAsia="仿宋" w:cs="仿宋"/>
          <w:color w:val="000000"/>
          <w:kern w:val="0"/>
          <w:sz w:val="32"/>
          <w:szCs w:val="32"/>
        </w:rPr>
        <w:t>人员</w:t>
      </w:r>
      <w:r>
        <w:rPr>
          <w:rFonts w:hint="eastAsia" w:ascii="仿宋" w:hAnsi="仿宋" w:eastAsia="仿宋" w:cs="仿宋"/>
          <w:color w:val="000000"/>
          <w:kern w:val="0"/>
          <w:sz w:val="32"/>
          <w:szCs w:val="32"/>
          <w:lang w:val="en-US" w:eastAsia="zh-CN"/>
        </w:rPr>
        <w:t>68</w:t>
      </w:r>
      <w:r>
        <w:rPr>
          <w:rFonts w:hint="eastAsia" w:ascii="仿宋" w:hAnsi="仿宋" w:eastAsia="仿宋" w:cs="仿宋"/>
          <w:color w:val="000000"/>
          <w:kern w:val="0"/>
          <w:sz w:val="32"/>
          <w:szCs w:val="32"/>
        </w:rPr>
        <w:t>人，退休人员4</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w:t>
      </w:r>
    </w:p>
    <w:p w14:paraId="606AC5E4">
      <w:pPr>
        <w:pStyle w:val="9"/>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二、一般公共预算支出情况</w:t>
      </w:r>
    </w:p>
    <w:p w14:paraId="648E03E0">
      <w:pPr>
        <w:pStyle w:val="9"/>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14:paraId="7309291D">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1、基本支出决算情况说明</w:t>
      </w:r>
    </w:p>
    <w:p w14:paraId="17A497C5">
      <w:pPr>
        <w:keepNext w:val="0"/>
        <w:keepLines w:val="0"/>
        <w:widowControl/>
        <w:suppressLineNumbers w:val="0"/>
        <w:ind w:firstLine="960" w:firstLineChars="300"/>
        <w:jc w:val="left"/>
        <w:rPr>
          <w:rFonts w:hint="eastAsia" w:ascii="仿宋" w:hAnsi="仿宋" w:eastAsia="仿宋" w:cs="仿宋"/>
          <w:sz w:val="32"/>
          <w:szCs w:val="32"/>
        </w:rPr>
      </w:pPr>
      <w:r>
        <w:rPr>
          <w:rFonts w:hint="eastAsia" w:ascii="仿宋" w:hAnsi="仿宋" w:eastAsia="仿宋" w:cs="仿宋"/>
          <w:b w:val="0"/>
          <w:bCs/>
          <w:sz w:val="32"/>
          <w:szCs w:val="32"/>
          <w:lang w:val="en-US" w:eastAsia="zh-CN"/>
        </w:rPr>
        <w:t>我局2023年</w:t>
      </w:r>
      <w:r>
        <w:rPr>
          <w:rFonts w:hint="eastAsia" w:ascii="仿宋" w:hAnsi="仿宋" w:eastAsia="仿宋" w:cs="仿宋"/>
          <w:color w:val="000000"/>
          <w:kern w:val="0"/>
          <w:sz w:val="32"/>
          <w:szCs w:val="32"/>
          <w:lang w:val="en-US" w:eastAsia="zh-CN" w:bidi="ar"/>
        </w:rPr>
        <w:t>度财政拨款基本支出874.53万元。其中：</w:t>
      </w:r>
    </w:p>
    <w:p w14:paraId="00DF66A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（1）人员经费 839.58万元，占比96%。主要包括：基本工资、津贴补贴、绩效工资、机关事业单位基本养老保险缴费、职工基本医疗保险缴费、其他社会保障缴费、其他工资福利支出、生活补助。 </w:t>
      </w:r>
    </w:p>
    <w:p w14:paraId="07B5E06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（2）公用经费34.96万元，占4%，其中：商品和服务支出 34.96万元。主要包括：办公费、水费、电费、公务接待费、工会经费、其他交通费用、其他商品和服务支出。</w:t>
      </w:r>
    </w:p>
    <w:p w14:paraId="60A01095">
      <w:pPr>
        <w:pStyle w:val="9"/>
        <w:keepNext w:val="0"/>
        <w:keepLines w:val="0"/>
        <w:pageBreakBefore w:val="0"/>
        <w:widowControl w:val="0"/>
        <w:kinsoku/>
        <w:wordWrap/>
        <w:overflowPunct/>
        <w:topLinePunct w:val="0"/>
        <w:autoSpaceDE/>
        <w:autoSpaceDN/>
        <w:bidi w:val="0"/>
        <w:adjustRightInd/>
        <w:snapToGrid/>
        <w:spacing w:line="540" w:lineRule="exact"/>
        <w:ind w:firstLine="964" w:firstLineChars="300"/>
        <w:textAlignment w:val="auto"/>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三公</w:t>
      </w:r>
      <w:r>
        <w:rPr>
          <w:rFonts w:hint="default" w:ascii="Times New Roman" w:hAnsi="Times New Roman" w:eastAsia="楷体_GB2312" w:cs="Times New Roman"/>
          <w:b/>
          <w:sz w:val="32"/>
          <w:szCs w:val="32"/>
          <w:lang w:val="en-US" w:eastAsia="zh-CN"/>
        </w:rPr>
        <w:t>”</w:t>
      </w:r>
      <w:r>
        <w:rPr>
          <w:rFonts w:hint="eastAsia" w:ascii="Times New Roman" w:hAnsi="Times New Roman" w:eastAsia="楷体_GB2312" w:cs="Times New Roman"/>
          <w:b/>
          <w:sz w:val="32"/>
          <w:szCs w:val="32"/>
          <w:lang w:val="en-US" w:eastAsia="zh-CN"/>
        </w:rPr>
        <w:t xml:space="preserve">经费支出决算情况说明 </w:t>
      </w:r>
    </w:p>
    <w:p w14:paraId="1E02B0E2">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（1）“三公”经费财政拨款支出决算总体情况说明 </w:t>
      </w:r>
    </w:p>
    <w:p w14:paraId="157BBD8A">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我局2023年度“三公”经费财政拨款支出预算为 14万元，支出决算为6.56万元，完成预算的46.86%，其中：公务用车购置及运行维护费支出预算为0万元，支出决算为0万元。 </w:t>
      </w:r>
    </w:p>
    <w:p w14:paraId="723B45FC">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因公出国（境）费支出预算为0万元，支出决算为0万元。</w:t>
      </w:r>
    </w:p>
    <w:p w14:paraId="2048D33F">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公务接待费支出预算为14万元，支出决算为6.56万元，完成预算的46.86%。决算数小于预算数的主要原因是我局认真贯彻落实中央“八项规定”、省委“九项规定”精神及关于厉行节约的各项要求，严控公务接待费支出。 </w:t>
      </w:r>
    </w:p>
    <w:p w14:paraId="7940E09B">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（2）“三公”经费财政拨款支出决算具体情况说明 </w:t>
      </w:r>
    </w:p>
    <w:p w14:paraId="026F757D">
      <w:pPr>
        <w:keepNext w:val="0"/>
        <w:keepLines w:val="0"/>
        <w:widowControl/>
        <w:suppressLineNumbers w:val="0"/>
        <w:ind w:firstLine="960" w:firstLineChars="3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2023年度“三公”经费财政拨款支出决算中，公务用车购置及运行维护费决算支出0万元；因公出国（境）费决算支出 0万元；公务接待费支出6.56万元，占比100%。 </w:t>
      </w:r>
    </w:p>
    <w:p w14:paraId="21395534">
      <w:pPr>
        <w:pStyle w:val="9"/>
        <w:spacing w:line="600" w:lineRule="exact"/>
        <w:ind w:left="0" w:leftChars="0" w:firstLine="643" w:firstLineChars="200"/>
        <w:rPr>
          <w:rFonts w:ascii="Times New Roman" w:hAnsi="Times New Roman" w:eastAsia="楷体_GB2312"/>
          <w:b/>
          <w:sz w:val="32"/>
          <w:szCs w:val="32"/>
        </w:rPr>
      </w:pPr>
      <w:r>
        <w:rPr>
          <w:rFonts w:ascii="Times New Roman" w:hAnsi="Times New Roman" w:eastAsia="楷体_GB2312"/>
          <w:b/>
          <w:sz w:val="32"/>
          <w:szCs w:val="32"/>
        </w:rPr>
        <w:t>（二）项目支出情况</w:t>
      </w:r>
    </w:p>
    <w:p w14:paraId="694A6612">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kern w:val="0"/>
          <w:sz w:val="32"/>
          <w:szCs w:val="32"/>
          <w:lang w:val="en-US" w:eastAsia="zh-CN" w:bidi="ar"/>
        </w:rPr>
      </w:pPr>
      <w:r>
        <w:rPr>
          <w:rFonts w:hint="eastAsia" w:eastAsia="仿宋_GB2312"/>
          <w:sz w:val="32"/>
          <w:szCs w:val="32"/>
          <w:lang w:val="en-US" w:eastAsia="zh-CN"/>
        </w:rPr>
        <w:t xml:space="preserve"> </w:t>
      </w:r>
      <w:r>
        <w:rPr>
          <w:rFonts w:hint="eastAsia" w:ascii="仿宋" w:hAnsi="仿宋" w:eastAsia="仿宋" w:cs="仿宋"/>
          <w:color w:val="000000"/>
          <w:kern w:val="0"/>
          <w:sz w:val="32"/>
          <w:szCs w:val="32"/>
          <w:lang w:val="en-US" w:eastAsia="zh-CN" w:bidi="ar"/>
        </w:rPr>
        <w:t>项目支出是指单位为完成特定行政工作任务或事业发展目标而发生的支出。</w:t>
      </w:r>
      <w:r>
        <w:rPr>
          <w:rFonts w:hint="default"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3年度财政拨款项目支出6892.10万元。其中：计生事业费84.48万元，主要用于</w:t>
      </w:r>
      <w:r>
        <w:rPr>
          <w:rFonts w:hint="eastAsia" w:ascii="仿宋" w:hAnsi="仿宋" w:eastAsia="仿宋" w:cs="仿宋"/>
          <w:color w:val="000000"/>
          <w:kern w:val="0"/>
          <w:sz w:val="32"/>
          <w:szCs w:val="32"/>
          <w:lang w:val="en-US" w:eastAsia="zh-CN" w:bidi="ar-SA"/>
        </w:rPr>
        <w:t>完成卫生健康业务专项工作支出</w:t>
      </w:r>
      <w:r>
        <w:rPr>
          <w:rFonts w:hint="eastAsia" w:ascii="仿宋" w:hAnsi="仿宋" w:eastAsia="仿宋" w:cs="仿宋"/>
          <w:color w:val="000000"/>
          <w:kern w:val="0"/>
          <w:sz w:val="32"/>
          <w:szCs w:val="32"/>
          <w:lang w:val="en-US" w:eastAsia="zh-CN" w:bidi="ar"/>
        </w:rPr>
        <w:t>；防病、医务管理及安全治理、健康教育、科研等经费20.50万元，主要用于</w:t>
      </w:r>
      <w:r>
        <w:rPr>
          <w:rFonts w:hint="eastAsia" w:ascii="仿宋" w:hAnsi="仿宋" w:eastAsia="仿宋" w:cs="仿宋"/>
          <w:color w:val="000000"/>
          <w:kern w:val="0"/>
          <w:sz w:val="32"/>
          <w:szCs w:val="32"/>
          <w:lang w:val="en-US" w:eastAsia="zh-CN" w:bidi="ar-SA"/>
        </w:rPr>
        <w:t>防病、医务管理及安全治理、健康教育科研等支出</w:t>
      </w:r>
      <w:r>
        <w:rPr>
          <w:rFonts w:hint="eastAsia" w:ascii="仿宋" w:hAnsi="仿宋" w:eastAsia="仿宋" w:cs="仿宋"/>
          <w:color w:val="000000"/>
          <w:kern w:val="0"/>
          <w:sz w:val="32"/>
          <w:szCs w:val="32"/>
          <w:lang w:val="en-US" w:eastAsia="zh-CN" w:bidi="ar"/>
        </w:rPr>
        <w:t>；老年乡村医生生活困难补助132.11万元，主要用于</w:t>
      </w:r>
      <w:r>
        <w:rPr>
          <w:rFonts w:hint="eastAsia" w:ascii="仿宋" w:hAnsi="仿宋" w:eastAsia="仿宋" w:cs="仿宋"/>
          <w:color w:val="000000"/>
          <w:kern w:val="0"/>
          <w:sz w:val="32"/>
          <w:szCs w:val="32"/>
          <w:lang w:val="en-US" w:eastAsia="zh-CN"/>
        </w:rPr>
        <w:t>打卡发放老年乡村医生生活困难补助</w:t>
      </w:r>
      <w:r>
        <w:rPr>
          <w:rFonts w:hint="eastAsia" w:ascii="仿宋" w:hAnsi="仿宋" w:eastAsia="仿宋" w:cs="仿宋"/>
          <w:color w:val="000000"/>
          <w:kern w:val="0"/>
          <w:sz w:val="32"/>
          <w:szCs w:val="32"/>
          <w:lang w:val="en-US" w:eastAsia="zh-CN" w:bidi="ar"/>
        </w:rPr>
        <w:t>；病媒生物防治140.68万元，主要用于</w:t>
      </w:r>
      <w:r>
        <w:rPr>
          <w:rFonts w:hint="eastAsia" w:ascii="仿宋" w:hAnsi="仿宋" w:eastAsia="仿宋" w:cs="仿宋"/>
          <w:color w:val="000000"/>
          <w:kern w:val="0"/>
          <w:sz w:val="32"/>
          <w:szCs w:val="32"/>
          <w:lang w:val="en-US" w:eastAsia="zh-CN"/>
        </w:rPr>
        <w:t>支付零陵城区除“四害”药物采购及服务项目费</w:t>
      </w:r>
      <w:r>
        <w:rPr>
          <w:rFonts w:hint="eastAsia" w:ascii="仿宋" w:hAnsi="仿宋" w:eastAsia="仿宋" w:cs="仿宋"/>
          <w:color w:val="000000"/>
          <w:kern w:val="0"/>
          <w:sz w:val="32"/>
          <w:szCs w:val="32"/>
          <w:lang w:val="en-US" w:eastAsia="zh-CN" w:bidi="ar"/>
        </w:rPr>
        <w:t>；严重精神障碍患者监护人奖励经费88.99万元，主要用于</w:t>
      </w:r>
      <w:r>
        <w:rPr>
          <w:rFonts w:hint="eastAsia" w:ascii="仿宋" w:hAnsi="仿宋" w:eastAsia="仿宋" w:cs="仿宋"/>
          <w:color w:val="000000"/>
          <w:kern w:val="0"/>
          <w:sz w:val="32"/>
          <w:szCs w:val="32"/>
          <w:lang w:val="en-US" w:eastAsia="zh-CN" w:bidi="ar-SA"/>
        </w:rPr>
        <w:t>打卡发放严重精神障碍患者监护人奖励</w:t>
      </w:r>
      <w:r>
        <w:rPr>
          <w:rFonts w:hint="eastAsia" w:ascii="仿宋" w:hAnsi="仿宋" w:eastAsia="仿宋" w:cs="仿宋"/>
          <w:color w:val="000000"/>
          <w:kern w:val="0"/>
          <w:sz w:val="32"/>
          <w:szCs w:val="32"/>
          <w:lang w:val="en-US" w:eastAsia="zh-CN" w:bidi="ar"/>
        </w:rPr>
        <w:t>；麻风病诊疗费8.46万元，主要用于</w:t>
      </w:r>
      <w:r>
        <w:rPr>
          <w:rFonts w:hint="eastAsia" w:ascii="仿宋" w:hAnsi="仿宋" w:eastAsia="仿宋" w:cs="仿宋"/>
          <w:color w:val="000000"/>
          <w:kern w:val="0"/>
          <w:sz w:val="32"/>
          <w:szCs w:val="32"/>
          <w:lang w:val="en-US" w:eastAsia="zh-CN" w:bidi="ar-SA"/>
        </w:rPr>
        <w:t>麻风病人在院治疗的生活、医疗费支出</w:t>
      </w:r>
      <w:r>
        <w:rPr>
          <w:rFonts w:hint="eastAsia" w:ascii="仿宋" w:hAnsi="仿宋" w:eastAsia="仿宋" w:cs="仿宋"/>
          <w:color w:val="000000"/>
          <w:kern w:val="0"/>
          <w:sz w:val="32"/>
          <w:szCs w:val="32"/>
          <w:lang w:val="en-US" w:eastAsia="zh-CN" w:bidi="ar"/>
        </w:rPr>
        <w:t>；两扶项目1098.65万元，主要用于两扶（</w:t>
      </w:r>
      <w:r>
        <w:rPr>
          <w:rFonts w:hint="eastAsia" w:ascii="仿宋" w:hAnsi="仿宋" w:eastAsia="仿宋" w:cs="仿宋"/>
          <w:color w:val="000000"/>
          <w:kern w:val="0"/>
          <w:sz w:val="32"/>
          <w:szCs w:val="32"/>
          <w:lang w:val="en-US" w:eastAsia="zh-CN"/>
        </w:rPr>
        <w:t>农村部分计划生育家庭奖励扶助、计划生育家庭特别扶助</w:t>
      </w:r>
      <w:r>
        <w:rPr>
          <w:rFonts w:hint="eastAsia" w:ascii="仿宋" w:hAnsi="仿宋" w:eastAsia="仿宋" w:cs="仿宋"/>
          <w:color w:val="000000"/>
          <w:kern w:val="0"/>
          <w:sz w:val="32"/>
          <w:szCs w:val="32"/>
          <w:lang w:val="en-US" w:eastAsia="zh-CN" w:bidi="ar"/>
        </w:rPr>
        <w:t>）打卡资金发放；城镇独生子女父母奖励625.05万元，主要用于</w:t>
      </w:r>
      <w:r>
        <w:rPr>
          <w:rFonts w:hint="eastAsia" w:ascii="仿宋" w:hAnsi="仿宋" w:eastAsia="仿宋" w:cs="仿宋"/>
          <w:color w:val="000000"/>
          <w:kern w:val="0"/>
          <w:sz w:val="32"/>
          <w:szCs w:val="32"/>
          <w:lang w:val="en-US" w:eastAsia="zh-CN"/>
        </w:rPr>
        <w:t>城镇独生子女父母奖励金打卡发放</w:t>
      </w:r>
      <w:r>
        <w:rPr>
          <w:rFonts w:hint="eastAsia" w:ascii="仿宋" w:hAnsi="仿宋" w:eastAsia="仿宋" w:cs="仿宋"/>
          <w:color w:val="000000"/>
          <w:kern w:val="0"/>
          <w:sz w:val="32"/>
          <w:szCs w:val="32"/>
          <w:lang w:val="en-US" w:eastAsia="zh-CN" w:bidi="ar"/>
        </w:rPr>
        <w:t>；独生子女保健费11.19万元，主要用于</w:t>
      </w:r>
      <w:r>
        <w:rPr>
          <w:rFonts w:hint="eastAsia" w:ascii="仿宋" w:hAnsi="仿宋" w:eastAsia="仿宋" w:cs="仿宋"/>
          <w:color w:val="000000"/>
          <w:kern w:val="0"/>
          <w:sz w:val="32"/>
          <w:szCs w:val="32"/>
          <w:lang w:val="en-US" w:eastAsia="zh-CN" w:bidi="ar-SA"/>
        </w:rPr>
        <w:t>打卡发放独生子女保健费</w:t>
      </w:r>
      <w:r>
        <w:rPr>
          <w:rFonts w:hint="eastAsia" w:ascii="仿宋" w:hAnsi="仿宋" w:eastAsia="仿宋" w:cs="仿宋"/>
          <w:color w:val="000000"/>
          <w:kern w:val="0"/>
          <w:sz w:val="32"/>
          <w:szCs w:val="32"/>
          <w:lang w:val="en-US" w:eastAsia="zh-CN" w:bidi="ar"/>
        </w:rPr>
        <w:t>；疫情防控项目经费 3381.18万元，主要用于</w:t>
      </w:r>
      <w:r>
        <w:rPr>
          <w:rFonts w:hint="eastAsia" w:ascii="仿宋" w:hAnsi="仿宋" w:eastAsia="仿宋" w:cs="仿宋"/>
          <w:color w:val="000000"/>
          <w:kern w:val="0"/>
          <w:sz w:val="32"/>
          <w:szCs w:val="32"/>
          <w:lang w:val="en-US" w:eastAsia="zh-CN" w:bidi="ar-SA"/>
        </w:rPr>
        <w:t>疫情防控物资采购、开展核酸检测等支出</w:t>
      </w:r>
      <w:r>
        <w:rPr>
          <w:rFonts w:hint="eastAsia" w:ascii="仿宋" w:hAnsi="仿宋" w:eastAsia="仿宋" w:cs="仿宋"/>
          <w:color w:val="000000"/>
          <w:kern w:val="0"/>
          <w:sz w:val="32"/>
          <w:szCs w:val="32"/>
          <w:lang w:val="en-US" w:eastAsia="zh-CN" w:bidi="ar"/>
        </w:rPr>
        <w:t>；其他业务工作专项1300.81万元。</w:t>
      </w:r>
    </w:p>
    <w:p w14:paraId="5EB03896">
      <w:pPr>
        <w:pStyle w:val="9"/>
        <w:numPr>
          <w:ilvl w:val="0"/>
          <w:numId w:val="1"/>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政府性基金预算支出情况</w:t>
      </w:r>
    </w:p>
    <w:p w14:paraId="4131946E">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2023年本单位无政府性基金预算支出。</w:t>
      </w:r>
    </w:p>
    <w:p w14:paraId="7FC6863D">
      <w:pPr>
        <w:pStyle w:val="9"/>
        <w:numPr>
          <w:ilvl w:val="0"/>
          <w:numId w:val="1"/>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14:paraId="0155D8AF">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 w:hAnsi="仿宋" w:eastAsia="仿宋" w:cs="仿宋"/>
          <w:sz w:val="32"/>
          <w:szCs w:val="32"/>
          <w:lang w:val="en-US" w:eastAsia="zh-CN"/>
        </w:rPr>
      </w:pPr>
      <w:r>
        <w:rPr>
          <w:rFonts w:hint="eastAsia" w:ascii="Times New Roman" w:hAnsi="Times New Roman" w:eastAsia="黑体"/>
          <w:sz w:val="32"/>
          <w:szCs w:val="32"/>
          <w:lang w:val="en-US" w:eastAsia="zh-CN"/>
        </w:rPr>
        <w:t xml:space="preserve"> </w:t>
      </w:r>
      <w:r>
        <w:rPr>
          <w:rFonts w:hint="eastAsia" w:ascii="仿宋" w:hAnsi="仿宋" w:eastAsia="仿宋" w:cs="仿宋"/>
          <w:sz w:val="32"/>
          <w:szCs w:val="32"/>
          <w:lang w:val="en-US" w:eastAsia="zh-CN"/>
        </w:rPr>
        <w:t>2023年本单位无国有资本经营预算支出。</w:t>
      </w:r>
    </w:p>
    <w:p w14:paraId="65B37D26">
      <w:pPr>
        <w:pStyle w:val="9"/>
        <w:numPr>
          <w:ilvl w:val="0"/>
          <w:numId w:val="1"/>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14:paraId="014EFA89">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2023年本单位无社会保险基金预算支出情况</w:t>
      </w:r>
    </w:p>
    <w:p w14:paraId="4CEC147E">
      <w:pPr>
        <w:spacing w:line="600" w:lineRule="exact"/>
        <w:ind w:firstLine="640" w:firstLineChars="200"/>
        <w:rPr>
          <w:rFonts w:eastAsia="黑体"/>
          <w:sz w:val="32"/>
          <w:szCs w:val="32"/>
        </w:rPr>
      </w:pPr>
      <w:r>
        <w:rPr>
          <w:rFonts w:eastAsia="黑体"/>
          <w:sz w:val="32"/>
          <w:szCs w:val="32"/>
        </w:rPr>
        <w:t>六、部门整体支出绩效情况</w:t>
      </w:r>
    </w:p>
    <w:p w14:paraId="68D78C62">
      <w:pPr>
        <w:keepNext w:val="0"/>
        <w:keepLines w:val="0"/>
        <w:widowControl/>
        <w:suppressLineNumbers w:val="0"/>
        <w:ind w:firstLine="640" w:firstLineChars="200"/>
        <w:jc w:val="left"/>
        <w:rPr>
          <w:rStyle w:val="8"/>
          <w:rFonts w:hint="eastAsia" w:ascii="仿宋_GB2312" w:hAnsi="仿宋_GB2312" w:eastAsia="仿宋_GB2312" w:cs="仿宋_GB2312"/>
          <w:b w:val="0"/>
          <w:bCs w:val="0"/>
          <w:i w:val="0"/>
          <w:iCs w:val="0"/>
          <w:caps w:val="0"/>
          <w:color w:val="auto"/>
          <w:spacing w:val="0"/>
          <w:sz w:val="32"/>
          <w:szCs w:val="32"/>
          <w:shd w:val="clear" w:color="auto" w:fill="FFFFFF"/>
        </w:rPr>
      </w:pPr>
      <w:r>
        <w:rPr>
          <w:rStyle w:val="8"/>
          <w:rFonts w:hint="eastAsia" w:ascii="仿宋_GB2312" w:hAnsi="仿宋_GB2312" w:eastAsia="仿宋_GB2312" w:cs="仿宋_GB2312"/>
          <w:b w:val="0"/>
          <w:bCs w:val="0"/>
          <w:i w:val="0"/>
          <w:iCs w:val="0"/>
          <w:caps w:val="0"/>
          <w:color w:val="auto"/>
          <w:spacing w:val="0"/>
          <w:sz w:val="32"/>
          <w:szCs w:val="32"/>
          <w:shd w:val="clear" w:color="auto" w:fill="FFFFFF"/>
        </w:rPr>
        <w:t>2023年以来，面对复杂的疫情防控形势和艰巨繁重的改革发展任务，区委、区政府始终将卫生健康工作摆在优先发展的战略位置，以强烈的政治责任感和使命感抗疫情、提能力、肃行风、保健康，推动全区卫生健康事业迈上了新台阶、取得了新成效。</w:t>
      </w:r>
    </w:p>
    <w:p w14:paraId="0734854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自评认为，本部门“四本预算”支出的绩效目标完成情况良好，年度整体绩效目标顺利完成，各项工作取得了新成效，全区卫生健康事业取得了新的进展，可持续发展能力稳步提高，服务对象满意度不断增强。根据《2023年度部门整体支出绩效自评表》评分，2023年度我局整体支出绩效自评得分99分，部门整体支出绩效为“优”。</w:t>
      </w:r>
    </w:p>
    <w:p w14:paraId="460AA9E3">
      <w:pPr>
        <w:keepNext w:val="0"/>
        <w:keepLines w:val="0"/>
        <w:pageBreakBefore w:val="0"/>
        <w:widowControl w:val="0"/>
        <w:numPr>
          <w:ilvl w:val="0"/>
          <w:numId w:val="0"/>
        </w:numPr>
        <w:kinsoku/>
        <w:wordWrap/>
        <w:overflowPunct/>
        <w:topLinePunct w:val="0"/>
        <w:autoSpaceDE/>
        <w:bidi w:val="0"/>
        <w:adjustRightInd/>
        <w:spacing w:line="600" w:lineRule="exact"/>
        <w:ind w:firstLine="643" w:firstLineChars="200"/>
        <w:jc w:val="left"/>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rPr>
        <w:t>（一）有序推进卫生健康重点项目。</w:t>
      </w:r>
      <w:r>
        <w:rPr>
          <w:rFonts w:hint="eastAsia" w:ascii="仿宋" w:hAnsi="仿宋" w:eastAsia="仿宋" w:cs="仿宋"/>
          <w:color w:val="000000"/>
          <w:kern w:val="0"/>
          <w:sz w:val="32"/>
          <w:szCs w:val="32"/>
          <w:lang w:val="en-US" w:eastAsia="zh-CN" w:bidi="ar"/>
        </w:rPr>
        <w:t>区妇幼保健院新住院大楼完成建设并投入使用，完成富家桥镇中心卫生院、凼底乡卫生院、石岩头卫生院已完成基本建设，预计年底投入使用。</w:t>
      </w:r>
    </w:p>
    <w:p w14:paraId="5385F0C8">
      <w:pPr>
        <w:keepNext w:val="0"/>
        <w:keepLines w:val="0"/>
        <w:pageBreakBefore w:val="0"/>
        <w:widowControl w:val="0"/>
        <w:numPr>
          <w:ilvl w:val="0"/>
          <w:numId w:val="0"/>
        </w:numPr>
        <w:kinsoku/>
        <w:wordWrap/>
        <w:overflowPunct/>
        <w:topLinePunct w:val="0"/>
        <w:autoSpaceDE/>
        <w:bidi w:val="0"/>
        <w:adjustRightInd/>
        <w:spacing w:line="600" w:lineRule="exact"/>
        <w:ind w:firstLine="643" w:firstLineChars="200"/>
        <w:jc w:val="both"/>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rPr>
        <w:t>（二）持续推动医共体高效紧密运行。</w:t>
      </w:r>
      <w:r>
        <w:rPr>
          <w:rFonts w:hint="eastAsia" w:ascii="仿宋_GB2312" w:hAnsi="仿宋_GB2312" w:eastAsia="仿宋_GB2312" w:cs="仿宋_GB2312"/>
          <w:b/>
          <w:bCs/>
          <w:color w:val="auto"/>
          <w:sz w:val="32"/>
          <w:szCs w:val="32"/>
          <w:lang w:val="en-US" w:eastAsia="zh-CN"/>
        </w:rPr>
        <w:t>一是加强医共体内部管理。</w:t>
      </w:r>
      <w:r>
        <w:rPr>
          <w:rFonts w:hint="eastAsia" w:ascii="仿宋" w:hAnsi="仿宋" w:eastAsia="仿宋" w:cs="仿宋"/>
          <w:color w:val="000000"/>
          <w:kern w:val="0"/>
          <w:sz w:val="32"/>
          <w:szCs w:val="32"/>
          <w:lang w:val="en-US" w:eastAsia="zh-CN" w:bidi="ar"/>
        </w:rPr>
        <w:t>2个医共体总院成立医共体公共卫生管理科和健康管理中心（慢病管理中心）。</w:t>
      </w:r>
      <w:r>
        <w:rPr>
          <w:rFonts w:hint="eastAsia" w:ascii="仿宋_GB2312" w:hAnsi="仿宋_GB2312" w:eastAsia="仿宋_GB2312" w:cs="仿宋_GB2312"/>
          <w:b/>
          <w:bCs/>
          <w:color w:val="auto"/>
          <w:kern w:val="2"/>
          <w:sz w:val="32"/>
          <w:szCs w:val="32"/>
          <w:lang w:val="en-US" w:eastAsia="zh-CN"/>
        </w:rPr>
        <w:t>二是推进资源共享。</w:t>
      </w:r>
      <w:r>
        <w:rPr>
          <w:rFonts w:hint="eastAsia" w:ascii="仿宋" w:hAnsi="仿宋" w:eastAsia="仿宋" w:cs="仿宋"/>
          <w:color w:val="000000"/>
          <w:kern w:val="0"/>
          <w:sz w:val="32"/>
          <w:szCs w:val="32"/>
          <w:lang w:val="en-US" w:eastAsia="zh-CN" w:bidi="ar"/>
        </w:rPr>
        <w:t>已建成6个医疗服务技术平台(消毒供应、心电诊断、临床检验、病理检查、医学影像、远程会诊),1-9月医共体内开展远程影像3455人次，远程心电7912人。</w:t>
      </w:r>
      <w:r>
        <w:rPr>
          <w:rFonts w:hint="eastAsia" w:ascii="仿宋_GB2312" w:hAnsi="仿宋_GB2312" w:eastAsia="仿宋_GB2312" w:cs="仿宋_GB2312"/>
          <w:b/>
          <w:bCs/>
          <w:color w:val="auto"/>
          <w:kern w:val="2"/>
          <w:sz w:val="32"/>
          <w:szCs w:val="32"/>
          <w:lang w:val="en-US" w:eastAsia="zh-CN"/>
        </w:rPr>
        <w:t>三是落实药品目录一体化管理，</w:t>
      </w:r>
      <w:r>
        <w:rPr>
          <w:rFonts w:hint="eastAsia" w:ascii="仿宋" w:hAnsi="仿宋" w:eastAsia="仿宋" w:cs="仿宋"/>
          <w:color w:val="000000"/>
          <w:kern w:val="0"/>
          <w:sz w:val="32"/>
          <w:szCs w:val="32"/>
          <w:lang w:val="en-US" w:eastAsia="zh-CN" w:bidi="ar"/>
        </w:rPr>
        <w:t>成立医共体中心药房。在2个医共体内总院成立医共体中心药房，分院不能采购的药品由医共体总院统一采购统一配送，打破级别用药限制，有效缓解基层药品短缺问题。</w:t>
      </w:r>
      <w:r>
        <w:rPr>
          <w:rFonts w:hint="eastAsia" w:ascii="仿宋_GB2312" w:hAnsi="仿宋_GB2312" w:eastAsia="仿宋_GB2312" w:cs="仿宋_GB2312"/>
          <w:b/>
          <w:bCs/>
          <w:color w:val="auto"/>
          <w:kern w:val="2"/>
          <w:sz w:val="32"/>
          <w:szCs w:val="32"/>
          <w:lang w:val="en-US" w:eastAsia="zh-CN"/>
        </w:rPr>
        <w:t>四是完善急症急救体系建设。</w:t>
      </w:r>
      <w:r>
        <w:rPr>
          <w:rFonts w:hint="eastAsia" w:ascii="仿宋" w:hAnsi="仿宋" w:eastAsia="仿宋" w:cs="仿宋"/>
          <w:color w:val="000000"/>
          <w:kern w:val="0"/>
          <w:sz w:val="32"/>
          <w:szCs w:val="32"/>
          <w:lang w:val="en-US" w:eastAsia="zh-CN" w:bidi="ar"/>
        </w:rPr>
        <w:t>两个医共体牵头为区域急救分中心，完成3个乡镇急救站建设，积极打造“30分钟急救服务圈”，同时医共体牵头医院持续推进“创伤中心、卒中中心、胸痛中心、危重症孕产妇救治、危重儿童和新生儿救治中心”等五大中心建设。</w:t>
      </w:r>
    </w:p>
    <w:p w14:paraId="18BB011C">
      <w:pPr>
        <w:keepNext w:val="0"/>
        <w:keepLines w:val="0"/>
        <w:pageBreakBefore w:val="0"/>
        <w:widowControl w:val="0"/>
        <w:numPr>
          <w:ilvl w:val="0"/>
          <w:numId w:val="0"/>
        </w:numPr>
        <w:kinsoku/>
        <w:wordWrap/>
        <w:overflowPunct/>
        <w:topLinePunct w:val="0"/>
        <w:autoSpaceDE/>
        <w:bidi w:val="0"/>
        <w:adjustRightInd/>
        <w:spacing w:line="600" w:lineRule="exact"/>
        <w:ind w:firstLine="643" w:firstLineChars="200"/>
        <w:jc w:val="both"/>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rPr>
        <w:t>（三）有效促进分级诊疗落实。</w:t>
      </w:r>
      <w:r>
        <w:rPr>
          <w:rFonts w:hint="eastAsia" w:ascii="仿宋_GB2312" w:hAnsi="仿宋_GB2312" w:eastAsia="仿宋_GB2312" w:cs="仿宋_GB2312"/>
          <w:b/>
          <w:bCs/>
          <w:color w:val="auto"/>
          <w:sz w:val="32"/>
          <w:szCs w:val="32"/>
          <w:lang w:val="en-US" w:eastAsia="zh-CN"/>
        </w:rPr>
        <w:t>一是规范双向转诊,完善健全转诊制度</w:t>
      </w:r>
      <w:r>
        <w:rPr>
          <w:rFonts w:hint="eastAsia" w:ascii="仿宋_GB2312" w:hAnsi="仿宋_GB2312" w:cs="仿宋_GB2312"/>
          <w:b/>
          <w:bCs/>
          <w:color w:val="auto"/>
          <w:sz w:val="32"/>
          <w:szCs w:val="32"/>
          <w:lang w:val="en-US" w:eastAsia="zh-CN"/>
        </w:rPr>
        <w:t>。</w:t>
      </w:r>
      <w:r>
        <w:rPr>
          <w:rFonts w:hint="eastAsia" w:ascii="仿宋" w:hAnsi="仿宋" w:eastAsia="仿宋" w:cs="仿宋"/>
          <w:color w:val="000000"/>
          <w:kern w:val="0"/>
          <w:sz w:val="32"/>
          <w:szCs w:val="32"/>
          <w:lang w:val="en-US" w:eastAsia="zh-CN" w:bidi="ar"/>
        </w:rPr>
        <w:t>制定《零陵区关于推进紧密型医共体分级诊疗工作的实施方案(试行)》，通过制定分级诊疗疾病目录（建立区级医院200+N、卫生院50+N、村卫生室20+N疾病目录），推行分级转诊绩效分配制度和考核制度，充分调动医疗机构的积极性，1-9月2个医共体内共上转病人1133人，下转227 人；</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是深入推进医防融合</w:t>
      </w:r>
      <w:r>
        <w:rPr>
          <w:rFonts w:hint="eastAsia" w:ascii="仿宋_GB2312" w:hAnsi="仿宋_GB2312" w:cs="仿宋_GB2312"/>
          <w:b/>
          <w:bCs/>
          <w:color w:val="auto"/>
          <w:sz w:val="32"/>
          <w:szCs w:val="32"/>
          <w:lang w:val="en-US" w:eastAsia="zh-CN"/>
        </w:rPr>
        <w:t>。</w:t>
      </w:r>
      <w:r>
        <w:rPr>
          <w:rFonts w:hint="eastAsia" w:ascii="仿宋" w:hAnsi="仿宋" w:eastAsia="仿宋" w:cs="仿宋"/>
          <w:color w:val="000000"/>
          <w:kern w:val="0"/>
          <w:sz w:val="32"/>
          <w:szCs w:val="32"/>
          <w:lang w:val="en-US" w:eastAsia="zh-CN" w:bidi="ar"/>
        </w:rPr>
        <w:t>做实做细“1+1+1+N”三级医务人员包村工作机制，全方位做好辖区居民的健康管家。</w:t>
      </w:r>
      <w:r>
        <w:rPr>
          <w:rFonts w:hint="eastAsia" w:ascii="仿宋_GB2312" w:hAnsi="仿宋_GB2312" w:eastAsia="仿宋_GB2312" w:cs="仿宋_GB2312"/>
          <w:b/>
          <w:bCs/>
          <w:color w:val="auto"/>
          <w:sz w:val="32"/>
          <w:szCs w:val="32"/>
          <w:lang w:val="en-US" w:eastAsia="zh-CN"/>
        </w:rPr>
        <w:t>三是加大政策的宣传教育力度</w:t>
      </w:r>
      <w:r>
        <w:rPr>
          <w:rFonts w:hint="eastAsia" w:ascii="仿宋_GB2312" w:hAnsi="仿宋_GB2312" w:cs="仿宋_GB2312"/>
          <w:b/>
          <w:bCs/>
          <w:color w:val="auto"/>
          <w:sz w:val="32"/>
          <w:szCs w:val="32"/>
          <w:lang w:val="en-US" w:eastAsia="zh-CN"/>
        </w:rPr>
        <w:t>。</w:t>
      </w:r>
      <w:r>
        <w:rPr>
          <w:rFonts w:hint="eastAsia" w:ascii="仿宋" w:hAnsi="仿宋" w:eastAsia="仿宋" w:cs="仿宋"/>
          <w:color w:val="000000"/>
          <w:kern w:val="0"/>
          <w:sz w:val="32"/>
          <w:szCs w:val="32"/>
          <w:lang w:val="en-US" w:eastAsia="zh-CN" w:bidi="ar"/>
        </w:rPr>
        <w:t>做好医保差异化报账的解释工作，推进湘医保APP的应用，持续提升区域内就诊率，减少市域外就诊率。</w:t>
      </w:r>
    </w:p>
    <w:p w14:paraId="1C6347F8">
      <w:pPr>
        <w:keepNext w:val="0"/>
        <w:keepLines w:val="0"/>
        <w:pageBreakBefore w:val="0"/>
        <w:widowControl w:val="0"/>
        <w:numPr>
          <w:ilvl w:val="0"/>
          <w:numId w:val="0"/>
        </w:numPr>
        <w:kinsoku/>
        <w:wordWrap/>
        <w:overflowPunct/>
        <w:topLinePunct w:val="0"/>
        <w:autoSpaceDE/>
        <w:bidi w:val="0"/>
        <w:adjustRightInd/>
        <w:spacing w:line="600" w:lineRule="exact"/>
        <w:ind w:firstLine="643" w:firstLineChars="200"/>
        <w:jc w:val="both"/>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（四）引导公立医院高质量发展。</w:t>
      </w:r>
      <w:r>
        <w:rPr>
          <w:rFonts w:hint="eastAsia" w:ascii="仿宋_GB2312" w:hAnsi="仿宋_GB2312" w:eastAsia="仿宋_GB2312" w:cs="仿宋_GB2312"/>
          <w:b/>
          <w:bCs/>
          <w:color w:val="auto"/>
          <w:kern w:val="0"/>
          <w:sz w:val="32"/>
          <w:szCs w:val="32"/>
          <w:lang w:val="en-US" w:eastAsia="zh-CN" w:bidi="ar-SA"/>
        </w:rPr>
        <w:t>一是开展卓越服务示范医院创建。</w:t>
      </w:r>
      <w:r>
        <w:rPr>
          <w:rFonts w:hint="eastAsia" w:ascii="仿宋" w:hAnsi="仿宋" w:eastAsia="仿宋" w:cs="仿宋"/>
          <w:color w:val="000000"/>
          <w:kern w:val="0"/>
          <w:sz w:val="32"/>
          <w:szCs w:val="32"/>
          <w:lang w:val="en-US" w:eastAsia="zh-CN" w:bidi="ar"/>
        </w:rPr>
        <w:t>永州市第四人民医院、零陵区中医医院、零陵区妇幼保健院积极创建“永州市卓越服务示范医院”，提升老百姓看病就医幸福感、获得感。</w:t>
      </w:r>
      <w:r>
        <w:rPr>
          <w:rFonts w:hint="eastAsia" w:ascii="仿宋_GB2312" w:hAnsi="仿宋_GB2312" w:eastAsia="仿宋_GB2312" w:cs="仿宋_GB2312"/>
          <w:b/>
          <w:bCs/>
          <w:color w:val="auto"/>
          <w:sz w:val="32"/>
          <w:szCs w:val="32"/>
          <w:lang w:val="en-US" w:eastAsia="zh-CN"/>
        </w:rPr>
        <w:t>二是扎实推进临床重点专科建设。</w:t>
      </w:r>
      <w:r>
        <w:rPr>
          <w:rFonts w:hint="eastAsia" w:ascii="仿宋_GB2312" w:hAnsi="仿宋_GB2312" w:eastAsia="仿宋_GB2312" w:cs="仿宋_GB2312"/>
          <w:b w:val="0"/>
          <w:bCs w:val="0"/>
          <w:color w:val="auto"/>
          <w:kern w:val="0"/>
          <w:sz w:val="32"/>
          <w:szCs w:val="32"/>
          <w:highlight w:val="none"/>
          <w:lang w:val="en-US" w:eastAsia="zh-CN" w:bidi="ar-SA"/>
        </w:rPr>
        <w:t>重点加强永州市第四人民医院肝胆外科、骨伤科、脊柱外科、神经内科，零陵区中医医院肛肠科、中医内科等学科建设，提升ICU医疗卫生服务能力。</w:t>
      </w:r>
      <w:r>
        <w:rPr>
          <w:rFonts w:hint="eastAsia" w:ascii="仿宋_GB2312" w:hAnsi="仿宋_GB2312" w:eastAsia="仿宋_GB2312" w:cs="仿宋_GB2312"/>
          <w:b/>
          <w:bCs/>
          <w:color w:val="auto"/>
          <w:sz w:val="32"/>
          <w:szCs w:val="32"/>
          <w:lang w:val="en-US" w:eastAsia="zh-CN"/>
        </w:rPr>
        <w:t>三是开展医院等级创建和复审。</w:t>
      </w:r>
      <w:r>
        <w:rPr>
          <w:rFonts w:hint="eastAsia" w:ascii="仿宋_GB2312" w:hAnsi="仿宋_GB2312" w:eastAsia="仿宋_GB2312" w:cs="仿宋_GB2312"/>
          <w:b w:val="0"/>
          <w:bCs w:val="0"/>
          <w:color w:val="auto"/>
          <w:sz w:val="32"/>
          <w:szCs w:val="32"/>
          <w:lang w:val="en-US" w:eastAsia="zh-CN"/>
        </w:rPr>
        <w:t>永州市第四人民医院、零陵区中医医院积极开展三级医院创建工作，零陵区妇幼保健院积极创“二甲”。</w:t>
      </w:r>
    </w:p>
    <w:p w14:paraId="551333BA">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sz w:val="32"/>
          <w:szCs w:val="32"/>
          <w:lang w:val="en-US" w:eastAsia="zh-CN"/>
        </w:rPr>
        <w:t>（五）不断加强人才队伍建设。</w:t>
      </w:r>
      <w:r>
        <w:rPr>
          <w:rFonts w:hint="eastAsia" w:ascii="仿宋_GB2312" w:hAnsi="仿宋_GB2312" w:eastAsia="仿宋_GB2312" w:cs="仿宋_GB2312"/>
          <w:b w:val="0"/>
          <w:bCs w:val="0"/>
          <w:color w:val="auto"/>
          <w:sz w:val="32"/>
          <w:szCs w:val="32"/>
          <w:lang w:val="en-US" w:eastAsia="zh-CN"/>
        </w:rPr>
        <w:t>2023年卫健系统计划引进高层次人才</w:t>
      </w:r>
      <w:r>
        <w:rPr>
          <w:rFonts w:hint="eastAsia" w:ascii="仿宋_GB2312" w:hAnsi="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val="en-US" w:eastAsia="zh-CN"/>
        </w:rPr>
        <w:t>人。同时，</w:t>
      </w:r>
      <w:r>
        <w:rPr>
          <w:rFonts w:hint="eastAsia" w:ascii="仿宋_GB2312" w:hAnsi="仿宋_GB2312" w:eastAsia="仿宋_GB2312" w:cs="仿宋_GB2312"/>
          <w:b w:val="0"/>
          <w:bCs w:val="0"/>
          <w:color w:val="auto"/>
          <w:sz w:val="32"/>
          <w:szCs w:val="32"/>
        </w:rPr>
        <w:t>签订农村订单定向免费培养医学生</w:t>
      </w:r>
      <w:r>
        <w:rPr>
          <w:rFonts w:hint="eastAsia" w:ascii="仿宋_GB2312" w:hAnsi="仿宋_GB2312" w:eastAsia="仿宋_GB2312" w:cs="仿宋_GB2312"/>
          <w:b w:val="0"/>
          <w:bCs w:val="0"/>
          <w:color w:val="auto"/>
          <w:sz w:val="32"/>
          <w:szCs w:val="32"/>
          <w:lang w:val="en-US" w:eastAsia="zh-CN"/>
        </w:rPr>
        <w:t>共30名，其中</w:t>
      </w:r>
      <w:r>
        <w:rPr>
          <w:rFonts w:hint="eastAsia" w:ascii="仿宋_GB2312" w:hAnsi="仿宋_GB2312" w:eastAsia="仿宋_GB2312" w:cs="仿宋_GB2312"/>
          <w:b w:val="0"/>
          <w:bCs w:val="0"/>
          <w:color w:val="auto"/>
          <w:sz w:val="32"/>
          <w:szCs w:val="32"/>
        </w:rPr>
        <w:t>本科</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名，专科</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农村订单定向本科免费医学生预签协议28名；农村订单定向本科免费医学生预签协议65名。</w:t>
      </w:r>
      <w:r>
        <w:rPr>
          <w:rFonts w:hint="eastAsia" w:ascii="仿宋_GB2312" w:hAnsi="仿宋_GB2312" w:cs="仿宋_GB2312"/>
          <w:b w:val="0"/>
          <w:bCs w:val="0"/>
          <w:color w:val="auto"/>
          <w:sz w:val="32"/>
          <w:szCs w:val="32"/>
          <w:lang w:val="en-US" w:eastAsia="zh-CN"/>
        </w:rPr>
        <w:t>2023年开展</w:t>
      </w:r>
      <w:r>
        <w:rPr>
          <w:rFonts w:hint="eastAsia" w:ascii="仿宋_GB2312" w:hAnsi="仿宋_GB2312" w:eastAsia="仿宋_GB2312" w:cs="仿宋_GB2312"/>
          <w:b w:val="0"/>
          <w:bCs w:val="0"/>
          <w:color w:val="auto"/>
          <w:kern w:val="0"/>
          <w:sz w:val="32"/>
          <w:szCs w:val="32"/>
          <w:lang w:val="en-US" w:eastAsia="zh-CN" w:bidi="ar-SA"/>
        </w:rPr>
        <w:t>“5.12”国际护士节表彰活动，共表彰“优质护理服务先进科室”</w:t>
      </w:r>
      <w:r>
        <w:rPr>
          <w:rFonts w:hint="eastAsia" w:ascii="仿宋_GB2312" w:hAnsi="仿宋_GB2312" w:cs="仿宋_GB2312"/>
          <w:b w:val="0"/>
          <w:bCs w:val="0"/>
          <w:color w:val="auto"/>
          <w:kern w:val="0"/>
          <w:sz w:val="32"/>
          <w:szCs w:val="32"/>
          <w:lang w:val="en-US" w:eastAsia="zh-CN" w:bidi="ar-SA"/>
        </w:rPr>
        <w:t>8</w:t>
      </w:r>
      <w:r>
        <w:rPr>
          <w:rFonts w:hint="eastAsia" w:ascii="仿宋_GB2312" w:hAnsi="仿宋_GB2312" w:eastAsia="仿宋_GB2312" w:cs="仿宋_GB2312"/>
          <w:b w:val="0"/>
          <w:bCs w:val="0"/>
          <w:color w:val="auto"/>
          <w:kern w:val="0"/>
          <w:sz w:val="32"/>
          <w:szCs w:val="32"/>
          <w:lang w:val="en-US" w:eastAsia="zh-CN" w:bidi="ar-SA"/>
        </w:rPr>
        <w:t>个，“优秀护理管理者”</w:t>
      </w:r>
      <w:r>
        <w:rPr>
          <w:rFonts w:hint="eastAsia" w:ascii="仿宋_GB2312" w:hAnsi="仿宋_GB2312" w:cs="仿宋_GB2312"/>
          <w:b w:val="0"/>
          <w:bCs w:val="0"/>
          <w:color w:val="auto"/>
          <w:kern w:val="0"/>
          <w:sz w:val="32"/>
          <w:szCs w:val="32"/>
          <w:lang w:val="en-US" w:eastAsia="zh-CN" w:bidi="ar-SA"/>
        </w:rPr>
        <w:t>12</w:t>
      </w:r>
      <w:r>
        <w:rPr>
          <w:rFonts w:hint="eastAsia" w:ascii="仿宋_GB2312" w:hAnsi="仿宋_GB2312" w:eastAsia="仿宋_GB2312" w:cs="仿宋_GB2312"/>
          <w:b w:val="0"/>
          <w:bCs w:val="0"/>
          <w:color w:val="auto"/>
          <w:kern w:val="0"/>
          <w:sz w:val="32"/>
          <w:szCs w:val="32"/>
          <w:lang w:val="en-US" w:eastAsia="zh-CN" w:bidi="ar-SA"/>
        </w:rPr>
        <w:t>名，“优秀护士”</w:t>
      </w:r>
      <w:r>
        <w:rPr>
          <w:rFonts w:hint="eastAsia" w:ascii="仿宋_GB2312" w:hAnsi="仿宋_GB2312" w:cs="仿宋_GB2312"/>
          <w:b w:val="0"/>
          <w:bCs w:val="0"/>
          <w:color w:val="auto"/>
          <w:kern w:val="0"/>
          <w:sz w:val="32"/>
          <w:szCs w:val="32"/>
          <w:lang w:val="en-US" w:eastAsia="zh-CN" w:bidi="ar-SA"/>
        </w:rPr>
        <w:t>40</w:t>
      </w:r>
      <w:r>
        <w:rPr>
          <w:rFonts w:hint="eastAsia" w:ascii="仿宋_GB2312" w:hAnsi="仿宋_GB2312" w:eastAsia="仿宋_GB2312" w:cs="仿宋_GB2312"/>
          <w:b w:val="0"/>
          <w:bCs w:val="0"/>
          <w:color w:val="auto"/>
          <w:kern w:val="0"/>
          <w:sz w:val="32"/>
          <w:szCs w:val="32"/>
          <w:lang w:val="en-US" w:eastAsia="zh-CN" w:bidi="ar-SA"/>
        </w:rPr>
        <w:t>名。开展“8.19”中国医师节表彰大会，共表彰“好院长”</w:t>
      </w:r>
      <w:r>
        <w:rPr>
          <w:rFonts w:hint="eastAsia" w:ascii="仿宋_GB2312" w:hAnsi="仿宋_GB2312" w:cs="仿宋_GB2312"/>
          <w:b w:val="0"/>
          <w:bCs w:val="0"/>
          <w:color w:val="auto"/>
          <w:kern w:val="0"/>
          <w:sz w:val="32"/>
          <w:szCs w:val="32"/>
          <w:lang w:val="en-US" w:eastAsia="zh-CN" w:bidi="ar-SA"/>
        </w:rPr>
        <w:t>5</w:t>
      </w:r>
      <w:r>
        <w:rPr>
          <w:rFonts w:hint="eastAsia" w:ascii="仿宋_GB2312" w:hAnsi="仿宋_GB2312" w:eastAsia="仿宋_GB2312" w:cs="仿宋_GB2312"/>
          <w:b w:val="0"/>
          <w:bCs w:val="0"/>
          <w:color w:val="auto"/>
          <w:kern w:val="0"/>
          <w:sz w:val="32"/>
          <w:szCs w:val="32"/>
          <w:lang w:val="en-US" w:eastAsia="zh-CN" w:bidi="ar-SA"/>
        </w:rPr>
        <w:t>名、“好医生”3</w:t>
      </w:r>
      <w:r>
        <w:rPr>
          <w:rFonts w:hint="eastAsia" w:ascii="仿宋_GB2312" w:hAnsi="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名、“好护士”3</w:t>
      </w:r>
      <w:r>
        <w:rPr>
          <w:rFonts w:hint="eastAsia" w:ascii="仿宋_GB2312" w:hAnsi="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color w:val="auto"/>
          <w:kern w:val="0"/>
          <w:sz w:val="32"/>
          <w:szCs w:val="32"/>
          <w:lang w:val="en-US" w:eastAsia="zh-CN" w:bidi="ar-SA"/>
        </w:rPr>
        <w:t>名。</w:t>
      </w:r>
    </w:p>
    <w:p w14:paraId="2FB6C13F">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（六）抓好疫情防控和传染病工作。</w:t>
      </w:r>
      <w:r>
        <w:rPr>
          <w:rFonts w:hint="eastAsia" w:ascii="仿宋_GB2312" w:hAnsi="仿宋_GB2312" w:eastAsia="仿宋_GB2312" w:cs="仿宋_GB2312"/>
          <w:b w:val="0"/>
          <w:bCs w:val="0"/>
          <w:color w:val="auto"/>
          <w:sz w:val="32"/>
          <w:szCs w:val="32"/>
          <w:lang w:val="en-US" w:eastAsia="zh-CN"/>
        </w:rPr>
        <w:t>实施“乙类乙管”后，严格按照国家、省、是安排部署，落实各项措施。</w:t>
      </w:r>
      <w:r>
        <w:rPr>
          <w:rFonts w:hint="eastAsia" w:ascii="仿宋_GB2312" w:hAnsi="仿宋_GB2312" w:eastAsia="仿宋_GB2312" w:cs="仿宋_GB2312"/>
          <w:b w:val="0"/>
          <w:bCs w:val="0"/>
          <w:color w:val="auto"/>
          <w:kern w:val="2"/>
          <w:sz w:val="32"/>
          <w:szCs w:val="32"/>
          <w:lang w:val="en-US" w:eastAsia="zh-CN" w:bidi="ar-SA"/>
        </w:rPr>
        <w:t>截止到10月17日（按审核日期统计），我区共报告法定传染病22种，发病6011例，死亡28例，发病率为1054.22/10万。无甲类传染病报告；乙类传染病报告17种2748例，死亡28例(艾滋病25例、肺结核3例)，丙类传染病5种3263例，无死亡病例。</w:t>
      </w:r>
    </w:p>
    <w:p w14:paraId="38746017">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i w:val="0"/>
          <w:i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（七）不断加强宣传报道工作。</w:t>
      </w:r>
      <w:r>
        <w:rPr>
          <w:rFonts w:hint="eastAsia" w:ascii="仿宋_GB2312" w:hAnsi="仿宋_GB2312" w:eastAsia="仿宋_GB2312" w:cs="仿宋_GB2312"/>
          <w:b w:val="0"/>
          <w:bCs w:val="0"/>
          <w:i w:val="0"/>
          <w:iCs w:val="0"/>
          <w:color w:val="auto"/>
          <w:sz w:val="32"/>
          <w:szCs w:val="32"/>
          <w:lang w:val="en-US" w:eastAsia="zh-CN"/>
        </w:rPr>
        <w:t>2023年，全区卫生行业新闻报道在中央、省、市、区等各级媒体发表275篇，其中中国新闻网7篇，省级媒体139篇，市区级媒体129篇。2023年在零陵区政务公示平台规范发布财务信息、政策法规、人事信息、工作动态等信息45篇。</w:t>
      </w:r>
    </w:p>
    <w:p w14:paraId="352930C3">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sz w:val="32"/>
          <w:szCs w:val="32"/>
          <w:lang w:val="en-US" w:eastAsia="zh-CN"/>
        </w:rPr>
        <w:t>（八）积极推进爱国卫生和健康教育与健康促进工作。</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以来</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0"/>
          <w:sz w:val="32"/>
          <w:szCs w:val="32"/>
          <w:lang w:val="en-US" w:eastAsia="zh-CN" w:bidi="ar-SA"/>
        </w:rPr>
        <w:t>石岩头镇、黄田铺镇、梳子铺乡创建国家卫生乡镇，水口山镇省级卫生乡镇复审。</w:t>
      </w:r>
      <w:r>
        <w:rPr>
          <w:rFonts w:hint="eastAsia" w:ascii="仿宋_GB2312" w:hAnsi="仿宋_GB2312" w:eastAsia="仿宋_GB2312" w:cs="仿宋_GB2312"/>
          <w:b w:val="0"/>
          <w:bCs w:val="0"/>
          <w:color w:val="auto"/>
          <w:sz w:val="32"/>
          <w:szCs w:val="32"/>
          <w:lang w:eastAsia="zh-CN"/>
        </w:rPr>
        <w:t>巩</w:t>
      </w:r>
      <w:r>
        <w:rPr>
          <w:rFonts w:hint="eastAsia" w:ascii="仿宋_GB2312" w:hAnsi="仿宋_GB2312" w:eastAsia="仿宋_GB2312" w:cs="仿宋_GB2312"/>
          <w:b w:val="0"/>
          <w:bCs w:val="0"/>
          <w:color w:val="auto"/>
          <w:sz w:val="32"/>
          <w:szCs w:val="32"/>
        </w:rPr>
        <w:t>卫工作第</w:t>
      </w: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季度</w:t>
      </w:r>
      <w:r>
        <w:rPr>
          <w:rFonts w:hint="eastAsia" w:ascii="仿宋_GB2312" w:hAnsi="仿宋_GB2312" w:eastAsia="仿宋_GB2312" w:cs="仿宋_GB2312"/>
          <w:b w:val="0"/>
          <w:bCs w:val="0"/>
          <w:color w:val="auto"/>
          <w:sz w:val="32"/>
          <w:szCs w:val="32"/>
          <w:lang w:eastAsia="zh-CN"/>
        </w:rPr>
        <w:t>、第三季度</w:t>
      </w:r>
      <w:r>
        <w:rPr>
          <w:rFonts w:hint="eastAsia" w:ascii="仿宋_GB2312" w:hAnsi="仿宋_GB2312" w:eastAsia="仿宋_GB2312" w:cs="仿宋_GB2312"/>
          <w:b w:val="0"/>
          <w:bCs w:val="0"/>
          <w:color w:val="auto"/>
          <w:sz w:val="32"/>
          <w:szCs w:val="32"/>
        </w:rPr>
        <w:t>考核排名</w:t>
      </w:r>
      <w:r>
        <w:rPr>
          <w:rFonts w:hint="eastAsia" w:ascii="仿宋_GB2312" w:hAnsi="仿宋_GB2312" w:eastAsia="仿宋_GB2312" w:cs="仿宋_GB2312"/>
          <w:b w:val="0"/>
          <w:bCs w:val="0"/>
          <w:color w:val="auto"/>
          <w:sz w:val="32"/>
          <w:szCs w:val="32"/>
          <w:lang w:eastAsia="zh-CN"/>
        </w:rPr>
        <w:t>全市</w:t>
      </w:r>
      <w:r>
        <w:rPr>
          <w:rFonts w:hint="eastAsia" w:ascii="仿宋_GB2312" w:hAnsi="仿宋_GB2312" w:eastAsia="仿宋_GB2312" w:cs="仿宋_GB2312"/>
          <w:b w:val="0"/>
          <w:bCs w:val="0"/>
          <w:color w:val="auto"/>
          <w:sz w:val="32"/>
          <w:szCs w:val="32"/>
        </w:rPr>
        <w:t>第一。开展病媒生物监测,病媒生物防制四项</w:t>
      </w:r>
      <w:r>
        <w:rPr>
          <w:rFonts w:hint="eastAsia" w:ascii="仿宋_GB2312" w:hAnsi="仿宋_GB2312" w:eastAsia="仿宋_GB2312" w:cs="仿宋_GB2312"/>
          <w:b w:val="0"/>
          <w:bCs w:val="0"/>
          <w:color w:val="auto"/>
          <w:kern w:val="0"/>
          <w:sz w:val="32"/>
          <w:szCs w:val="32"/>
          <w:lang w:val="en-US" w:eastAsia="zh-CN" w:bidi="ar-SA"/>
        </w:rPr>
        <w:t>均在国家病媒生物密度控制水平B级标准范围内。开展健康知识普及行动，发放相关宣传资料10万份，全面提升居民健康素养水平，我区居民健康素养水平达27%以上。</w:t>
      </w:r>
    </w:p>
    <w:p w14:paraId="124772BB">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color w:val="auto"/>
          <w:sz w:val="32"/>
          <w:szCs w:val="32"/>
          <w:lang w:val="en-US" w:eastAsia="zh-CN"/>
        </w:rPr>
        <w:t>（九）扎实推进民生实事。</w:t>
      </w:r>
      <w:r>
        <w:rPr>
          <w:rFonts w:hint="eastAsia" w:ascii="仿宋_GB2312" w:hAnsi="仿宋_GB2312" w:eastAsia="仿宋_GB2312" w:cs="仿宋_GB2312"/>
          <w:b w:val="0"/>
          <w:bCs w:val="0"/>
          <w:color w:val="auto"/>
          <w:sz w:val="32"/>
          <w:szCs w:val="32"/>
          <w:lang w:val="en-US" w:eastAsia="zh-CN"/>
        </w:rPr>
        <w:t>16个乡镇社区“糖尿病”标准化门诊建设全部完成并投入使用，糖尿病覆盖筛查完成目标任务数的99.5%。截止10月19日，“两癌”筛查任务数12000人，完成12004人，完成率100.03%。</w:t>
      </w:r>
    </w:p>
    <w:p w14:paraId="32C5B854">
      <w:pPr>
        <w:keepNext w:val="0"/>
        <w:keepLines w:val="0"/>
        <w:pageBreakBefore w:val="0"/>
        <w:widowControl w:val="0"/>
        <w:numPr>
          <w:ilvl w:val="0"/>
          <w:numId w:val="0"/>
        </w:numPr>
        <w:pBdr>
          <w:bottom w:val="none" w:color="CCCCCC" w:sz="0" w:space="30"/>
        </w:pBdr>
        <w:kinsoku/>
        <w:wordWrap/>
        <w:overflowPunct/>
        <w:topLinePunct w:val="0"/>
        <w:autoSpaceDE/>
        <w:autoSpaceDN w:val="0"/>
        <w:bidi w:val="0"/>
        <w:adjustRightInd/>
        <w:snapToGrid/>
        <w:spacing w:beforeAutospacing="0" w:afterAutospacing="0" w:line="600" w:lineRule="exact"/>
        <w:ind w:leftChars="0" w:right="0" w:rightChars="0" w:firstLine="640" w:firstLineChars="200"/>
        <w:jc w:val="both"/>
        <w:textAlignment w:val="auto"/>
        <w:outlineLvl w:val="9"/>
        <w:rPr>
          <w:rFonts w:ascii="Times New Roman" w:hAnsi="Times New Roman" w:eastAsia="黑体"/>
          <w:sz w:val="32"/>
          <w:szCs w:val="32"/>
        </w:rPr>
      </w:pPr>
      <w:r>
        <w:rPr>
          <w:rFonts w:ascii="Times New Roman" w:hAnsi="Times New Roman" w:eastAsia="黑体"/>
          <w:sz w:val="32"/>
          <w:szCs w:val="32"/>
        </w:rPr>
        <w:t>七、存在的问题及原因分析</w:t>
      </w:r>
    </w:p>
    <w:p w14:paraId="362BB795">
      <w:pPr>
        <w:spacing w:line="600" w:lineRule="exact"/>
        <w:ind w:rightChars="-31" w:firstLine="420" w:firstLineChars="200"/>
        <w:rPr>
          <w:rFonts w:hint="eastAsia" w:ascii="仿宋" w:hAnsi="仿宋" w:eastAsia="仿宋" w:cs="仿宋"/>
          <w:b w:val="0"/>
          <w:bCs/>
          <w:sz w:val="32"/>
          <w:szCs w:val="32"/>
          <w:lang w:eastAsia="zh-CN"/>
        </w:rPr>
      </w:pPr>
      <w:r>
        <w:rPr>
          <w:rFonts w:hint="eastAsia"/>
          <w:lang w:val="en-US" w:eastAsia="zh-CN"/>
        </w:rPr>
        <w:t xml:space="preserve">  </w:t>
      </w:r>
      <w:r>
        <w:rPr>
          <w:rFonts w:hint="eastAsia" w:ascii="仿宋" w:hAnsi="仿宋" w:eastAsia="仿宋" w:cs="仿宋"/>
          <w:b w:val="0"/>
          <w:bCs/>
          <w:sz w:val="32"/>
          <w:szCs w:val="32"/>
          <w:lang w:eastAsia="zh-CN"/>
        </w:rPr>
        <w:t>（一）由于</w:t>
      </w:r>
      <w:r>
        <w:rPr>
          <w:rFonts w:hint="eastAsia" w:ascii="仿宋" w:hAnsi="仿宋" w:eastAsia="仿宋" w:cs="仿宋"/>
          <w:b w:val="0"/>
          <w:bCs/>
          <w:sz w:val="32"/>
          <w:szCs w:val="32"/>
          <w:lang w:val="en-US" w:eastAsia="zh-CN"/>
        </w:rPr>
        <w:t>两扶、独生子女父母奖励、独生子女保健费等民生项目扶助对象的浮动性，</w:t>
      </w:r>
      <w:r>
        <w:rPr>
          <w:rFonts w:hint="eastAsia" w:ascii="仿宋" w:hAnsi="仿宋" w:eastAsia="仿宋" w:cs="仿宋"/>
          <w:b w:val="0"/>
          <w:bCs/>
          <w:sz w:val="32"/>
          <w:szCs w:val="32"/>
          <w:lang w:eastAsia="zh-CN"/>
        </w:rPr>
        <w:t>编制预算时难以精确预计，导致预算执行中存在偏差。</w:t>
      </w:r>
    </w:p>
    <w:p w14:paraId="6F87C7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（二）、预算绩效工作有待提高，预算绩效目标编制的规范性、合理性、科学性有待提升。</w:t>
      </w:r>
    </w:p>
    <w:p w14:paraId="7697A495">
      <w:pPr>
        <w:spacing w:line="600" w:lineRule="exact"/>
        <w:ind w:firstLine="640" w:firstLineChars="200"/>
        <w:rPr>
          <w:rFonts w:eastAsia="黑体"/>
          <w:sz w:val="32"/>
          <w:szCs w:val="32"/>
        </w:rPr>
      </w:pPr>
      <w:r>
        <w:rPr>
          <w:rFonts w:eastAsia="黑体"/>
          <w:sz w:val="32"/>
          <w:szCs w:val="32"/>
        </w:rPr>
        <w:t>八、下一步改进措施</w:t>
      </w:r>
    </w:p>
    <w:p w14:paraId="2436EE6F">
      <w:pPr>
        <w:spacing w:line="600" w:lineRule="exact"/>
        <w:ind w:rightChars="-31"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lang w:eastAsia="zh-CN"/>
        </w:rPr>
        <w:t>科学编制预算，提高预算准确率</w:t>
      </w:r>
    </w:p>
    <w:p w14:paraId="1697ECCE">
      <w:pPr>
        <w:spacing w:line="600" w:lineRule="exact"/>
        <w:ind w:rightChars="-31" w:firstLine="640" w:firstLineChars="200"/>
        <w:rPr>
          <w:rFonts w:hint="default" w:ascii="仿宋" w:hAnsi="仿宋" w:eastAsia="仿宋" w:cs="仿宋"/>
          <w:b w:val="0"/>
          <w:bCs/>
          <w:sz w:val="32"/>
          <w:szCs w:val="32"/>
          <w:lang w:eastAsia="zh-CN"/>
        </w:rPr>
      </w:pP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按照财政部门的要求，同部开展预算绩效管理工作，加强业务知识学习，提升预算绩效目标编制的规范性、合理性、科学性。</w:t>
      </w:r>
    </w:p>
    <w:p w14:paraId="4400D1DB">
      <w:pPr>
        <w:spacing w:line="600" w:lineRule="exact"/>
        <w:ind w:firstLine="640" w:firstLineChars="200"/>
        <w:rPr>
          <w:rFonts w:eastAsia="黑体"/>
          <w:sz w:val="32"/>
          <w:szCs w:val="32"/>
        </w:rPr>
      </w:pPr>
      <w:r>
        <w:rPr>
          <w:rFonts w:eastAsia="黑体"/>
          <w:sz w:val="32"/>
          <w:szCs w:val="32"/>
        </w:rPr>
        <w:t>九、绩效自评结果拟应用和公开情况</w:t>
      </w:r>
    </w:p>
    <w:p w14:paraId="283DA36B">
      <w:pPr>
        <w:spacing w:line="600" w:lineRule="exact"/>
        <w:ind w:rightChars="-31"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我局将根据绩效自评结果，对照绩效目标完成情况，健全和完善相关政策制度，认真完成各项工作任务，提高社会各界的满意度。自评结果按规定在我局部门网站公开。</w:t>
      </w:r>
    </w:p>
    <w:p w14:paraId="271EDC86">
      <w:pPr>
        <w:spacing w:line="600" w:lineRule="exact"/>
        <w:ind w:firstLine="640" w:firstLineChars="200"/>
        <w:rPr>
          <w:rFonts w:eastAsia="黑体"/>
          <w:sz w:val="32"/>
          <w:szCs w:val="32"/>
        </w:rPr>
      </w:pPr>
      <w:r>
        <w:rPr>
          <w:rFonts w:hint="eastAsia" w:eastAsia="黑体"/>
          <w:sz w:val="32"/>
          <w:szCs w:val="32"/>
          <w:lang w:eastAsia="zh-CN"/>
        </w:rPr>
        <w:t>十、</w:t>
      </w:r>
      <w:r>
        <w:rPr>
          <w:rFonts w:eastAsia="黑体"/>
          <w:sz w:val="32"/>
          <w:szCs w:val="32"/>
        </w:rPr>
        <w:t>其他需要说明的情况</w:t>
      </w:r>
    </w:p>
    <w:p w14:paraId="37B3D16D">
      <w:pPr>
        <w:rPr>
          <w:rFonts w:hint="eastAsia" w:ascii="仿宋" w:hAnsi="仿宋" w:eastAsia="仿宋" w:cs="仿宋"/>
          <w:b w:val="0"/>
          <w:bCs/>
          <w:sz w:val="32"/>
          <w:szCs w:val="32"/>
          <w:lang w:val="en-US" w:eastAsia="zh-CN"/>
        </w:rPr>
      </w:pPr>
      <w:r>
        <w:rPr>
          <w:rFonts w:hint="eastAsia"/>
          <w:lang w:val="en-US" w:eastAsia="zh-CN"/>
        </w:rPr>
        <w:t xml:space="preserve">      </w:t>
      </w:r>
      <w:r>
        <w:rPr>
          <w:rFonts w:hint="eastAsia" w:ascii="仿宋" w:hAnsi="仿宋" w:eastAsia="仿宋" w:cs="仿宋"/>
          <w:b w:val="0"/>
          <w:bCs/>
          <w:sz w:val="32"/>
          <w:szCs w:val="32"/>
          <w:lang w:val="en-US" w:eastAsia="zh-CN"/>
        </w:rPr>
        <w:t>无</w:t>
      </w:r>
    </w:p>
    <w:p w14:paraId="0E959EE6">
      <w:pPr>
        <w:pStyle w:val="2"/>
        <w:rPr>
          <w:rFonts w:hint="eastAsia" w:ascii="仿宋" w:hAnsi="仿宋" w:eastAsia="仿宋" w:cs="仿宋"/>
          <w:b w:val="0"/>
          <w:bCs/>
          <w:sz w:val="32"/>
          <w:szCs w:val="32"/>
          <w:lang w:val="en-US" w:eastAsia="zh-CN"/>
        </w:rPr>
      </w:pPr>
    </w:p>
    <w:p w14:paraId="3E45F6CA">
      <w:pPr>
        <w:pStyle w:val="2"/>
        <w:rPr>
          <w:rFonts w:hint="eastAsia" w:ascii="仿宋" w:hAnsi="仿宋" w:eastAsia="仿宋" w:cs="仿宋"/>
          <w:b w:val="0"/>
          <w:bCs/>
          <w:sz w:val="32"/>
          <w:szCs w:val="32"/>
          <w:lang w:val="en-US" w:eastAsia="zh-CN"/>
        </w:rPr>
      </w:pPr>
    </w:p>
    <w:p w14:paraId="10057391">
      <w:pPr>
        <w:pStyle w:val="2"/>
        <w:rPr>
          <w:rFonts w:hint="eastAsia" w:ascii="仿宋" w:hAnsi="仿宋" w:eastAsia="仿宋" w:cs="仿宋"/>
          <w:b w:val="0"/>
          <w:bCs/>
          <w:sz w:val="32"/>
          <w:szCs w:val="32"/>
          <w:lang w:val="en-US" w:eastAsia="zh-CN"/>
        </w:rPr>
      </w:pPr>
    </w:p>
    <w:p w14:paraId="437B10DA">
      <w:pPr>
        <w:pStyle w:val="2"/>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零陵区卫生健康局</w:t>
      </w:r>
    </w:p>
    <w:p w14:paraId="001E24AB">
      <w:pPr>
        <w:pStyle w:val="2"/>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2024年5月10日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33214"/>
    <w:multiLevelType w:val="singleLevel"/>
    <w:tmpl w:val="183332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ZGRkMWNmN2MwNzM0MzI3MTE5YjE2ZTRiNDY4MzkifQ=="/>
  </w:docVars>
  <w:rsids>
    <w:rsidRoot w:val="00000000"/>
    <w:rsid w:val="00FE4037"/>
    <w:rsid w:val="01241D66"/>
    <w:rsid w:val="021678B4"/>
    <w:rsid w:val="038B6A07"/>
    <w:rsid w:val="03A52548"/>
    <w:rsid w:val="049A7BD3"/>
    <w:rsid w:val="04F76DD4"/>
    <w:rsid w:val="06732DD2"/>
    <w:rsid w:val="08234384"/>
    <w:rsid w:val="09DF42DA"/>
    <w:rsid w:val="0A717628"/>
    <w:rsid w:val="0AAB6B91"/>
    <w:rsid w:val="0B5E3BE7"/>
    <w:rsid w:val="0BC67500"/>
    <w:rsid w:val="0CC779D3"/>
    <w:rsid w:val="0D132C19"/>
    <w:rsid w:val="0D1A4764"/>
    <w:rsid w:val="0D7756B7"/>
    <w:rsid w:val="0DDF0D4D"/>
    <w:rsid w:val="0E124C7E"/>
    <w:rsid w:val="10544545"/>
    <w:rsid w:val="10DB6DF3"/>
    <w:rsid w:val="10F42D61"/>
    <w:rsid w:val="11E81936"/>
    <w:rsid w:val="14F26BBD"/>
    <w:rsid w:val="16C81358"/>
    <w:rsid w:val="17033CFE"/>
    <w:rsid w:val="17B62B1E"/>
    <w:rsid w:val="19744A3F"/>
    <w:rsid w:val="19B9595F"/>
    <w:rsid w:val="1A587EBD"/>
    <w:rsid w:val="1AE03EC5"/>
    <w:rsid w:val="1B866CAC"/>
    <w:rsid w:val="1BB05AD7"/>
    <w:rsid w:val="1BBE6445"/>
    <w:rsid w:val="1C13053F"/>
    <w:rsid w:val="1C14489B"/>
    <w:rsid w:val="1C723F47"/>
    <w:rsid w:val="1D7768AC"/>
    <w:rsid w:val="1DF42728"/>
    <w:rsid w:val="1EC511B5"/>
    <w:rsid w:val="1F8F4381"/>
    <w:rsid w:val="20020FF7"/>
    <w:rsid w:val="20A07B10"/>
    <w:rsid w:val="226367F7"/>
    <w:rsid w:val="22A238FE"/>
    <w:rsid w:val="22C87CCC"/>
    <w:rsid w:val="22F84424"/>
    <w:rsid w:val="23E3485D"/>
    <w:rsid w:val="23F0560A"/>
    <w:rsid w:val="24BB79C6"/>
    <w:rsid w:val="24FD4597"/>
    <w:rsid w:val="25AE3087"/>
    <w:rsid w:val="266F343C"/>
    <w:rsid w:val="268425CD"/>
    <w:rsid w:val="26BE3C1E"/>
    <w:rsid w:val="26CF7759"/>
    <w:rsid w:val="277F5561"/>
    <w:rsid w:val="28094EEC"/>
    <w:rsid w:val="28F83F39"/>
    <w:rsid w:val="297E207B"/>
    <w:rsid w:val="29C76E0D"/>
    <w:rsid w:val="2A5266D7"/>
    <w:rsid w:val="2B065C98"/>
    <w:rsid w:val="2B610E08"/>
    <w:rsid w:val="2B6521BB"/>
    <w:rsid w:val="2BB8426B"/>
    <w:rsid w:val="2CAA39BD"/>
    <w:rsid w:val="2DCD2787"/>
    <w:rsid w:val="2E8C7883"/>
    <w:rsid w:val="2EFD78EB"/>
    <w:rsid w:val="2F093101"/>
    <w:rsid w:val="30352B2E"/>
    <w:rsid w:val="30DD2A72"/>
    <w:rsid w:val="30FD022E"/>
    <w:rsid w:val="317F1D7B"/>
    <w:rsid w:val="335A1999"/>
    <w:rsid w:val="33DF0372"/>
    <w:rsid w:val="3495447A"/>
    <w:rsid w:val="35A428FB"/>
    <w:rsid w:val="37C73F02"/>
    <w:rsid w:val="38424094"/>
    <w:rsid w:val="391F00CC"/>
    <w:rsid w:val="3BBB1CFC"/>
    <w:rsid w:val="3CCC57A3"/>
    <w:rsid w:val="4022168A"/>
    <w:rsid w:val="41035D04"/>
    <w:rsid w:val="437C5D71"/>
    <w:rsid w:val="448E6105"/>
    <w:rsid w:val="45444CD8"/>
    <w:rsid w:val="45CF5499"/>
    <w:rsid w:val="488241D3"/>
    <w:rsid w:val="4886168F"/>
    <w:rsid w:val="48E50A71"/>
    <w:rsid w:val="4A144859"/>
    <w:rsid w:val="4A4F02BC"/>
    <w:rsid w:val="4A506004"/>
    <w:rsid w:val="4B115DA6"/>
    <w:rsid w:val="4C042B2B"/>
    <w:rsid w:val="4D700A9E"/>
    <w:rsid w:val="4E034BA2"/>
    <w:rsid w:val="4E83651C"/>
    <w:rsid w:val="4F426946"/>
    <w:rsid w:val="53B367FB"/>
    <w:rsid w:val="53F343C5"/>
    <w:rsid w:val="54426D3A"/>
    <w:rsid w:val="546B44AC"/>
    <w:rsid w:val="5531510A"/>
    <w:rsid w:val="55324ED5"/>
    <w:rsid w:val="55DB1F32"/>
    <w:rsid w:val="56E51B28"/>
    <w:rsid w:val="58B8779D"/>
    <w:rsid w:val="5AA20705"/>
    <w:rsid w:val="5ACE0A9F"/>
    <w:rsid w:val="5D1A4582"/>
    <w:rsid w:val="5DDB5030"/>
    <w:rsid w:val="5F4D118B"/>
    <w:rsid w:val="5F642187"/>
    <w:rsid w:val="5FFF7D18"/>
    <w:rsid w:val="600D4872"/>
    <w:rsid w:val="620852F1"/>
    <w:rsid w:val="621A1271"/>
    <w:rsid w:val="639C2195"/>
    <w:rsid w:val="645411FD"/>
    <w:rsid w:val="651B533C"/>
    <w:rsid w:val="653D6B3B"/>
    <w:rsid w:val="666A1844"/>
    <w:rsid w:val="67623EF3"/>
    <w:rsid w:val="67B32FF1"/>
    <w:rsid w:val="687336E7"/>
    <w:rsid w:val="691E5254"/>
    <w:rsid w:val="695567B3"/>
    <w:rsid w:val="69821E2D"/>
    <w:rsid w:val="6A0445F0"/>
    <w:rsid w:val="6B3273D3"/>
    <w:rsid w:val="6C5E6C68"/>
    <w:rsid w:val="6CBA4774"/>
    <w:rsid w:val="6FB25CA5"/>
    <w:rsid w:val="6FC0545D"/>
    <w:rsid w:val="70AC050A"/>
    <w:rsid w:val="748C1DB2"/>
    <w:rsid w:val="750E6B1B"/>
    <w:rsid w:val="758D4034"/>
    <w:rsid w:val="767509BC"/>
    <w:rsid w:val="76BB648A"/>
    <w:rsid w:val="777C7D44"/>
    <w:rsid w:val="79CD65DE"/>
    <w:rsid w:val="79F0693F"/>
    <w:rsid w:val="7A0E55E5"/>
    <w:rsid w:val="7B586F7C"/>
    <w:rsid w:val="7C0D22DA"/>
    <w:rsid w:val="7DE97703"/>
    <w:rsid w:val="7E7F4735"/>
    <w:rsid w:val="7EE747B5"/>
    <w:rsid w:val="7F1338B0"/>
    <w:rsid w:val="7F8C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paragraph" w:customStyle="1" w:styleId="9">
    <w:name w:val="_Style 1"/>
    <w:basedOn w:val="1"/>
    <w:qFormat/>
    <w:uiPriority w:val="99"/>
    <w:pPr>
      <w:ind w:firstLine="420" w:firstLineChars="200"/>
    </w:pPr>
    <w:rPr>
      <w:rFonts w:ascii="Calibri" w:hAnsi="Calibri" w:eastAsia="宋体" w:cs="Times New Roman"/>
      <w:szCs w:val="22"/>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4625</Words>
  <Characters>4908</Characters>
  <Lines>0</Lines>
  <Paragraphs>0</Paragraphs>
  <TotalTime>2</TotalTime>
  <ScaleCrop>false</ScaleCrop>
  <LinksUpToDate>false</LinksUpToDate>
  <CharactersWithSpaces>4987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2023-03-09T07:05:00Z</dcterms:created>
  <dc:creator>Administrator</dc:creator>
  <cp:lastModifiedBy>栋</cp:lastModifiedBy>
  <dcterms:modified xsi:type="dcterms:W3CDTF">2024-09-29T08:23:44Z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11AD184BA2EB475CBB0A0359658855C4_13</vt:lpwstr>
  </property>
</Properties>
</file>