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15AA7">
      <w:pPr>
        <w:jc w:val="center"/>
        <w:rPr>
          <w:rFonts w:hint="eastAsia" w:ascii="黑体" w:hAnsi="黑体" w:eastAsia="黑体" w:cs="黑体"/>
          <w:sz w:val="44"/>
          <w:szCs w:val="44"/>
        </w:rPr>
      </w:pPr>
      <w:r>
        <w:rPr>
          <w:rFonts w:hint="eastAsia" w:ascii="黑体" w:hAnsi="黑体" w:eastAsia="黑体" w:cs="黑体"/>
          <w:sz w:val="44"/>
          <w:szCs w:val="44"/>
          <w:lang w:eastAsia="zh-CN"/>
        </w:rPr>
        <w:t>永州市零陵区商务</w:t>
      </w:r>
      <w:r>
        <w:rPr>
          <w:rFonts w:hint="eastAsia" w:ascii="黑体" w:hAnsi="黑体" w:eastAsia="黑体" w:cs="黑体"/>
          <w:sz w:val="44"/>
          <w:szCs w:val="44"/>
        </w:rPr>
        <w:t>系统涉企行政检查事项清单</w:t>
      </w:r>
    </w:p>
    <w:tbl>
      <w:tblPr>
        <w:tblStyle w:val="6"/>
        <w:tblW w:w="15611" w:type="dxa"/>
        <w:tblInd w:w="-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00"/>
        <w:gridCol w:w="1222"/>
        <w:gridCol w:w="4081"/>
        <w:gridCol w:w="1215"/>
        <w:gridCol w:w="1200"/>
        <w:gridCol w:w="3969"/>
        <w:gridCol w:w="620"/>
        <w:gridCol w:w="643"/>
        <w:gridCol w:w="484"/>
      </w:tblGrid>
      <w:tr w14:paraId="2567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77" w:type="dxa"/>
            <w:vAlign w:val="center"/>
          </w:tcPr>
          <w:p w14:paraId="0B5B8937">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序号</w:t>
            </w:r>
          </w:p>
        </w:tc>
        <w:tc>
          <w:tcPr>
            <w:tcW w:w="1500" w:type="dxa"/>
            <w:vAlign w:val="center"/>
          </w:tcPr>
          <w:p w14:paraId="74D31C56">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检查事项</w:t>
            </w:r>
          </w:p>
        </w:tc>
        <w:tc>
          <w:tcPr>
            <w:tcW w:w="1222" w:type="dxa"/>
            <w:vAlign w:val="center"/>
          </w:tcPr>
          <w:p w14:paraId="055608B6">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检查主体</w:t>
            </w:r>
          </w:p>
          <w:p w14:paraId="005ACD9E">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(实施层级)</w:t>
            </w:r>
          </w:p>
        </w:tc>
        <w:tc>
          <w:tcPr>
            <w:tcW w:w="4081" w:type="dxa"/>
            <w:vAlign w:val="center"/>
          </w:tcPr>
          <w:p w14:paraId="3C419E17">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实施依据</w:t>
            </w:r>
          </w:p>
        </w:tc>
        <w:tc>
          <w:tcPr>
            <w:tcW w:w="1215" w:type="dxa"/>
            <w:vAlign w:val="center"/>
          </w:tcPr>
          <w:p w14:paraId="061FF367">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承办机构</w:t>
            </w:r>
          </w:p>
        </w:tc>
        <w:tc>
          <w:tcPr>
            <w:tcW w:w="1200" w:type="dxa"/>
            <w:vAlign w:val="center"/>
          </w:tcPr>
          <w:p w14:paraId="26C14D33">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检查对象</w:t>
            </w:r>
          </w:p>
        </w:tc>
        <w:tc>
          <w:tcPr>
            <w:tcW w:w="3969" w:type="dxa"/>
            <w:vAlign w:val="center"/>
          </w:tcPr>
          <w:p w14:paraId="629D752A">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检查内容</w:t>
            </w:r>
          </w:p>
        </w:tc>
        <w:tc>
          <w:tcPr>
            <w:tcW w:w="620" w:type="dxa"/>
            <w:vAlign w:val="center"/>
          </w:tcPr>
          <w:p w14:paraId="7DCF7C26">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检查方式</w:t>
            </w:r>
          </w:p>
        </w:tc>
        <w:tc>
          <w:tcPr>
            <w:tcW w:w="643" w:type="dxa"/>
            <w:vAlign w:val="center"/>
          </w:tcPr>
          <w:p w14:paraId="0F6A9A59">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检查频次</w:t>
            </w:r>
          </w:p>
        </w:tc>
        <w:tc>
          <w:tcPr>
            <w:tcW w:w="484" w:type="dxa"/>
            <w:vAlign w:val="center"/>
          </w:tcPr>
          <w:p w14:paraId="2C6AA8CF">
            <w:pPr>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备注</w:t>
            </w:r>
          </w:p>
        </w:tc>
      </w:tr>
      <w:tr w14:paraId="2B1F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677" w:type="dxa"/>
            <w:vAlign w:val="center"/>
          </w:tcPr>
          <w:p w14:paraId="61131622">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w:t>
            </w:r>
          </w:p>
        </w:tc>
        <w:tc>
          <w:tcPr>
            <w:tcW w:w="1500" w:type="dxa"/>
            <w:vAlign w:val="center"/>
          </w:tcPr>
          <w:p w14:paraId="0DDBDF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报废汽车回收管理行政监督检查</w:t>
            </w:r>
          </w:p>
        </w:tc>
        <w:tc>
          <w:tcPr>
            <w:tcW w:w="1222" w:type="dxa"/>
            <w:vAlign w:val="center"/>
          </w:tcPr>
          <w:p w14:paraId="7DEF71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县级以上</w:t>
            </w:r>
          </w:p>
        </w:tc>
        <w:tc>
          <w:tcPr>
            <w:tcW w:w="4081" w:type="dxa"/>
            <w:vAlign w:val="center"/>
          </w:tcPr>
          <w:p w14:paraId="4604AC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《报废机动车回收管理实施办法》（商务部令 2020 年第 2 号） 第四条  省商务厅负责组织全省报废机动车回收拆解的监督管理工作，省发展改革委、经济和信息化厅、公安厅、生态环境厅、交通运输厅、市场监督管理局等部门在各自职责范围内负责报废机动车有关监督管理工作。第五条 市级商务主管部门对本行政区域内报废机动车回收拆解活动实施监督管理，负责回收拆解企业资质认定审核转报，配合省商务厅组织实施现场验收评审，核发《报废机动车回收证明》，促进行业健康有序发展。 第七条  市级商务主管部门应当坚持供需总体平衡原则，强化对本地区回收拆解企业动态管理和指导。因地制宜优化报废机动车回收产业布局，完善报废机动车回收体系，便利车主交售车辆，同时加强拆解产能监测，及时发布本地区拆解产能利用情况，并按要求上报本地区拆解产能情况。</w:t>
            </w:r>
          </w:p>
          <w:p w14:paraId="6B092C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p>
        </w:tc>
        <w:tc>
          <w:tcPr>
            <w:tcW w:w="1215" w:type="dxa"/>
            <w:vAlign w:val="center"/>
          </w:tcPr>
          <w:p w14:paraId="403D64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区商务局市场秩序室</w:t>
            </w:r>
          </w:p>
        </w:tc>
        <w:tc>
          <w:tcPr>
            <w:tcW w:w="1200" w:type="dxa"/>
            <w:vAlign w:val="center"/>
          </w:tcPr>
          <w:p w14:paraId="259C71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报废机动车回收拆解场所</w:t>
            </w:r>
          </w:p>
        </w:tc>
        <w:tc>
          <w:tcPr>
            <w:tcW w:w="3969" w:type="dxa"/>
            <w:vAlign w:val="center"/>
          </w:tcPr>
          <w:p w14:paraId="42090D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是否存在未取得资质认定，擅自从事报废机动车回收拆解活动情况；2.报废机动车回收企业是否未如实记录本企业回收的报废机动车“五大总成”等主要部件的数量、型号、流向等信息并上传至报废机动车回收信息系统。3.资质企业是否存在涂改、出租、出借或者以其他形式非法转让《报废机动车回收拆解企业资质认定证书》;买卖或者伪造、变造《资质认定书》、《报废机动车回收证明》。4.回收拆解企业是否存在未建立生产经营全覆盖的电子监控系统。</w:t>
            </w:r>
          </w:p>
          <w:p w14:paraId="5ACEA31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18"/>
                <w:szCs w:val="18"/>
                <w:vertAlign w:val="baseline"/>
                <w:lang w:val="en-US" w:eastAsia="zh-CN"/>
              </w:rPr>
            </w:pPr>
          </w:p>
        </w:tc>
        <w:tc>
          <w:tcPr>
            <w:tcW w:w="620" w:type="dxa"/>
            <w:vAlign w:val="center"/>
          </w:tcPr>
          <w:p w14:paraId="525565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实地核查</w:t>
            </w:r>
          </w:p>
        </w:tc>
        <w:tc>
          <w:tcPr>
            <w:tcW w:w="643" w:type="dxa"/>
            <w:vAlign w:val="center"/>
          </w:tcPr>
          <w:p w14:paraId="0F49D2AE">
            <w:pPr>
              <w:jc w:val="both"/>
              <w:rPr>
                <w:rFonts w:hint="eastAsia" w:ascii="黑体" w:hAnsi="黑体" w:eastAsia="黑体" w:cs="黑体"/>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每季度检一次</w:t>
            </w:r>
          </w:p>
        </w:tc>
        <w:tc>
          <w:tcPr>
            <w:tcW w:w="484" w:type="dxa"/>
            <w:vAlign w:val="center"/>
          </w:tcPr>
          <w:p w14:paraId="0B24551F">
            <w:pPr>
              <w:jc w:val="both"/>
              <w:rPr>
                <w:rFonts w:hint="eastAsia" w:ascii="黑体" w:hAnsi="黑体" w:eastAsia="黑体" w:cs="黑体"/>
                <w:sz w:val="18"/>
                <w:szCs w:val="18"/>
                <w:vertAlign w:val="baseline"/>
              </w:rPr>
            </w:pPr>
          </w:p>
        </w:tc>
      </w:tr>
      <w:tr w14:paraId="4303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677" w:type="dxa"/>
            <w:vAlign w:val="center"/>
          </w:tcPr>
          <w:p w14:paraId="599BFD1F">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w:t>
            </w:r>
          </w:p>
        </w:tc>
        <w:tc>
          <w:tcPr>
            <w:tcW w:w="1500" w:type="dxa"/>
            <w:vAlign w:val="center"/>
          </w:tcPr>
          <w:p w14:paraId="07B65C0D">
            <w:pPr>
              <w:pStyle w:val="4"/>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对汽车销售及其相关服务活动实施日常监督检查</w:t>
            </w:r>
          </w:p>
          <w:p w14:paraId="67AE41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p>
        </w:tc>
        <w:tc>
          <w:tcPr>
            <w:tcW w:w="1222" w:type="dxa"/>
            <w:vAlign w:val="center"/>
          </w:tcPr>
          <w:p w14:paraId="444573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县级以上</w:t>
            </w:r>
          </w:p>
        </w:tc>
        <w:tc>
          <w:tcPr>
            <w:tcW w:w="4081" w:type="dxa"/>
            <w:vAlign w:val="center"/>
          </w:tcPr>
          <w:p w14:paraId="43853910">
            <w:pPr>
              <w:pStyle w:val="4"/>
              <w:keepNext w:val="0"/>
              <w:keepLines w:val="0"/>
              <w:widowControl/>
              <w:suppressLineNumbers w:val="0"/>
              <w:spacing w:before="0" w:beforeAutospacing="0" w:after="0" w:afterAutospacing="0" w:line="300" w:lineRule="atLeast"/>
              <w:ind w:left="0" w:right="0"/>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汽车销售管理办法》（商务部令2017年第1号）第七条国务院商务主管部门负责制定全国汽车销售及其相关服务活动的政策规章，对地方商务主管部门的监督管理工作进行指导、协调和监督。第二十九条县级以上地方商务主管部门应当依据职责，采取“双随机”办法对汽车销售及其相关服务活动实施日常监督检查。</w:t>
            </w:r>
          </w:p>
          <w:p w14:paraId="43DF8A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18"/>
                <w:szCs w:val="18"/>
                <w:vertAlign w:val="baseline"/>
                <w:lang w:val="en-US" w:eastAsia="zh-CN" w:bidi="ar-SA"/>
              </w:rPr>
            </w:pPr>
          </w:p>
        </w:tc>
        <w:tc>
          <w:tcPr>
            <w:tcW w:w="1215" w:type="dxa"/>
            <w:shd w:val="clear" w:color="auto" w:fill="auto"/>
            <w:vAlign w:val="center"/>
          </w:tcPr>
          <w:p w14:paraId="0D52C2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区商务局市场秩序室</w:t>
            </w:r>
          </w:p>
        </w:tc>
        <w:tc>
          <w:tcPr>
            <w:tcW w:w="1200" w:type="dxa"/>
            <w:shd w:val="clear" w:color="auto" w:fill="auto"/>
            <w:vAlign w:val="center"/>
          </w:tcPr>
          <w:p w14:paraId="2A498B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汽车销售场所</w:t>
            </w:r>
          </w:p>
        </w:tc>
        <w:tc>
          <w:tcPr>
            <w:tcW w:w="3969" w:type="dxa"/>
            <w:vAlign w:val="center"/>
          </w:tcPr>
          <w:p w14:paraId="721E25B1">
            <w:pPr>
              <w:pStyle w:val="4"/>
              <w:keepNext w:val="0"/>
              <w:keepLines w:val="0"/>
              <w:widowControl/>
              <w:suppressLineNumbers w:val="0"/>
              <w:spacing w:before="0" w:beforeAutospacing="0" w:after="0" w:afterAutospacing="0" w:line="300" w:lineRule="atLeast"/>
              <w:ind w:left="0" w:right="0"/>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1.进入供应商、经销商企业从事经营活动的场所进行现场检查；2.询问与监督检查事项有关的单位和个人，要求其说明情况；3.查阅、复制有关文件、资料，检查相关数据信息系统及复制相关信息数据；4.依据国家有关规定采取的其他措施。</w:t>
            </w:r>
          </w:p>
          <w:p w14:paraId="5FA3057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18"/>
                <w:szCs w:val="18"/>
                <w:vertAlign w:val="baseline"/>
                <w:lang w:val="en-US" w:eastAsia="zh-CN" w:bidi="ar-SA"/>
              </w:rPr>
            </w:pPr>
          </w:p>
        </w:tc>
        <w:tc>
          <w:tcPr>
            <w:tcW w:w="620" w:type="dxa"/>
            <w:vAlign w:val="center"/>
          </w:tcPr>
          <w:p w14:paraId="76D220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实地核查</w:t>
            </w:r>
          </w:p>
        </w:tc>
        <w:tc>
          <w:tcPr>
            <w:tcW w:w="643" w:type="dxa"/>
            <w:vAlign w:val="center"/>
          </w:tcPr>
          <w:p w14:paraId="080915BC">
            <w:pPr>
              <w:jc w:val="both"/>
              <w:rPr>
                <w:rFonts w:hint="eastAsia" w:ascii="黑体" w:hAnsi="黑体" w:eastAsia="黑体" w:cs="黑体"/>
                <w:sz w:val="18"/>
                <w:szCs w:val="18"/>
                <w:vertAlign w:val="baseline"/>
              </w:rPr>
            </w:pPr>
            <w:r>
              <w:rPr>
                <w:rFonts w:hint="eastAsia" w:ascii="仿宋_GB2312" w:hAnsi="仿宋_GB2312" w:eastAsia="仿宋_GB2312" w:cs="仿宋_GB2312"/>
                <w:sz w:val="18"/>
                <w:szCs w:val="18"/>
                <w:vertAlign w:val="baseline"/>
                <w:lang w:val="en-US" w:eastAsia="zh-CN"/>
              </w:rPr>
              <w:t>每季度检一次</w:t>
            </w:r>
          </w:p>
        </w:tc>
        <w:tc>
          <w:tcPr>
            <w:tcW w:w="484" w:type="dxa"/>
            <w:vAlign w:val="center"/>
          </w:tcPr>
          <w:p w14:paraId="2C2CA758">
            <w:pPr>
              <w:jc w:val="both"/>
              <w:rPr>
                <w:rFonts w:hint="eastAsia" w:ascii="黑体" w:hAnsi="黑体" w:eastAsia="黑体" w:cs="黑体"/>
                <w:sz w:val="18"/>
                <w:szCs w:val="18"/>
                <w:vertAlign w:val="baseline"/>
              </w:rPr>
            </w:pPr>
          </w:p>
        </w:tc>
      </w:tr>
      <w:tr w14:paraId="6B7E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677" w:type="dxa"/>
            <w:vAlign w:val="center"/>
          </w:tcPr>
          <w:p w14:paraId="206F4445">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3</w:t>
            </w:r>
          </w:p>
        </w:tc>
        <w:tc>
          <w:tcPr>
            <w:tcW w:w="1500" w:type="dxa"/>
            <w:vAlign w:val="center"/>
          </w:tcPr>
          <w:p w14:paraId="670F0FF6">
            <w:pPr>
              <w:pStyle w:val="4"/>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二手车流通监督检查</w:t>
            </w:r>
          </w:p>
          <w:p w14:paraId="2F9B40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p>
        </w:tc>
        <w:tc>
          <w:tcPr>
            <w:tcW w:w="1222" w:type="dxa"/>
            <w:vAlign w:val="center"/>
          </w:tcPr>
          <w:p w14:paraId="747101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县级以上</w:t>
            </w:r>
          </w:p>
        </w:tc>
        <w:tc>
          <w:tcPr>
            <w:tcW w:w="4081" w:type="dxa"/>
            <w:vAlign w:val="center"/>
          </w:tcPr>
          <w:p w14:paraId="1E729BC7">
            <w:pPr>
              <w:pStyle w:val="4"/>
              <w:keepNext w:val="0"/>
              <w:keepLines w:val="0"/>
              <w:widowControl/>
              <w:suppressLineNumbers w:val="0"/>
              <w:spacing w:before="0" w:beforeAutospacing="0" w:after="0" w:afterAutospacing="0" w:line="300" w:lineRule="atLeast"/>
              <w:ind w:left="0" w:right="0"/>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二手车流通管理办法》（商务部、公安部、工商总局、税务总局令【2005】第2号，根据2017年9月14日《商务部关于废止和修改部分规章的决定》修改）第七条国务院商务主管部门、工商行政管理部门、税务部门在各自的职责范围内负责二手车流通有关监督管理工作。第三十二条商务主管部门、工商行政管理部门应当在各自的职责范围内采取有效措施,加强对二手车交易市场经营者和经营主体的监督管理,依法查处违法违规行为,维护市场秩序,保护消费者的合法权益。</w:t>
            </w:r>
          </w:p>
          <w:p w14:paraId="5FBE27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18"/>
                <w:szCs w:val="18"/>
                <w:vertAlign w:val="baseline"/>
                <w:lang w:val="en-US" w:eastAsia="zh-CN" w:bidi="ar-SA"/>
              </w:rPr>
            </w:pPr>
          </w:p>
        </w:tc>
        <w:tc>
          <w:tcPr>
            <w:tcW w:w="1215" w:type="dxa"/>
            <w:vAlign w:val="center"/>
          </w:tcPr>
          <w:p w14:paraId="753BE9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区商务局市场秩序室</w:t>
            </w:r>
          </w:p>
        </w:tc>
        <w:tc>
          <w:tcPr>
            <w:tcW w:w="1200" w:type="dxa"/>
            <w:vAlign w:val="center"/>
          </w:tcPr>
          <w:p w14:paraId="70861A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二手车销售场所</w:t>
            </w:r>
          </w:p>
        </w:tc>
        <w:tc>
          <w:tcPr>
            <w:tcW w:w="3969" w:type="dxa"/>
            <w:vAlign w:val="center"/>
          </w:tcPr>
          <w:p w14:paraId="2262F21D">
            <w:pPr>
              <w:pStyle w:val="4"/>
              <w:keepNext w:val="0"/>
              <w:keepLines w:val="0"/>
              <w:widowControl/>
              <w:suppressLineNumbers w:val="0"/>
              <w:spacing w:before="0" w:beforeAutospacing="0" w:after="0" w:afterAutospacing="0" w:line="300" w:lineRule="atLeast"/>
              <w:ind w:left="0" w:right="0"/>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1.进入二手车企业从事经营活动的场所进行现场检查；2.询问与监督检查事项有关的单位和个人，要求其说明情况；3.查阅、复制有关文件、资料，检查相关数据信息系统及复制相关信息数据；4.依据国家有关规定采取的其他措施。</w:t>
            </w:r>
          </w:p>
          <w:p w14:paraId="6A44F5F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18"/>
                <w:szCs w:val="18"/>
                <w:vertAlign w:val="baseline"/>
                <w:lang w:val="en-US" w:eastAsia="zh-CN" w:bidi="ar-SA"/>
              </w:rPr>
            </w:pPr>
          </w:p>
        </w:tc>
        <w:tc>
          <w:tcPr>
            <w:tcW w:w="620" w:type="dxa"/>
            <w:vAlign w:val="center"/>
          </w:tcPr>
          <w:p w14:paraId="07B7F9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实地核查</w:t>
            </w:r>
          </w:p>
        </w:tc>
        <w:tc>
          <w:tcPr>
            <w:tcW w:w="643" w:type="dxa"/>
            <w:vAlign w:val="center"/>
          </w:tcPr>
          <w:p w14:paraId="1B8D4317">
            <w:pPr>
              <w:jc w:val="both"/>
              <w:rPr>
                <w:rFonts w:hint="eastAsia" w:ascii="黑体" w:hAnsi="黑体" w:eastAsia="黑体" w:cs="黑体"/>
                <w:sz w:val="18"/>
                <w:szCs w:val="18"/>
                <w:vertAlign w:val="baseline"/>
              </w:rPr>
            </w:pPr>
            <w:r>
              <w:rPr>
                <w:rFonts w:hint="eastAsia" w:ascii="仿宋_GB2312" w:hAnsi="仿宋_GB2312" w:eastAsia="仿宋_GB2312" w:cs="仿宋_GB2312"/>
                <w:sz w:val="18"/>
                <w:szCs w:val="18"/>
                <w:vertAlign w:val="baseline"/>
                <w:lang w:val="en-US" w:eastAsia="zh-CN"/>
              </w:rPr>
              <w:t>每季度检一次</w:t>
            </w:r>
          </w:p>
        </w:tc>
        <w:tc>
          <w:tcPr>
            <w:tcW w:w="484" w:type="dxa"/>
            <w:vAlign w:val="center"/>
          </w:tcPr>
          <w:p w14:paraId="2219649A">
            <w:pPr>
              <w:jc w:val="both"/>
              <w:rPr>
                <w:rFonts w:hint="eastAsia" w:ascii="黑体" w:hAnsi="黑体" w:eastAsia="黑体" w:cs="黑体"/>
                <w:sz w:val="18"/>
                <w:szCs w:val="18"/>
                <w:vertAlign w:val="baseline"/>
              </w:rPr>
            </w:pPr>
          </w:p>
        </w:tc>
      </w:tr>
      <w:tr w14:paraId="4B2F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2" w:hRule="atLeast"/>
        </w:trPr>
        <w:tc>
          <w:tcPr>
            <w:tcW w:w="677" w:type="dxa"/>
            <w:vAlign w:val="center"/>
          </w:tcPr>
          <w:p w14:paraId="204FA2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1500" w:type="dxa"/>
            <w:vAlign w:val="center"/>
          </w:tcPr>
          <w:p w14:paraId="2DBA7FA7">
            <w:pPr>
              <w:pStyle w:val="4"/>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对成品油零售经营企业的行政检查</w:t>
            </w:r>
          </w:p>
          <w:p w14:paraId="2B6C2F4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18"/>
                <w:szCs w:val="18"/>
                <w:vertAlign w:val="baseline"/>
                <w:lang w:val="en-US" w:eastAsia="zh-CN" w:bidi="ar-SA"/>
              </w:rPr>
            </w:pPr>
          </w:p>
        </w:tc>
        <w:tc>
          <w:tcPr>
            <w:tcW w:w="1222" w:type="dxa"/>
            <w:vAlign w:val="center"/>
          </w:tcPr>
          <w:p w14:paraId="1170C2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县级以上</w:t>
            </w:r>
          </w:p>
        </w:tc>
        <w:tc>
          <w:tcPr>
            <w:tcW w:w="4081" w:type="dxa"/>
            <w:vAlign w:val="center"/>
          </w:tcPr>
          <w:p w14:paraId="2269BD28">
            <w:pPr>
              <w:pStyle w:val="4"/>
              <w:keepNext w:val="0"/>
              <w:keepLines w:val="0"/>
              <w:widowControl/>
              <w:suppressLineNumbers w:val="0"/>
              <w:spacing w:before="0" w:beforeAutospacing="0" w:after="0" w:afterAutospacing="0" w:line="300" w:lineRule="atLeast"/>
              <w:ind w:left="0" w:right="0"/>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1.《国务院办公厅关于加快发展流通促进商业消费的意见》（国办发【2019】42号），“取消成品油批发、仓储经营资格审批，将成品油零售经营资格审批下放至地市级人民政府，加强成品油流通事中事后监管，强化安全保障措施落实”。2.《中华人民共和国安全生产法》第六十三条 。3.商务领域成品油流通安全生产管理工作指引手册</w:t>
            </w:r>
          </w:p>
          <w:p w14:paraId="4D29A29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18"/>
                <w:szCs w:val="18"/>
                <w:vertAlign w:val="baseline"/>
                <w:lang w:val="en-US" w:eastAsia="zh-CN" w:bidi="ar-SA"/>
              </w:rPr>
            </w:pPr>
          </w:p>
        </w:tc>
        <w:tc>
          <w:tcPr>
            <w:tcW w:w="1215" w:type="dxa"/>
            <w:shd w:val="clear" w:color="auto" w:fill="auto"/>
            <w:vAlign w:val="center"/>
          </w:tcPr>
          <w:p w14:paraId="4EE904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区商务局消费促进室</w:t>
            </w:r>
          </w:p>
        </w:tc>
        <w:tc>
          <w:tcPr>
            <w:tcW w:w="1200" w:type="dxa"/>
            <w:shd w:val="clear" w:color="auto" w:fill="auto"/>
            <w:vAlign w:val="center"/>
          </w:tcPr>
          <w:p w14:paraId="3BD684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成品油销售场所</w:t>
            </w:r>
          </w:p>
        </w:tc>
        <w:tc>
          <w:tcPr>
            <w:tcW w:w="3969" w:type="dxa"/>
            <w:vAlign w:val="center"/>
          </w:tcPr>
          <w:p w14:paraId="73C96B2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1、督促指导企业安全生产经营，检查企业安全生产资质管理、制度管理、设施设备管理。2、企业购销台账检查，检查企业是否严格落实购销台账制度，健全油品来源、检验报告、检查记录等凭证资料档案，督促企业依法依规经营。</w:t>
            </w:r>
          </w:p>
        </w:tc>
        <w:tc>
          <w:tcPr>
            <w:tcW w:w="620" w:type="dxa"/>
            <w:vAlign w:val="center"/>
          </w:tcPr>
          <w:p w14:paraId="5FDF0E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实地核查</w:t>
            </w:r>
          </w:p>
        </w:tc>
        <w:tc>
          <w:tcPr>
            <w:tcW w:w="643" w:type="dxa"/>
            <w:vAlign w:val="center"/>
          </w:tcPr>
          <w:p w14:paraId="2D891C2E">
            <w:pPr>
              <w:jc w:val="both"/>
              <w:rPr>
                <w:rFonts w:hint="eastAsia" w:ascii="黑体" w:hAnsi="黑体" w:eastAsia="黑体" w:cs="黑体"/>
                <w:sz w:val="18"/>
                <w:szCs w:val="18"/>
                <w:vertAlign w:val="baseline"/>
              </w:rPr>
            </w:pPr>
            <w:r>
              <w:rPr>
                <w:rFonts w:hint="eastAsia" w:ascii="仿宋_GB2312" w:hAnsi="仿宋_GB2312" w:eastAsia="仿宋_GB2312" w:cs="仿宋_GB2312"/>
                <w:sz w:val="18"/>
                <w:szCs w:val="18"/>
                <w:vertAlign w:val="baseline"/>
                <w:lang w:val="en-US" w:eastAsia="zh-CN"/>
              </w:rPr>
              <w:t>每季度检一次</w:t>
            </w:r>
          </w:p>
        </w:tc>
        <w:tc>
          <w:tcPr>
            <w:tcW w:w="484" w:type="dxa"/>
            <w:vAlign w:val="center"/>
          </w:tcPr>
          <w:p w14:paraId="4E5A77CD">
            <w:pPr>
              <w:jc w:val="both"/>
              <w:rPr>
                <w:rFonts w:hint="eastAsia" w:ascii="黑体" w:hAnsi="黑体" w:eastAsia="黑体" w:cs="黑体"/>
                <w:sz w:val="18"/>
                <w:szCs w:val="18"/>
                <w:vertAlign w:val="baseline"/>
              </w:rPr>
            </w:pPr>
          </w:p>
        </w:tc>
      </w:tr>
      <w:tr w14:paraId="7025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677" w:type="dxa"/>
            <w:vAlign w:val="center"/>
          </w:tcPr>
          <w:p w14:paraId="5B17DB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1500" w:type="dxa"/>
            <w:vAlign w:val="center"/>
          </w:tcPr>
          <w:p w14:paraId="5541FCCB">
            <w:pPr>
              <w:pStyle w:val="4"/>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单用途商业预付卡发卡企业和售卡企业的监督检查</w:t>
            </w:r>
          </w:p>
          <w:p w14:paraId="7E3B4B9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18"/>
                <w:szCs w:val="18"/>
                <w:vertAlign w:val="baseline"/>
                <w:lang w:val="en-US" w:eastAsia="zh-CN" w:bidi="ar-SA"/>
              </w:rPr>
            </w:pPr>
          </w:p>
        </w:tc>
        <w:tc>
          <w:tcPr>
            <w:tcW w:w="1222" w:type="dxa"/>
            <w:vAlign w:val="center"/>
          </w:tcPr>
          <w:p w14:paraId="622BF4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县级以上</w:t>
            </w:r>
          </w:p>
        </w:tc>
        <w:tc>
          <w:tcPr>
            <w:tcW w:w="4081" w:type="dxa"/>
            <w:vAlign w:val="center"/>
          </w:tcPr>
          <w:p w14:paraId="3348447B">
            <w:pPr>
              <w:pStyle w:val="4"/>
              <w:keepNext w:val="0"/>
              <w:keepLines w:val="0"/>
              <w:widowControl/>
              <w:suppressLineNumbers w:val="0"/>
              <w:spacing w:before="0" w:beforeAutospacing="0" w:after="0" w:afterAutospacing="0" w:line="300" w:lineRule="atLeast"/>
              <w:ind w:left="0" w:right="0"/>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单用途商业预付卡管理办法（试行）》（商务部令2012年第9号）第三十三条商务部和地方人民政府商务主管部门应对发卡企业和售卡企业的单用途卡业务活动、内部控制和风险状况等进行定期或不定期的现场及非现场检查。发卡企业和售卡企业应配合商务主管部门的检查。</w:t>
            </w:r>
          </w:p>
          <w:p w14:paraId="1C5A2EE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18"/>
                <w:szCs w:val="18"/>
                <w:vertAlign w:val="baseline"/>
                <w:lang w:val="en-US" w:eastAsia="zh-CN" w:bidi="ar-SA"/>
              </w:rPr>
            </w:pPr>
          </w:p>
        </w:tc>
        <w:tc>
          <w:tcPr>
            <w:tcW w:w="1215" w:type="dxa"/>
            <w:shd w:val="clear" w:color="auto" w:fill="auto"/>
            <w:vAlign w:val="center"/>
          </w:tcPr>
          <w:p w14:paraId="2C0359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区商务局消费促进室</w:t>
            </w:r>
          </w:p>
        </w:tc>
        <w:tc>
          <w:tcPr>
            <w:tcW w:w="1200" w:type="dxa"/>
            <w:shd w:val="clear" w:color="auto" w:fill="auto"/>
            <w:vAlign w:val="center"/>
          </w:tcPr>
          <w:p w14:paraId="478262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单用预付卡使用场所</w:t>
            </w:r>
          </w:p>
        </w:tc>
        <w:tc>
          <w:tcPr>
            <w:tcW w:w="3969" w:type="dxa"/>
            <w:vAlign w:val="center"/>
          </w:tcPr>
          <w:p w14:paraId="11223DDC">
            <w:pPr>
              <w:pStyle w:val="4"/>
              <w:keepNext w:val="0"/>
              <w:keepLines w:val="0"/>
              <w:widowControl/>
              <w:suppressLineNumbers w:val="0"/>
              <w:spacing w:before="0" w:beforeAutospacing="0" w:after="0" w:afterAutospacing="0" w:line="300" w:lineRule="atLeast"/>
              <w:ind w:left="0" w:right="0"/>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1.检查单用途商业预付卡备案表、购卡章程、协议及资金管理制度建立、执行情况；2.检查单用途商业预付卡购买登记情况、购卡方式、购卡限额、退卡等操作程序执行情况；3.检查发卡企业预售资金用途、预收资金金额比例、资金存管制度、资金存管协议与账户情况。</w:t>
            </w:r>
          </w:p>
          <w:p w14:paraId="69E526B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18"/>
                <w:szCs w:val="18"/>
                <w:vertAlign w:val="baseline"/>
                <w:lang w:val="en-US" w:eastAsia="zh-CN" w:bidi="ar-SA"/>
              </w:rPr>
            </w:pPr>
          </w:p>
        </w:tc>
        <w:tc>
          <w:tcPr>
            <w:tcW w:w="620" w:type="dxa"/>
            <w:vAlign w:val="center"/>
          </w:tcPr>
          <w:p w14:paraId="0CDF08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实地核查</w:t>
            </w:r>
          </w:p>
        </w:tc>
        <w:tc>
          <w:tcPr>
            <w:tcW w:w="643" w:type="dxa"/>
            <w:vAlign w:val="center"/>
          </w:tcPr>
          <w:p w14:paraId="50C1E0A6">
            <w:pPr>
              <w:jc w:val="both"/>
              <w:rPr>
                <w:rFonts w:hint="eastAsia" w:ascii="黑体" w:hAnsi="黑体" w:eastAsia="黑体" w:cs="黑体"/>
                <w:sz w:val="18"/>
                <w:szCs w:val="18"/>
                <w:vertAlign w:val="baseline"/>
              </w:rPr>
            </w:pPr>
            <w:r>
              <w:rPr>
                <w:rFonts w:hint="eastAsia" w:ascii="仿宋_GB2312" w:hAnsi="仿宋_GB2312" w:eastAsia="仿宋_GB2312" w:cs="仿宋_GB2312"/>
                <w:sz w:val="18"/>
                <w:szCs w:val="18"/>
                <w:vertAlign w:val="baseline"/>
                <w:lang w:val="en-US" w:eastAsia="zh-CN"/>
              </w:rPr>
              <w:t>每季度检一次</w:t>
            </w:r>
          </w:p>
        </w:tc>
        <w:tc>
          <w:tcPr>
            <w:tcW w:w="484" w:type="dxa"/>
            <w:vAlign w:val="center"/>
          </w:tcPr>
          <w:p w14:paraId="04F421F7">
            <w:pPr>
              <w:jc w:val="both"/>
              <w:rPr>
                <w:rFonts w:hint="eastAsia" w:ascii="黑体" w:hAnsi="黑体" w:eastAsia="黑体" w:cs="黑体"/>
                <w:sz w:val="18"/>
                <w:szCs w:val="18"/>
                <w:vertAlign w:val="baseline"/>
              </w:rPr>
            </w:pPr>
          </w:p>
        </w:tc>
      </w:tr>
      <w:tr w14:paraId="6F4F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677" w:type="dxa"/>
            <w:vAlign w:val="center"/>
          </w:tcPr>
          <w:p w14:paraId="283B0026">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6</w:t>
            </w:r>
          </w:p>
        </w:tc>
        <w:tc>
          <w:tcPr>
            <w:tcW w:w="1500" w:type="dxa"/>
            <w:vAlign w:val="center"/>
          </w:tcPr>
          <w:p w14:paraId="77F4BB7B">
            <w:pPr>
              <w:pStyle w:val="4"/>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技术进出口合同登记管理监督检查</w:t>
            </w:r>
          </w:p>
          <w:p w14:paraId="1D5948A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18"/>
                <w:szCs w:val="18"/>
                <w:vertAlign w:val="baseline"/>
                <w:lang w:val="en-US" w:eastAsia="zh-CN" w:bidi="ar-SA"/>
              </w:rPr>
            </w:pPr>
          </w:p>
        </w:tc>
        <w:tc>
          <w:tcPr>
            <w:tcW w:w="1222" w:type="dxa"/>
            <w:vAlign w:val="center"/>
          </w:tcPr>
          <w:p w14:paraId="06CC7B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县级以上</w:t>
            </w:r>
          </w:p>
        </w:tc>
        <w:tc>
          <w:tcPr>
            <w:tcW w:w="4081" w:type="dxa"/>
            <w:vAlign w:val="center"/>
          </w:tcPr>
          <w:p w14:paraId="36F53C59">
            <w:pPr>
              <w:pStyle w:val="4"/>
              <w:keepNext w:val="0"/>
              <w:keepLines w:val="0"/>
              <w:widowControl/>
              <w:suppressLineNumbers w:val="0"/>
              <w:spacing w:before="0" w:beforeAutospacing="0" w:after="0" w:afterAutospacing="0" w:line="300" w:lineRule="atLeast"/>
              <w:ind w:left="0" w:right="0"/>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技术进出口管理条例》第17-19条，第37-39条：对属于自由进出口的技术，实行合同登记管理。《技术进出口合同登记管理办法》第5条：各省、自治区、直辖市和计划单列市商务主管部门可授权下一级商务主管部门对自由进出口技术合同进行登记管理。</w:t>
            </w:r>
          </w:p>
          <w:p w14:paraId="48C40EF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18"/>
                <w:szCs w:val="18"/>
                <w:vertAlign w:val="baseline"/>
                <w:lang w:val="en-US" w:eastAsia="zh-CN" w:bidi="ar-SA"/>
              </w:rPr>
            </w:pPr>
          </w:p>
        </w:tc>
        <w:tc>
          <w:tcPr>
            <w:tcW w:w="1215" w:type="dxa"/>
            <w:shd w:val="clear" w:color="auto" w:fill="auto"/>
            <w:vAlign w:val="center"/>
          </w:tcPr>
          <w:p w14:paraId="2231D4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区商务局外经外贸室</w:t>
            </w:r>
          </w:p>
        </w:tc>
        <w:tc>
          <w:tcPr>
            <w:tcW w:w="1200" w:type="dxa"/>
            <w:shd w:val="clear" w:color="auto" w:fill="auto"/>
            <w:vAlign w:val="center"/>
          </w:tcPr>
          <w:p w14:paraId="291D16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进出口场所</w:t>
            </w:r>
          </w:p>
        </w:tc>
        <w:tc>
          <w:tcPr>
            <w:tcW w:w="3969" w:type="dxa"/>
            <w:vAlign w:val="center"/>
          </w:tcPr>
          <w:p w14:paraId="05222371">
            <w:pPr>
              <w:pStyle w:val="4"/>
              <w:keepNext w:val="0"/>
              <w:keepLines w:val="0"/>
              <w:widowControl/>
              <w:suppressLineNumbers w:val="0"/>
              <w:spacing w:before="0" w:beforeAutospacing="0" w:after="0" w:afterAutospacing="0" w:line="300" w:lineRule="atLeast"/>
              <w:ind w:left="0" w:right="0"/>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1.申请登记的技术是否符合《技术进出口合同登记管理办法》的规定；2.申请登记的技术是否未列入《中国禁止进口限制进口技术目录》或《中国禁止出口限制出口目录》；3.填报登记或申请变更的内容是否与合同及相关单证材料等一致；4.申报材料是否完备。</w:t>
            </w:r>
          </w:p>
          <w:p w14:paraId="7ED87C56">
            <w:pPr>
              <w:jc w:val="both"/>
              <w:rPr>
                <w:rFonts w:hint="eastAsia" w:ascii="仿宋_GB2312" w:hAnsi="仿宋_GB2312" w:eastAsia="仿宋_GB2312" w:cs="仿宋_GB2312"/>
                <w:kern w:val="2"/>
                <w:sz w:val="18"/>
                <w:szCs w:val="18"/>
                <w:vertAlign w:val="baseline"/>
                <w:lang w:val="en-US" w:eastAsia="zh-CN" w:bidi="ar-SA"/>
              </w:rPr>
            </w:pPr>
          </w:p>
        </w:tc>
        <w:tc>
          <w:tcPr>
            <w:tcW w:w="620" w:type="dxa"/>
            <w:vAlign w:val="center"/>
          </w:tcPr>
          <w:p w14:paraId="7DD498DD">
            <w:pPr>
              <w:jc w:val="center"/>
              <w:rPr>
                <w:rFonts w:hint="eastAsia" w:ascii="黑体" w:hAnsi="黑体" w:eastAsia="黑体" w:cs="黑体"/>
                <w:sz w:val="18"/>
                <w:szCs w:val="18"/>
                <w:vertAlign w:val="baseline"/>
              </w:rPr>
            </w:pPr>
            <w:r>
              <w:rPr>
                <w:rFonts w:hint="eastAsia" w:ascii="仿宋_GB2312" w:hAnsi="仿宋_GB2312" w:eastAsia="仿宋_GB2312" w:cs="仿宋_GB2312"/>
                <w:sz w:val="18"/>
                <w:szCs w:val="18"/>
                <w:vertAlign w:val="baseline"/>
                <w:lang w:val="en-US" w:eastAsia="zh-CN"/>
              </w:rPr>
              <w:t>实地核查</w:t>
            </w:r>
          </w:p>
        </w:tc>
        <w:tc>
          <w:tcPr>
            <w:tcW w:w="643" w:type="dxa"/>
            <w:vAlign w:val="center"/>
          </w:tcPr>
          <w:p w14:paraId="32AFAF75">
            <w:pPr>
              <w:jc w:val="both"/>
              <w:rPr>
                <w:rFonts w:hint="eastAsia" w:ascii="黑体" w:hAnsi="黑体" w:eastAsia="黑体" w:cs="黑体"/>
                <w:sz w:val="18"/>
                <w:szCs w:val="18"/>
                <w:vertAlign w:val="baseline"/>
              </w:rPr>
            </w:pPr>
            <w:r>
              <w:rPr>
                <w:rFonts w:hint="eastAsia" w:ascii="仿宋_GB2312" w:hAnsi="仿宋_GB2312" w:eastAsia="仿宋_GB2312" w:cs="仿宋_GB2312"/>
                <w:sz w:val="18"/>
                <w:szCs w:val="18"/>
                <w:vertAlign w:val="baseline"/>
                <w:lang w:val="en-US" w:eastAsia="zh-CN"/>
              </w:rPr>
              <w:t>每季度检一次</w:t>
            </w:r>
          </w:p>
        </w:tc>
        <w:tc>
          <w:tcPr>
            <w:tcW w:w="484" w:type="dxa"/>
            <w:vAlign w:val="center"/>
          </w:tcPr>
          <w:p w14:paraId="595F289B">
            <w:pPr>
              <w:jc w:val="both"/>
              <w:rPr>
                <w:rFonts w:hint="eastAsia" w:ascii="黑体" w:hAnsi="黑体" w:eastAsia="黑体" w:cs="黑体"/>
                <w:sz w:val="18"/>
                <w:szCs w:val="18"/>
                <w:vertAlign w:val="baseline"/>
              </w:rPr>
            </w:pPr>
          </w:p>
        </w:tc>
      </w:tr>
      <w:tr w14:paraId="40DE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677" w:type="dxa"/>
            <w:vAlign w:val="center"/>
          </w:tcPr>
          <w:p w14:paraId="44D511B4">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7</w:t>
            </w:r>
          </w:p>
        </w:tc>
        <w:tc>
          <w:tcPr>
            <w:tcW w:w="1500" w:type="dxa"/>
            <w:vAlign w:val="center"/>
          </w:tcPr>
          <w:p w14:paraId="08925BB2">
            <w:pPr>
              <w:pStyle w:val="4"/>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对外劳务合作监督检查</w:t>
            </w:r>
          </w:p>
          <w:p w14:paraId="7B4C717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18"/>
                <w:szCs w:val="18"/>
                <w:vertAlign w:val="baseline"/>
                <w:lang w:val="en-US" w:eastAsia="zh-CN" w:bidi="ar-SA"/>
              </w:rPr>
            </w:pPr>
          </w:p>
        </w:tc>
        <w:tc>
          <w:tcPr>
            <w:tcW w:w="1222" w:type="dxa"/>
            <w:vAlign w:val="center"/>
          </w:tcPr>
          <w:p w14:paraId="675B04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县级以上</w:t>
            </w:r>
          </w:p>
        </w:tc>
        <w:tc>
          <w:tcPr>
            <w:tcW w:w="4081" w:type="dxa"/>
            <w:vAlign w:val="center"/>
          </w:tcPr>
          <w:p w14:paraId="5E6935EC">
            <w:pPr>
              <w:pStyle w:val="4"/>
              <w:keepNext w:val="0"/>
              <w:keepLines w:val="0"/>
              <w:widowControl/>
              <w:suppressLineNumbers w:val="0"/>
              <w:spacing w:before="0" w:beforeAutospacing="0" w:after="0" w:afterAutospacing="0" w:line="300" w:lineRule="atLeast"/>
              <w:ind w:left="0" w:right="0"/>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《对外劳务合作管理条例》（国务院令第620号）第4条 国务院商务主管部门负责全国的对外劳务合作监督管理工作。国务院外交、公安、人力资源社会保障、交通运输、住房城乡建设、渔业、工商行政管理等有关部门在各自职责范围内，负责对外劳务合作监督管理的相关工作。</w:t>
            </w:r>
          </w:p>
          <w:p w14:paraId="140C61EC">
            <w:pPr>
              <w:pStyle w:val="4"/>
              <w:keepNext w:val="0"/>
              <w:keepLines w:val="0"/>
              <w:widowControl/>
              <w:suppressLineNumbers w:val="0"/>
              <w:spacing w:before="0" w:beforeAutospacing="0" w:after="0" w:afterAutospacing="0" w:line="300" w:lineRule="atLeast"/>
              <w:ind w:left="0" w:right="0"/>
              <w:rPr>
                <w:rFonts w:hint="default"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14:paraId="477DCA2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18"/>
                <w:szCs w:val="18"/>
                <w:vertAlign w:val="baseline"/>
                <w:lang w:val="en-US" w:eastAsia="zh-CN" w:bidi="ar-SA"/>
              </w:rPr>
            </w:pPr>
          </w:p>
        </w:tc>
        <w:tc>
          <w:tcPr>
            <w:tcW w:w="1215" w:type="dxa"/>
            <w:vAlign w:val="center"/>
          </w:tcPr>
          <w:p w14:paraId="520E42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区</w:t>
            </w:r>
            <w:bookmarkStart w:id="0" w:name="_GoBack"/>
            <w:bookmarkEnd w:id="0"/>
            <w:r>
              <w:rPr>
                <w:rFonts w:hint="eastAsia" w:ascii="仿宋_GB2312" w:hAnsi="仿宋_GB2312" w:eastAsia="仿宋_GB2312" w:cs="仿宋_GB2312"/>
                <w:kern w:val="2"/>
                <w:sz w:val="18"/>
                <w:szCs w:val="18"/>
                <w:vertAlign w:val="baseline"/>
                <w:lang w:val="en-US" w:eastAsia="zh-CN" w:bidi="ar-SA"/>
              </w:rPr>
              <w:t>商务局外经外贸室</w:t>
            </w:r>
          </w:p>
        </w:tc>
        <w:tc>
          <w:tcPr>
            <w:tcW w:w="1200" w:type="dxa"/>
            <w:vAlign w:val="center"/>
          </w:tcPr>
          <w:p w14:paraId="112ED8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对外劳务场所</w:t>
            </w:r>
          </w:p>
        </w:tc>
        <w:tc>
          <w:tcPr>
            <w:tcW w:w="3969" w:type="dxa"/>
            <w:vAlign w:val="center"/>
          </w:tcPr>
          <w:p w14:paraId="7FB8F72E">
            <w:pPr>
              <w:pStyle w:val="4"/>
              <w:keepNext w:val="0"/>
              <w:keepLines w:val="0"/>
              <w:widowControl/>
              <w:suppressLineNumbers w:val="0"/>
              <w:spacing w:before="0" w:beforeAutospacing="0" w:after="0" w:afterAutospacing="0" w:line="300" w:lineRule="atLeast"/>
              <w:ind w:left="0" w:right="0"/>
              <w:rPr>
                <w:rFonts w:hint="default"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经营主体责任落实情况1.与国外雇主订立劳务合作合同、与劳务人员订立服务或劳动合同情况；2.是否存在允许其他单位或个人以本企业名义组织劳务人员赴国外工作情况；3.是否存在以商务、旅游、留学等名义组织劳务人员赴国外工作情况；4.是否存在组织劳务人员赴国外从事与赌博、色情活动相关的工作情况；5.是否按规定安排随行管理人员；6.组织劳务人员出境后，是否将有关情况向中国驻用工项目所在国使(领)馆报告；7.是否按规定通过对外投资合作在外人员信息系统办理有关合同及人员名单备案，并及时准确填报统计资料；8.根据管理需要确定的其他事项。防范化解境外风险，安全主体责任落实情况1.安排劳务人员接受安全防范知识、外语及相关法律，宗教信仰、风俗习惯等知识培训情况；2.是否按规定足额缴纳或及时补足备用金；3.是否为劳务人员购买相关保险；4.是否制定境外劳务纠纷和突发事件应急预案；5.处置境外劳务纠纷和突发事件情况。</w:t>
            </w:r>
          </w:p>
          <w:p w14:paraId="048A3E1C">
            <w:pPr>
              <w:jc w:val="left"/>
              <w:rPr>
                <w:rFonts w:hint="eastAsia" w:ascii="仿宋_GB2312" w:hAnsi="仿宋_GB2312" w:eastAsia="仿宋_GB2312" w:cs="仿宋_GB2312"/>
                <w:kern w:val="2"/>
                <w:sz w:val="18"/>
                <w:szCs w:val="18"/>
                <w:vertAlign w:val="baseline"/>
                <w:lang w:val="en-US" w:eastAsia="zh-CN" w:bidi="ar-SA"/>
              </w:rPr>
            </w:pPr>
          </w:p>
        </w:tc>
        <w:tc>
          <w:tcPr>
            <w:tcW w:w="620" w:type="dxa"/>
            <w:vAlign w:val="center"/>
          </w:tcPr>
          <w:p w14:paraId="79C09833">
            <w:pPr>
              <w:jc w:val="center"/>
              <w:rPr>
                <w:rFonts w:hint="eastAsia" w:ascii="黑体" w:hAnsi="黑体" w:eastAsia="黑体" w:cs="黑体"/>
                <w:sz w:val="18"/>
                <w:szCs w:val="18"/>
                <w:vertAlign w:val="baseline"/>
              </w:rPr>
            </w:pPr>
            <w:r>
              <w:rPr>
                <w:rFonts w:hint="eastAsia" w:ascii="仿宋_GB2312" w:hAnsi="仿宋_GB2312" w:eastAsia="仿宋_GB2312" w:cs="仿宋_GB2312"/>
                <w:sz w:val="18"/>
                <w:szCs w:val="18"/>
                <w:vertAlign w:val="baseline"/>
                <w:lang w:val="en-US" w:eastAsia="zh-CN"/>
              </w:rPr>
              <w:t>实地核查</w:t>
            </w:r>
          </w:p>
        </w:tc>
        <w:tc>
          <w:tcPr>
            <w:tcW w:w="643" w:type="dxa"/>
            <w:vAlign w:val="center"/>
          </w:tcPr>
          <w:p w14:paraId="08E4FD58">
            <w:pPr>
              <w:jc w:val="both"/>
              <w:rPr>
                <w:rFonts w:hint="eastAsia" w:ascii="黑体" w:hAnsi="黑体" w:eastAsia="黑体" w:cs="黑体"/>
                <w:sz w:val="18"/>
                <w:szCs w:val="18"/>
                <w:vertAlign w:val="baseline"/>
              </w:rPr>
            </w:pPr>
            <w:r>
              <w:rPr>
                <w:rFonts w:hint="eastAsia" w:ascii="仿宋_GB2312" w:hAnsi="仿宋_GB2312" w:eastAsia="仿宋_GB2312" w:cs="仿宋_GB2312"/>
                <w:sz w:val="18"/>
                <w:szCs w:val="18"/>
                <w:vertAlign w:val="baseline"/>
                <w:lang w:val="en-US" w:eastAsia="zh-CN"/>
              </w:rPr>
              <w:t>每季度检一次</w:t>
            </w:r>
          </w:p>
        </w:tc>
        <w:tc>
          <w:tcPr>
            <w:tcW w:w="484" w:type="dxa"/>
            <w:vAlign w:val="center"/>
          </w:tcPr>
          <w:p w14:paraId="2553C645">
            <w:pPr>
              <w:jc w:val="both"/>
              <w:rPr>
                <w:rFonts w:hint="eastAsia" w:ascii="黑体" w:hAnsi="黑体" w:eastAsia="黑体" w:cs="黑体"/>
                <w:sz w:val="18"/>
                <w:szCs w:val="18"/>
                <w:vertAlign w:val="baseline"/>
              </w:rPr>
            </w:pPr>
          </w:p>
        </w:tc>
      </w:tr>
    </w:tbl>
    <w:p w14:paraId="0595771F">
      <w:pPr>
        <w:jc w:val="both"/>
        <w:rPr>
          <w:rFonts w:hint="eastAsia" w:ascii="黑体" w:hAnsi="黑体" w:eastAsia="黑体" w:cs="黑体"/>
          <w:sz w:val="44"/>
          <w:szCs w:val="44"/>
        </w:rPr>
      </w:pPr>
    </w:p>
    <w:sectPr>
      <w:footerReference r:id="rId3" w:type="default"/>
      <w:pgSz w:w="16838" w:h="11906" w:orient="landscape"/>
      <w:pgMar w:top="960" w:right="1440" w:bottom="12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D9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E060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0E060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D4D34"/>
    <w:rsid w:val="0909677B"/>
    <w:rsid w:val="0F2008DC"/>
    <w:rsid w:val="120D335D"/>
    <w:rsid w:val="1A0C5B94"/>
    <w:rsid w:val="1ECB589F"/>
    <w:rsid w:val="1EE26A7B"/>
    <w:rsid w:val="27170B35"/>
    <w:rsid w:val="37653A9F"/>
    <w:rsid w:val="3BA33843"/>
    <w:rsid w:val="3E152263"/>
    <w:rsid w:val="3F170A05"/>
    <w:rsid w:val="40526FD9"/>
    <w:rsid w:val="451D3228"/>
    <w:rsid w:val="45224346"/>
    <w:rsid w:val="47223330"/>
    <w:rsid w:val="48527B30"/>
    <w:rsid w:val="4A6209BE"/>
    <w:rsid w:val="6A2B7E36"/>
    <w:rsid w:val="6B4A697B"/>
    <w:rsid w:val="6B637A3C"/>
    <w:rsid w:val="70AE3508"/>
    <w:rsid w:val="774664BA"/>
    <w:rsid w:val="7BC21475"/>
    <w:rsid w:val="7CB5181E"/>
    <w:rsid w:val="7CD75D91"/>
    <w:rsid w:val="7D71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single"/>
    </w:rPr>
  </w:style>
  <w:style w:type="character" w:styleId="14">
    <w:name w:val="HTML Code"/>
    <w:basedOn w:val="7"/>
    <w:qFormat/>
    <w:uiPriority w:val="0"/>
    <w:rPr>
      <w:rFonts w:ascii="Courier New" w:hAnsi="Courier New"/>
      <w:color w:val="FF6600"/>
      <w:sz w:val="20"/>
      <w:u w:val="none"/>
    </w:rPr>
  </w:style>
  <w:style w:type="character" w:styleId="15">
    <w:name w:val="HTML Cit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2806</Words>
  <Characters>2868</Characters>
  <Lines>0</Lines>
  <Paragraphs>0</Paragraphs>
  <TotalTime>66</TotalTime>
  <ScaleCrop>false</ScaleCrop>
  <LinksUpToDate>false</LinksUpToDate>
  <CharactersWithSpaces>2875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2025-02-19T08:26:00Z</dcterms:created>
  <dc:creator>Administrator</dc:creator>
  <cp:lastModifiedBy>夜空中最亮的星</cp:lastModifiedBy>
  <dcterms:modified xsi:type="dcterms:W3CDTF">2025-06-05T06:54:05Z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eyJoZGlkIjoiMWQ5ZDNjN2ExNmM2YzIxMGM1MjA2OTExYTY2MzQ1NWEiLCJ1c2VySWQiOiI0NTg1MDcxODEifQ==</vt:lpwstr>
  </property>
  <property fmtid="{D5CDD505-2E9C-101B-9397-08002B2CF9AE}" pid="4" name="ICV">
    <vt:lpwstr>0B3FF2505A19476BACAD56ACE13F5B60_13</vt:lpwstr>
  </property>
</Properties>
</file>