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B3B61E">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方正小标宋简体" w:hAnsi="方正小标宋简体" w:eastAsia="方正小标宋简体" w:cs="方正小标宋简体"/>
          <w:b w:val="0"/>
          <w:bCs w:val="0"/>
          <w:sz w:val="44"/>
          <w:szCs w:val="44"/>
        </w:rPr>
      </w:pPr>
      <w:bookmarkStart w:id="0" w:name="_GoBack"/>
      <w:r>
        <w:rPr>
          <w:rFonts w:hint="eastAsia" w:ascii="方正小标宋简体" w:hAnsi="方正小标宋简体" w:eastAsia="方正小标宋简体" w:cs="方正小标宋简体"/>
          <w:b w:val="0"/>
          <w:bCs w:val="0"/>
          <w:sz w:val="44"/>
          <w:szCs w:val="44"/>
          <w:lang w:val="en-US" w:eastAsia="zh-CN"/>
        </w:rPr>
        <w:t>零陵区</w:t>
      </w:r>
      <w:r>
        <w:rPr>
          <w:rFonts w:hint="eastAsia" w:ascii="方正小标宋简体" w:hAnsi="方正小标宋简体" w:eastAsia="方正小标宋简体" w:cs="方正小标宋简体"/>
          <w:b w:val="0"/>
          <w:bCs w:val="0"/>
          <w:sz w:val="44"/>
          <w:szCs w:val="44"/>
        </w:rPr>
        <w:t>城市管理行政处罚裁量权基准</w:t>
      </w:r>
    </w:p>
    <w:bookmarkEnd w:id="0"/>
    <w:p w14:paraId="0BBFE570">
      <w:pPr>
        <w:keepNext w:val="0"/>
        <w:keepLines w:val="0"/>
        <w:pageBreakBefore w:val="0"/>
        <w:widowControl w:val="0"/>
        <w:kinsoku/>
        <w:wordWrap/>
        <w:overflowPunct/>
        <w:topLinePunct w:val="0"/>
        <w:autoSpaceDE/>
        <w:autoSpaceDN/>
        <w:bidi w:val="0"/>
        <w:adjustRightInd/>
        <w:snapToGrid/>
        <w:spacing w:line="560" w:lineRule="exact"/>
        <w:ind w:left="0" w:firstLine="602" w:firstLineChars="200"/>
        <w:textAlignment w:val="auto"/>
        <w:rPr>
          <w:rFonts w:hint="eastAsia" w:ascii="黑体" w:hAnsi="黑体" w:eastAsia="黑体" w:cs="黑体"/>
          <w:b/>
          <w:bCs/>
          <w:sz w:val="30"/>
          <w:szCs w:val="30"/>
          <w:lang w:eastAsia="zh-CN"/>
        </w:rPr>
      </w:pPr>
    </w:p>
    <w:p w14:paraId="50ED3C8B">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《湖南省城市综合管理条例》行政处罚裁量</w:t>
      </w:r>
      <w:r>
        <w:rPr>
          <w:rFonts w:hint="eastAsia" w:ascii="黑体" w:hAnsi="黑体" w:eastAsia="黑体" w:cs="黑体"/>
          <w:b w:val="0"/>
          <w:bCs w:val="0"/>
          <w:sz w:val="32"/>
          <w:szCs w:val="32"/>
          <w:lang w:val="en-US" w:eastAsia="zh-CN"/>
        </w:rPr>
        <w:t>权</w:t>
      </w:r>
      <w:r>
        <w:rPr>
          <w:rFonts w:hint="eastAsia" w:ascii="黑体" w:hAnsi="黑体" w:eastAsia="黑体" w:cs="黑体"/>
          <w:b w:val="0"/>
          <w:bCs w:val="0"/>
          <w:sz w:val="32"/>
          <w:szCs w:val="32"/>
        </w:rPr>
        <w:t>基准</w:t>
      </w:r>
    </w:p>
    <w:p w14:paraId="152851E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（一）《湖南省城市综合管理条例》第十三条第三款的行政处罚裁量权基准</w:t>
      </w:r>
    </w:p>
    <w:p w14:paraId="403F49BE">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第十三条城市道路应当及时清扫，保持整洁畅通。</w:t>
      </w:r>
    </w:p>
    <w:p w14:paraId="07143BF1">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禁止违反规定在城市道路非机动车道、人行道上建设建（构）筑物、摆摊设点和从事其他占道行为。</w:t>
      </w:r>
    </w:p>
    <w:p w14:paraId="0A379A61">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临街门店经营者不得在店外堆物、经营和作业。 </w:t>
      </w:r>
    </w:p>
    <w:p w14:paraId="398F1704">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第五十三条违反本条例第十三条第三款规定在店外堆物、 经营、作业的，由城市管理部门责令限期改正；逾期不改正的，处一万元以下的罚款。</w:t>
      </w:r>
    </w:p>
    <w:p w14:paraId="2A058AFC">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违法行为情形和处罚基准： </w:t>
      </w:r>
    </w:p>
    <w:p w14:paraId="606694FF">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1.轻微违法行为的表现情形：未造成危害后果，在责令期限内改正的。</w:t>
      </w:r>
    </w:p>
    <w:p w14:paraId="08625FD8">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处罚基准：不予处罚。 </w:t>
      </w:r>
    </w:p>
    <w:p w14:paraId="58849810">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2.一般违法行为的表现情形：在责令期限肉拒不整改或整改后出现反复情況的。</w:t>
      </w:r>
    </w:p>
    <w:p w14:paraId="72974683">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处罚基准：责令限期改正，处以3000元以下罚款。</w:t>
      </w:r>
    </w:p>
    <w:p w14:paraId="3DB68C0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较重违法行为的表现情形：被依法查处两次或以上的。</w:t>
      </w:r>
    </w:p>
    <w:p w14:paraId="4DAD42D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处罚基准：责令限期整改，处以3000元到5000元以下罚款。</w:t>
      </w:r>
    </w:p>
    <w:p w14:paraId="774DD78D">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4.严重违法行为的表现情形：被依法查处两次以上且在日常管理中态度极其恶劣，拒不配合管理的。 </w:t>
      </w:r>
    </w:p>
    <w:p w14:paraId="71769D2F">
      <w:pPr>
        <w:keepNext w:val="0"/>
        <w:keepLines w:val="0"/>
        <w:pageBreakBefore w:val="0"/>
        <w:widowControl w:val="0"/>
        <w:kinsoku/>
        <w:wordWrap/>
        <w:overflowPunct/>
        <w:topLinePunct w:val="0"/>
        <w:autoSpaceDE/>
        <w:autoSpaceDN/>
        <w:bidi w:val="0"/>
        <w:adjustRightInd/>
        <w:snapToGrid/>
        <w:spacing w:line="560" w:lineRule="exact"/>
        <w:ind w:left="0" w:firstLine="600"/>
        <w:textAlignment w:val="auto"/>
        <w:rPr>
          <w:rFonts w:hint="eastAsia" w:ascii="仿宋" w:hAnsi="仿宋" w:eastAsia="仿宋" w:cs="仿宋"/>
          <w:sz w:val="32"/>
          <w:szCs w:val="32"/>
        </w:rPr>
      </w:pPr>
      <w:r>
        <w:rPr>
          <w:rFonts w:hint="eastAsia" w:ascii="仿宋" w:hAnsi="仿宋" w:eastAsia="仿宋" w:cs="仿宋"/>
          <w:sz w:val="32"/>
          <w:szCs w:val="32"/>
        </w:rPr>
        <w:t>处罚基准：责令限期整改，处以5000元到10000元以下罚款。</w:t>
      </w:r>
    </w:p>
    <w:p w14:paraId="20DB2331">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（二）《湖南省城市综合管理条例》第十六条第二款的行政处罚裁量</w:t>
      </w:r>
      <w:r>
        <w:rPr>
          <w:rFonts w:hint="eastAsia" w:ascii="楷体" w:hAnsi="楷体" w:eastAsia="楷体" w:cs="楷体"/>
          <w:b w:val="0"/>
          <w:bCs w:val="0"/>
          <w:sz w:val="32"/>
          <w:szCs w:val="32"/>
          <w:lang w:val="en-US" w:eastAsia="zh-CN"/>
        </w:rPr>
        <w:t>权</w:t>
      </w:r>
      <w:r>
        <w:rPr>
          <w:rFonts w:hint="eastAsia" w:ascii="楷体" w:hAnsi="楷体" w:eastAsia="楷体" w:cs="楷体"/>
          <w:b w:val="0"/>
          <w:bCs w:val="0"/>
          <w:sz w:val="32"/>
          <w:szCs w:val="32"/>
        </w:rPr>
        <w:t xml:space="preserve">基准 </w:t>
      </w:r>
    </w:p>
    <w:p w14:paraId="329C7268">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第十六条设区的市、县(市、区)人民政府应当建设完善的垃圾收集处理设施，统筹垃圾处理及循环利用。 </w:t>
      </w:r>
    </w:p>
    <w:p w14:paraId="01D54A5C">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公民和物业服务等单位应当按照垃圾分类标准和要求投放生活垃圾。餐饮经营单位和机关、企业事业单位的食堂（餐厅）应当将餐厨垃圾交给有资质的单位运输、处置。</w:t>
      </w:r>
    </w:p>
    <w:p w14:paraId="5233E210">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医疗卫生、电子、放射性等需要特殊处理的垃圾，按照有关法律法规规章的规定处理。 </w:t>
      </w:r>
    </w:p>
    <w:p w14:paraId="5A6509CB">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第五十三条违反本条例第十六条第二款规定未将餐厨垃圾交给有资质的单位运输、处置的，由城市管理部门责令限期改正；逾期不改正的，处一万元以下的罚款。</w:t>
      </w:r>
    </w:p>
    <w:p w14:paraId="0C811F76">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违法行为情形和处罚基准： </w:t>
      </w:r>
    </w:p>
    <w:p w14:paraId="1572A2E8">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1.轻微违法行为的表现情形：未造成危害后果，已在责令期限内改正的。</w:t>
      </w:r>
    </w:p>
    <w:p w14:paraId="2285746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处罚基准：不予处罚。</w:t>
      </w:r>
    </w:p>
    <w:p w14:paraId="41B9BDED">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2.一般违法行为的表现情形：逾期不改正。</w:t>
      </w:r>
    </w:p>
    <w:p w14:paraId="5F7C1832">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处罚基准：</w:t>
      </w:r>
      <w:r>
        <w:rPr>
          <w:rFonts w:hint="eastAsia" w:ascii="仿宋" w:hAnsi="仿宋" w:eastAsia="仿宋" w:cs="仿宋"/>
          <w:sz w:val="32"/>
          <w:szCs w:val="32"/>
          <w:lang w:val="en-US" w:eastAsia="zh-CN"/>
        </w:rPr>
        <w:t>责</w:t>
      </w:r>
      <w:r>
        <w:rPr>
          <w:rFonts w:hint="eastAsia" w:ascii="仿宋" w:hAnsi="仿宋" w:eastAsia="仿宋" w:cs="仿宋"/>
          <w:sz w:val="32"/>
          <w:szCs w:val="32"/>
        </w:rPr>
        <w:t>令限期改正，处以1000元以下罚款。</w:t>
      </w:r>
    </w:p>
    <w:p w14:paraId="68910E9F">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3.较重违法行为的表现情形：逾期不改正，且在运输和处置过程中对市容和卫生造成不良影响的。</w:t>
      </w:r>
    </w:p>
    <w:p w14:paraId="4BBF33F8">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处罚基准：责令限期改正，处以1000到5000元以下罚款。 </w:t>
      </w:r>
    </w:p>
    <w:p w14:paraId="053242B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4.严重违法行为的表现情形：被依法查处两次或以上，或涉及地沟油潲水油等食品安全等严重社会影响的。 </w:t>
      </w:r>
    </w:p>
    <w:p w14:paraId="1E531F3A">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处罚基准：责令限期攻正，处以5000元到10000元以下罚款。涉及刑事案件的，移交公安机关处理。</w:t>
      </w:r>
    </w:p>
    <w:p w14:paraId="4B34E285">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 xml:space="preserve">    （三）《湖南省城市综合管理条例》第十五条第二款的行政处罚裁量</w:t>
      </w:r>
      <w:r>
        <w:rPr>
          <w:rFonts w:hint="eastAsia" w:ascii="楷体" w:hAnsi="楷体" w:eastAsia="楷体" w:cs="楷体"/>
          <w:b w:val="0"/>
          <w:bCs w:val="0"/>
          <w:sz w:val="32"/>
          <w:szCs w:val="32"/>
          <w:lang w:val="en-US" w:eastAsia="zh-CN"/>
        </w:rPr>
        <w:t>权</w:t>
      </w:r>
      <w:r>
        <w:rPr>
          <w:rFonts w:hint="eastAsia" w:ascii="楷体" w:hAnsi="楷体" w:eastAsia="楷体" w:cs="楷体"/>
          <w:b w:val="0"/>
          <w:bCs w:val="0"/>
          <w:sz w:val="32"/>
          <w:szCs w:val="32"/>
        </w:rPr>
        <w:t xml:space="preserve">基准 </w:t>
      </w:r>
    </w:p>
    <w:p w14:paraId="0EBCFBCA">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第十五条在户外设置广告应当符合广告规划及城市容貌标准，管理责任人应当加强管理，定期维护和清理。</w:t>
      </w:r>
    </w:p>
    <w:p w14:paraId="2D33A7C1">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任何单位和个人不得在道路、广场等户外公共场所悬挂、张贴、涂写、刻画、散发广告品影响市容环境卫生。</w:t>
      </w:r>
    </w:p>
    <w:p w14:paraId="4E89BE39">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第五十四条有下列情形之一的，由城市管理部门责令改正；拒不改正的，处以罚款：   </w:t>
      </w:r>
    </w:p>
    <w:p w14:paraId="42291FC0">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（一）违反本条例第十五条第二款规定，在道路、广场等户 外公共场所悬挂、张贴、涂写、刻面、散发广告品影响市容环境卫生的，处一千元以下的罚款；</w:t>
      </w:r>
    </w:p>
    <w:p w14:paraId="02F04224">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违法行为情形和处罚基准：</w:t>
      </w:r>
    </w:p>
    <w:p w14:paraId="68F91FE3">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1</w:t>
      </w:r>
      <w:r>
        <w:rPr>
          <w:rFonts w:hint="eastAsia" w:ascii="仿宋" w:hAnsi="仿宋" w:eastAsia="仿宋" w:cs="仿宋"/>
          <w:sz w:val="32"/>
          <w:szCs w:val="32"/>
          <w:lang w:val="en-US" w:eastAsia="zh-CN"/>
        </w:rPr>
        <w:t>.</w:t>
      </w:r>
      <w:r>
        <w:rPr>
          <w:rFonts w:hint="eastAsia" w:ascii="仿宋" w:hAnsi="仿宋" w:eastAsia="仿宋" w:cs="仿宋"/>
          <w:sz w:val="32"/>
          <w:szCs w:val="32"/>
        </w:rPr>
        <w:t>轻微违法行为的表现情形：自行纠正并采取补救措施的。</w:t>
      </w:r>
    </w:p>
    <w:p w14:paraId="7782A85D">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处罚基准：不予处罚。</w:t>
      </w:r>
    </w:p>
    <w:p w14:paraId="5D42FC96">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2</w:t>
      </w:r>
      <w:r>
        <w:rPr>
          <w:rFonts w:hint="eastAsia" w:ascii="仿宋" w:hAnsi="仿宋" w:eastAsia="仿宋" w:cs="仿宋"/>
          <w:sz w:val="32"/>
          <w:szCs w:val="32"/>
          <w:lang w:val="en-US" w:eastAsia="zh-CN"/>
        </w:rPr>
        <w:t>.</w:t>
      </w:r>
      <w:r>
        <w:rPr>
          <w:rFonts w:hint="eastAsia" w:ascii="仿宋" w:hAnsi="仿宋" w:eastAsia="仿宋" w:cs="仿宋"/>
          <w:sz w:val="32"/>
          <w:szCs w:val="32"/>
        </w:rPr>
        <w:t>一般违法行为的表现情形：在责令期限内未整改或改正未达到要求的。</w:t>
      </w:r>
    </w:p>
    <w:p w14:paraId="555C11BD">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处罚基准：责令限期改正、采取补救措施，并按每处50元处以罚款，但罚款最高不超过500元。</w:t>
      </w:r>
    </w:p>
    <w:p w14:paraId="0E99A43C">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3</w:t>
      </w:r>
      <w:r>
        <w:rPr>
          <w:rFonts w:hint="eastAsia" w:ascii="仿宋" w:hAnsi="仿宋" w:eastAsia="仿宋" w:cs="仿宋"/>
          <w:sz w:val="32"/>
          <w:szCs w:val="32"/>
          <w:lang w:val="en-US" w:eastAsia="zh-CN"/>
        </w:rPr>
        <w:t>.</w:t>
      </w:r>
      <w:r>
        <w:rPr>
          <w:rFonts w:hint="eastAsia" w:ascii="仿宋" w:hAnsi="仿宋" w:eastAsia="仿宋" w:cs="仿宋"/>
          <w:sz w:val="32"/>
          <w:szCs w:val="32"/>
        </w:rPr>
        <w:t xml:space="preserve">严重违法行为的表现情形：被依法查处两次或以上的。 </w:t>
      </w:r>
    </w:p>
    <w:p w14:paraId="166989CE">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处罚基准：责令限期改正、采取补教措施，并处以500元以上1000元以下罚款。</w:t>
      </w:r>
    </w:p>
    <w:p w14:paraId="08C9AEE4">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楷体" w:hAnsi="楷体" w:eastAsia="楷体" w:cs="楷体"/>
          <w:sz w:val="32"/>
          <w:szCs w:val="32"/>
        </w:rPr>
        <w:t xml:space="preserve">   </w:t>
      </w:r>
      <w:r>
        <w:rPr>
          <w:rFonts w:hint="eastAsia" w:ascii="楷体" w:hAnsi="楷体" w:eastAsia="楷体" w:cs="楷体"/>
          <w:b w:val="0"/>
          <w:bCs w:val="0"/>
          <w:sz w:val="32"/>
          <w:szCs w:val="32"/>
        </w:rPr>
        <w:t xml:space="preserve">（四）《湖南省城市综合管理条例》第三十二条的行政处罚裁量权基准 </w:t>
      </w:r>
    </w:p>
    <w:p w14:paraId="0726611C">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第三十二条在户外使用音响器材，使用时段、区域和产生的音量应当符合法律法规规章的规定，不得造成噪声污染。</w:t>
      </w:r>
    </w:p>
    <w:p w14:paraId="6AA49401">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第五十四条有下列情形之一的，由城市管理部门责令改正；拒不改正的，处以罚款： </w:t>
      </w:r>
    </w:p>
    <w:p w14:paraId="317B546A">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违反本条例第三十二条规定，在户外使用音响器材造成噪声污染的，处五百元以下的罚款；</w:t>
      </w:r>
    </w:p>
    <w:p w14:paraId="6F9891C9">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违法行为情形和处罚基准：</w:t>
      </w:r>
    </w:p>
    <w:p w14:paraId="032E9A1B">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1.轻微违法行为的表现情形：立即整改并采取补救措施的。</w:t>
      </w:r>
    </w:p>
    <w:p w14:paraId="5707E0A1">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处罚基准：不予</w:t>
      </w:r>
      <w:r>
        <w:rPr>
          <w:rFonts w:hint="eastAsia" w:ascii="仿宋" w:hAnsi="仿宋" w:eastAsia="仿宋" w:cs="仿宋"/>
          <w:sz w:val="32"/>
          <w:szCs w:val="32"/>
          <w:lang w:val="en-US" w:eastAsia="zh-CN"/>
        </w:rPr>
        <w:t>处罚</w:t>
      </w:r>
      <w:r>
        <w:rPr>
          <w:rFonts w:hint="eastAsia" w:ascii="仿宋" w:hAnsi="仿宋" w:eastAsia="仿宋" w:cs="仿宋"/>
          <w:sz w:val="32"/>
          <w:szCs w:val="32"/>
        </w:rPr>
        <w:t>。</w:t>
      </w:r>
    </w:p>
    <w:p w14:paraId="7570695D">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2</w:t>
      </w:r>
      <w:r>
        <w:rPr>
          <w:rFonts w:hint="eastAsia" w:ascii="仿宋" w:hAnsi="仿宋" w:eastAsia="仿宋" w:cs="仿宋"/>
          <w:sz w:val="32"/>
          <w:szCs w:val="32"/>
          <w:lang w:val="en-US" w:eastAsia="zh-CN"/>
        </w:rPr>
        <w:t>.</w:t>
      </w:r>
      <w:r>
        <w:rPr>
          <w:rFonts w:hint="eastAsia" w:ascii="仿宋" w:hAnsi="仿宋" w:eastAsia="仿宋" w:cs="仿宋"/>
          <w:sz w:val="32"/>
          <w:szCs w:val="32"/>
        </w:rPr>
        <w:t xml:space="preserve">一般违法行为的表现情形：在责令期限内未整改或改正未达到要求的。 </w:t>
      </w:r>
    </w:p>
    <w:p w14:paraId="4C93EB10">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处罚基准：责令限期改正、采取补救措施，并处以300元以下罚款。</w:t>
      </w:r>
    </w:p>
    <w:p w14:paraId="6161167E">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3</w:t>
      </w:r>
      <w:r>
        <w:rPr>
          <w:rFonts w:hint="eastAsia" w:ascii="仿宋" w:hAnsi="仿宋" w:eastAsia="仿宋" w:cs="仿宋"/>
          <w:sz w:val="32"/>
          <w:szCs w:val="32"/>
          <w:lang w:val="en-US" w:eastAsia="zh-CN"/>
        </w:rPr>
        <w:t>.</w:t>
      </w:r>
      <w:r>
        <w:rPr>
          <w:rFonts w:hint="eastAsia" w:ascii="仿宋" w:hAnsi="仿宋" w:eastAsia="仿宋" w:cs="仿宋"/>
          <w:sz w:val="32"/>
          <w:szCs w:val="32"/>
        </w:rPr>
        <w:t>严重违法行为的表现情形：被依法查处两次或以上的。</w:t>
      </w:r>
    </w:p>
    <w:p w14:paraId="0F1B2AC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处罚基准：责令限期改正、并处以300元到500元以下罚款。</w:t>
      </w:r>
    </w:p>
    <w:p w14:paraId="2D5A9E58">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（五）《湖南省城市综合管理条例》第三十九条的行政处罚</w:t>
      </w:r>
    </w:p>
    <w:p w14:paraId="1F7EA749">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裁量</w:t>
      </w:r>
      <w:r>
        <w:rPr>
          <w:rFonts w:hint="eastAsia" w:ascii="楷体" w:hAnsi="楷体" w:eastAsia="楷体" w:cs="楷体"/>
          <w:b w:val="0"/>
          <w:bCs w:val="0"/>
          <w:sz w:val="32"/>
          <w:szCs w:val="32"/>
          <w:lang w:val="en-US" w:eastAsia="zh-CN"/>
        </w:rPr>
        <w:t>权</w:t>
      </w:r>
      <w:r>
        <w:rPr>
          <w:rFonts w:hint="eastAsia" w:ascii="楷体" w:hAnsi="楷体" w:eastAsia="楷体" w:cs="楷体"/>
          <w:b w:val="0"/>
          <w:bCs w:val="0"/>
          <w:sz w:val="32"/>
          <w:szCs w:val="32"/>
        </w:rPr>
        <w:t xml:space="preserve">基准 </w:t>
      </w:r>
    </w:p>
    <w:p w14:paraId="322D8560">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第三十九条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设区的市、县(市、区)人民政府应当根据便民 原则合理设置自由市场、服务网点等经营场所，并规定流动商贩</w:t>
      </w:r>
    </w:p>
    <w:p w14:paraId="14FB5B0B">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经营区域和经营时段。流动商贩应当在规定的区域和时段经营。</w:t>
      </w:r>
    </w:p>
    <w:p w14:paraId="2A08A1A9">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w:t>
      </w:r>
      <w:r>
        <w:rPr>
          <w:rFonts w:hint="eastAsia" w:ascii="仿宋" w:hAnsi="仿宋" w:eastAsia="仿宋" w:cs="仿宋"/>
          <w:sz w:val="32"/>
          <w:szCs w:val="32"/>
          <w:lang w:val="en-US" w:eastAsia="zh-CN"/>
        </w:rPr>
        <w:t>四</w:t>
      </w:r>
      <w:r>
        <w:rPr>
          <w:rFonts w:hint="eastAsia" w:ascii="仿宋" w:hAnsi="仿宋" w:eastAsia="仿宋" w:cs="仿宋"/>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有下列情形之一的，由</w:t>
      </w:r>
      <w:r>
        <w:rPr>
          <w:rFonts w:hint="eastAsia" w:ascii="仿宋" w:hAnsi="仿宋" w:eastAsia="仿宋" w:cs="仿宋"/>
          <w:sz w:val="32"/>
          <w:szCs w:val="32"/>
          <w:lang w:val="en-US" w:eastAsia="zh-CN"/>
        </w:rPr>
        <w:t>城市</w:t>
      </w:r>
      <w:r>
        <w:rPr>
          <w:rFonts w:hint="eastAsia" w:ascii="仿宋" w:hAnsi="仿宋" w:eastAsia="仿宋" w:cs="仿宋"/>
          <w:sz w:val="32"/>
          <w:szCs w:val="32"/>
        </w:rPr>
        <w:t>管理部门责令</w:t>
      </w:r>
      <w:r>
        <w:rPr>
          <w:rFonts w:hint="eastAsia" w:ascii="仿宋" w:hAnsi="仿宋" w:eastAsia="仿宋" w:cs="仿宋"/>
          <w:sz w:val="32"/>
          <w:szCs w:val="32"/>
          <w:lang w:val="en-US" w:eastAsia="zh-CN"/>
        </w:rPr>
        <w:t>改正</w:t>
      </w:r>
      <w:r>
        <w:rPr>
          <w:rFonts w:hint="eastAsia" w:ascii="仿宋" w:hAnsi="仿宋" w:eastAsia="仿宋" w:cs="仿宋"/>
          <w:sz w:val="32"/>
          <w:szCs w:val="32"/>
        </w:rPr>
        <w:t>；</w:t>
      </w:r>
    </w:p>
    <w:p w14:paraId="57013926">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拒不</w:t>
      </w:r>
      <w:r>
        <w:rPr>
          <w:rFonts w:hint="eastAsia" w:ascii="仿宋" w:hAnsi="仿宋" w:eastAsia="仿宋" w:cs="仿宋"/>
          <w:sz w:val="32"/>
          <w:szCs w:val="32"/>
          <w:lang w:val="en-US" w:eastAsia="zh-CN"/>
        </w:rPr>
        <w:t>改正</w:t>
      </w:r>
      <w:r>
        <w:rPr>
          <w:rFonts w:hint="eastAsia" w:ascii="仿宋" w:hAnsi="仿宋" w:eastAsia="仿宋" w:cs="仿宋"/>
          <w:sz w:val="32"/>
          <w:szCs w:val="32"/>
        </w:rPr>
        <w:t>的，处以罚款：</w:t>
      </w:r>
    </w:p>
    <w:p w14:paraId="5C69481A">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违反本条例第三十九条规定，流动商贩不在规定区域和时段</w:t>
      </w:r>
    </w:p>
    <w:p w14:paraId="4E36C3D6">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经营的，处五百元以下的罚款。</w:t>
      </w:r>
    </w:p>
    <w:p w14:paraId="05E597AB">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违法行为情形和处罚基准：</w:t>
      </w:r>
    </w:p>
    <w:p w14:paraId="6DB725C1">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轻微违法行为的表现情形：立即改正。</w:t>
      </w:r>
    </w:p>
    <w:p w14:paraId="26FCAA9A">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处罚基准：不子罚款。</w:t>
      </w:r>
    </w:p>
    <w:p w14:paraId="40FCE6E3">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一般违法行为的表现情形：再次督促后改正。</w:t>
      </w:r>
    </w:p>
    <w:p w14:paraId="4581EBF7">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处罚基准：责令限期改正，处以200元以下罚款。</w:t>
      </w:r>
    </w:p>
    <w:p w14:paraId="7602DCC9">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严重违法行为的表现情形：拒不改正，被依法查处两次</w:t>
      </w:r>
    </w:p>
    <w:p w14:paraId="1FD28181">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或以上。</w:t>
      </w:r>
    </w:p>
    <w:p w14:paraId="34FFF4BC">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处罚基准：责令限期改正，处以200元到500元以下罚款。</w:t>
      </w:r>
    </w:p>
    <w:p w14:paraId="686A246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（六）《湖南省城市综合管理条例》第十七条第一款的行政</w:t>
      </w:r>
    </w:p>
    <w:p w14:paraId="25EAE9F1">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楷体" w:hAnsi="楷体" w:eastAsia="楷体" w:cs="楷体"/>
          <w:b w:val="0"/>
          <w:bCs w:val="0"/>
          <w:sz w:val="32"/>
          <w:szCs w:val="32"/>
        </w:rPr>
        <w:t>处罚裁量权基准</w:t>
      </w:r>
    </w:p>
    <w:p w14:paraId="1787F568">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处罚依据： </w:t>
      </w:r>
    </w:p>
    <w:p w14:paraId="0BE8A427">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第十七条建设施工场地应当严格遵守相关作业规定，并符合下列要求：</w:t>
      </w:r>
    </w:p>
    <w:p w14:paraId="35A32420">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（一）实行围挡作业，按照相关规范设置围挡、防护设施、夜间照明装</w:t>
      </w:r>
      <w:r>
        <w:rPr>
          <w:rFonts w:hint="eastAsia" w:ascii="仿宋" w:hAnsi="仿宋" w:eastAsia="仿宋" w:cs="仿宋"/>
          <w:sz w:val="32"/>
          <w:szCs w:val="32"/>
          <w:lang w:eastAsia="zh-CN"/>
        </w:rPr>
        <w:t>置</w:t>
      </w:r>
      <w:r>
        <w:rPr>
          <w:rFonts w:hint="eastAsia" w:ascii="仿宋" w:hAnsi="仿宋" w:eastAsia="仿宋" w:cs="仿宋"/>
          <w:sz w:val="32"/>
          <w:szCs w:val="32"/>
        </w:rPr>
        <w:t>；</w:t>
      </w:r>
    </w:p>
    <w:p w14:paraId="47858611">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eastAsia="zh-CN"/>
        </w:rPr>
        <w:t>）</w:t>
      </w:r>
      <w:r>
        <w:rPr>
          <w:rFonts w:hint="eastAsia" w:ascii="仿宋" w:hAnsi="仿宋" w:eastAsia="仿宋" w:cs="仿宋"/>
          <w:sz w:val="32"/>
          <w:szCs w:val="32"/>
        </w:rPr>
        <w:t>对施工场地进出路口和出场车辆进行冲洗;</w:t>
      </w:r>
    </w:p>
    <w:p w14:paraId="7C8DD998">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w:t>
      </w:r>
      <w:r>
        <w:rPr>
          <w:rFonts w:hint="eastAsia" w:ascii="仿宋" w:hAnsi="仿宋" w:eastAsia="仿宋" w:cs="仿宋"/>
          <w:sz w:val="32"/>
          <w:szCs w:val="32"/>
          <w:lang w:eastAsia="zh-CN"/>
        </w:rPr>
        <w:t>）</w:t>
      </w:r>
      <w:r>
        <w:rPr>
          <w:rFonts w:hint="eastAsia" w:ascii="仿宋" w:hAnsi="仿宋" w:eastAsia="仿宋" w:cs="仿宋"/>
          <w:sz w:val="32"/>
          <w:szCs w:val="32"/>
        </w:rPr>
        <w:t>将泥浆和渣土等废弃物运到指定地点处置；</w:t>
      </w:r>
    </w:p>
    <w:p w14:paraId="48DA4971">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w:t>
      </w:r>
      <w:r>
        <w:rPr>
          <w:rFonts w:hint="eastAsia" w:ascii="仿宋" w:hAnsi="仿宋" w:eastAsia="仿宋" w:cs="仿宋"/>
          <w:sz w:val="32"/>
          <w:szCs w:val="32"/>
        </w:rPr>
        <w:t>采取措施</w:t>
      </w:r>
      <w:r>
        <w:rPr>
          <w:rFonts w:hint="eastAsia" w:ascii="仿宋" w:hAnsi="仿宋" w:eastAsia="仿宋" w:cs="仿宋"/>
          <w:sz w:val="32"/>
          <w:szCs w:val="32"/>
          <w:lang w:eastAsia="zh-CN"/>
        </w:rPr>
        <w:t>减</w:t>
      </w:r>
      <w:r>
        <w:rPr>
          <w:rFonts w:hint="eastAsia" w:ascii="仿宋" w:hAnsi="仿宋" w:eastAsia="仿宋" w:cs="仿宋"/>
          <w:sz w:val="32"/>
          <w:szCs w:val="32"/>
        </w:rPr>
        <w:t>少噪声、扬尘污染。</w:t>
      </w:r>
    </w:p>
    <w:p w14:paraId="26F35E8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城市管理部门应当对建筑垃圾和渣土的运输进行监管。 </w:t>
      </w:r>
    </w:p>
    <w:p w14:paraId="0859AB32">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第五十五条</w:t>
      </w:r>
      <w:r>
        <w:rPr>
          <w:rFonts w:hint="eastAsia" w:ascii="仿宋" w:hAnsi="仿宋" w:eastAsia="仿宋" w:cs="仿宋"/>
          <w:sz w:val="32"/>
          <w:szCs w:val="32"/>
          <w:lang w:val="en-US" w:eastAsia="zh-CN"/>
        </w:rPr>
        <w:t xml:space="preserve"> 违反本</w:t>
      </w:r>
      <w:r>
        <w:rPr>
          <w:rFonts w:hint="eastAsia" w:ascii="仿宋" w:hAnsi="仿宋" w:eastAsia="仿宋" w:cs="仿宋"/>
          <w:sz w:val="32"/>
          <w:szCs w:val="32"/>
        </w:rPr>
        <w:t>条例第十七</w:t>
      </w:r>
      <w:r>
        <w:rPr>
          <w:rFonts w:hint="eastAsia" w:ascii="仿宋" w:hAnsi="仿宋" w:eastAsia="仿宋" w:cs="仿宋"/>
          <w:sz w:val="32"/>
          <w:szCs w:val="32"/>
          <w:lang w:val="en-US" w:eastAsia="zh-CN"/>
        </w:rPr>
        <w:t>条</w:t>
      </w:r>
      <w:r>
        <w:rPr>
          <w:rFonts w:hint="eastAsia" w:ascii="仿宋" w:hAnsi="仿宋" w:eastAsia="仿宋" w:cs="仿宋"/>
          <w:sz w:val="32"/>
          <w:szCs w:val="32"/>
        </w:rPr>
        <w:t>第</w:t>
      </w:r>
      <w:r>
        <w:rPr>
          <w:rFonts w:hint="eastAsia" w:ascii="仿宋" w:hAnsi="仿宋" w:eastAsia="仿宋" w:cs="仿宋"/>
          <w:sz w:val="32"/>
          <w:szCs w:val="32"/>
          <w:lang w:val="en-US" w:eastAsia="zh-CN"/>
        </w:rPr>
        <w:t>一</w:t>
      </w:r>
      <w:r>
        <w:rPr>
          <w:rFonts w:hint="eastAsia" w:ascii="仿宋" w:hAnsi="仿宋" w:eastAsia="仿宋" w:cs="仿宋"/>
          <w:sz w:val="32"/>
          <w:szCs w:val="32"/>
        </w:rPr>
        <w:t>款</w:t>
      </w:r>
      <w:r>
        <w:rPr>
          <w:rFonts w:hint="eastAsia" w:ascii="仿宋" w:hAnsi="仿宋" w:eastAsia="仿宋" w:cs="仿宋"/>
          <w:sz w:val="32"/>
          <w:szCs w:val="32"/>
          <w:lang w:val="en-US" w:eastAsia="zh-CN"/>
        </w:rPr>
        <w:t>规定</w:t>
      </w:r>
      <w:r>
        <w:rPr>
          <w:rFonts w:hint="eastAsia" w:ascii="仿宋" w:hAnsi="仿宋" w:eastAsia="仿宋" w:cs="仿宋"/>
          <w:sz w:val="32"/>
          <w:szCs w:val="32"/>
        </w:rPr>
        <w:t>，</w:t>
      </w:r>
      <w:r>
        <w:rPr>
          <w:rFonts w:hint="eastAsia" w:ascii="仿宋" w:hAnsi="仿宋" w:eastAsia="仿宋" w:cs="仿宋"/>
          <w:sz w:val="32"/>
          <w:szCs w:val="32"/>
          <w:lang w:val="en-US" w:eastAsia="zh-CN"/>
        </w:rPr>
        <w:t>未</w:t>
      </w:r>
      <w:r>
        <w:rPr>
          <w:rFonts w:hint="eastAsia" w:ascii="仿宋" w:hAnsi="仿宋" w:eastAsia="仿宋" w:cs="仿宋"/>
          <w:sz w:val="32"/>
          <w:szCs w:val="32"/>
        </w:rPr>
        <w:t>设置</w:t>
      </w:r>
      <w:r>
        <w:rPr>
          <w:rFonts w:hint="eastAsia" w:ascii="仿宋" w:hAnsi="仿宋" w:eastAsia="仿宋" w:cs="仿宋"/>
          <w:sz w:val="32"/>
          <w:szCs w:val="32"/>
          <w:lang w:val="en-US" w:eastAsia="zh-CN"/>
        </w:rPr>
        <w:t>围挡</w:t>
      </w:r>
      <w:r>
        <w:rPr>
          <w:rFonts w:hint="eastAsia" w:ascii="仿宋" w:hAnsi="仿宋" w:eastAsia="仿宋" w:cs="仿宋"/>
          <w:sz w:val="32"/>
          <w:szCs w:val="32"/>
        </w:rPr>
        <w:t>作业、未对施工场地进出路口和出场车辆冲洗、未将泥浆和渣士 等废弃物运到指定地点处置的，由城市管理部门责令改正，处三万元以下的罚款。</w:t>
      </w:r>
    </w:p>
    <w:p w14:paraId="7AD79D85">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违法行为情形和处罚基准：</w:t>
      </w:r>
    </w:p>
    <w:p w14:paraId="340076F8">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（一）未设置</w:t>
      </w:r>
      <w:r>
        <w:rPr>
          <w:rFonts w:hint="eastAsia" w:ascii="仿宋" w:hAnsi="仿宋" w:eastAsia="仿宋" w:cs="仿宋"/>
          <w:sz w:val="32"/>
          <w:szCs w:val="32"/>
          <w:lang w:val="en-US" w:eastAsia="zh-CN"/>
        </w:rPr>
        <w:t>围挡</w:t>
      </w:r>
      <w:r>
        <w:rPr>
          <w:rFonts w:hint="eastAsia" w:ascii="仿宋" w:hAnsi="仿宋" w:eastAsia="仿宋" w:cs="仿宋"/>
          <w:sz w:val="32"/>
          <w:szCs w:val="32"/>
        </w:rPr>
        <w:t>作业</w:t>
      </w:r>
    </w:p>
    <w:p w14:paraId="510063FC">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1.一般违法行为的表现情形：责令期改正，一年发生一次的。</w:t>
      </w:r>
    </w:p>
    <w:p w14:paraId="58A63A5D">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处罚基准：处10000元以下罚款。 </w:t>
      </w:r>
    </w:p>
    <w:p w14:paraId="25A4D387">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2.较重违法行为的表现情形：责令期未改正或一年发生两次的。</w:t>
      </w:r>
    </w:p>
    <w:p w14:paraId="1CB504EE">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处罚基准：责令改正，处10000元到20000元以下罚款。</w:t>
      </w:r>
    </w:p>
    <w:p w14:paraId="20AC1C30">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3.严重违法行为的表现情形：一年发生三次及三次以上的。</w:t>
      </w:r>
    </w:p>
    <w:p w14:paraId="104AA09E">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处罚基准：责令改正，处20000元到30000元以下罚款。</w:t>
      </w:r>
    </w:p>
    <w:p w14:paraId="04CDF86C">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（二）未对施工场地进出路口和出场车辆进行冲洗</w:t>
      </w:r>
    </w:p>
    <w:p w14:paraId="3C16276A">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1.一般违法行为的表现情形：责令期改正，一年发生一次的。</w:t>
      </w:r>
    </w:p>
    <w:p w14:paraId="53A96860">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处罚基准：责令改正，处10000元以下罚款。</w:t>
      </w:r>
    </w:p>
    <w:p w14:paraId="71F2A007">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2.较重违法行为的表现情形：责令期未改正或一年发生两次的</w:t>
      </w:r>
    </w:p>
    <w:p w14:paraId="2581EC13">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处罚基准：责令改正，处10000元到20000元以下罚款。</w:t>
      </w:r>
    </w:p>
    <w:p w14:paraId="716587AF">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3.严重违法行为的表现情形：一年发生三次及三次以上的。</w:t>
      </w:r>
    </w:p>
    <w:p w14:paraId="7AC388C8">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处罚基准：限期改正，处20000元到30000元以下罚款。</w:t>
      </w:r>
    </w:p>
    <w:p w14:paraId="41142575">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（三）未将泥浆和渣土等废弃物运到指定地,点处置</w:t>
      </w:r>
    </w:p>
    <w:p w14:paraId="400C0A70">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一般违法行为的表现情形：责令期改正，一年发生一次的。</w:t>
      </w:r>
    </w:p>
    <w:p w14:paraId="016D6BC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处罚基准：处10000元以下罚款。</w:t>
      </w:r>
    </w:p>
    <w:p w14:paraId="360B88A2">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2.较重违法行为的表现情形：责令期未改正或一年发生两次的。</w:t>
      </w:r>
    </w:p>
    <w:p w14:paraId="5CD4E665">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处罚基准：责令改正，处10000元到20000元以下罚款。</w:t>
      </w:r>
    </w:p>
    <w:p w14:paraId="386AE89C">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3.严重违法行为的表现情形：一年发生三次及三次以上的。</w:t>
      </w:r>
    </w:p>
    <w:p w14:paraId="5D9A65FC">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处罚基淮：贵令改正，处20000元到30000元以下罚款。</w:t>
      </w:r>
    </w:p>
    <w:p w14:paraId="4F302875">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 xml:space="preserve">    （七）《湖南省城市综合管理条例》第十九条的行政处罚裁量权基准 </w:t>
      </w:r>
    </w:p>
    <w:p w14:paraId="43661DB6">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第十九条任何单位和个人不得擅自占用城市公共绿地，不得损毀城市花草树木和绿化设施。        </w:t>
      </w:r>
    </w:p>
    <w:p w14:paraId="29028430">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第五十六条违反本条例第十九条规定损毁城市花草树木、 绿化设施的，由城市管理部门责令停止侵害，赔偿损失，可以处损毁价值二倍以下的罚款。</w:t>
      </w:r>
    </w:p>
    <w:p w14:paraId="05893AE4">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违法行为情形和处罚基准：</w:t>
      </w:r>
    </w:p>
    <w:p w14:paraId="4CE8ECFE">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1.轻微违法行为：未造成危害后果，及时改正的。</w:t>
      </w:r>
    </w:p>
    <w:p w14:paraId="05841831">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处罚基淮：不予处罚。</w:t>
      </w:r>
    </w:p>
    <w:p w14:paraId="25EF1BD5">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2.一般违法行为的表现情形：损毁城市花草树木、绿化设施的。 </w:t>
      </w:r>
    </w:p>
    <w:p w14:paraId="52A9BB13">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处罚基准：责令停止侵害，造成损失的，依法承担赔偿责任，并处以设施价值1-1.5倍的罚款。 </w:t>
      </w:r>
    </w:p>
    <w:p w14:paraId="58C56ED8">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3.严重违法行为的表现情形：被依法查处两次或以上的</w:t>
      </w:r>
    </w:p>
    <w:p w14:paraId="3E29E734">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处罚基准：责令停止侵害，造成损失的，依法承担赔偿责任，并处以设施价值1.5-2倍的罚款。</w:t>
      </w:r>
    </w:p>
    <w:p w14:paraId="4382199B">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八</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 xml:space="preserve">《湖南省城市综合管理条例》第二十二条的行政处罚裁量权基准 </w:t>
      </w:r>
    </w:p>
    <w:p w14:paraId="5A76F651">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第二十二条设区的市、县(市、区)人民政府应当加强城市道路管理。严禁擅自占用或者挖掘城市道路。</w:t>
      </w:r>
    </w:p>
    <w:p w14:paraId="47C93E4E">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第五十七条有下列情形之一的，由城市管理部门责令改正；拒不改正的，由城市管理部门采取措施恢复原状，费用由违法者承担，可以处二万元以下的罚款：</w:t>
      </w:r>
    </w:p>
    <w:p w14:paraId="1F863506">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违反本条例第二十二条规定擅自占用或者挖掘城市道路的；</w:t>
      </w:r>
    </w:p>
    <w:p w14:paraId="779E2154">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违法行为情形和处罚基准：</w:t>
      </w:r>
    </w:p>
    <w:p w14:paraId="6857D0A4">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1.轻微违法行为的表现情形：占用或挖掘面积在五平方米以内，在期限内改正并自行采取措施恢复原状的。</w:t>
      </w:r>
    </w:p>
    <w:p w14:paraId="228B2873">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处罚基准：子以警告，不予处罚。 </w:t>
      </w:r>
    </w:p>
    <w:p w14:paraId="034EF351">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2</w:t>
      </w:r>
      <w:r>
        <w:rPr>
          <w:rFonts w:hint="eastAsia" w:ascii="仿宋" w:hAnsi="仿宋" w:eastAsia="仿宋" w:cs="仿宋"/>
          <w:sz w:val="32"/>
          <w:szCs w:val="32"/>
          <w:lang w:val="en-US" w:eastAsia="zh-CN"/>
        </w:rPr>
        <w:t>.</w:t>
      </w:r>
      <w:r>
        <w:rPr>
          <w:rFonts w:hint="eastAsia" w:ascii="仿宋" w:hAnsi="仿宋" w:eastAsia="仿宋" w:cs="仿宋"/>
          <w:sz w:val="32"/>
          <w:szCs w:val="32"/>
        </w:rPr>
        <w:t xml:space="preserve">一般违法行为的表现情形：占用或挖掘面积在5平方米以内，在整改期限内未整改，未予恢复原状的。 </w:t>
      </w:r>
    </w:p>
    <w:p w14:paraId="21974504">
      <w:pPr>
        <w:keepNext w:val="0"/>
        <w:keepLines w:val="0"/>
        <w:pageBreakBefore w:val="0"/>
        <w:widowControl w:val="0"/>
        <w:kinsoku/>
        <w:wordWrap/>
        <w:overflowPunct/>
        <w:topLinePunct w:val="0"/>
        <w:autoSpaceDE/>
        <w:autoSpaceDN/>
        <w:bidi w:val="0"/>
        <w:adjustRightInd/>
        <w:snapToGrid/>
        <w:spacing w:line="560" w:lineRule="exact"/>
        <w:ind w:left="0" w:firstLine="600"/>
        <w:textAlignment w:val="auto"/>
        <w:rPr>
          <w:rFonts w:hint="eastAsia" w:ascii="仿宋" w:hAnsi="仿宋" w:eastAsia="仿宋" w:cs="仿宋"/>
          <w:sz w:val="32"/>
          <w:szCs w:val="32"/>
        </w:rPr>
      </w:pPr>
      <w:r>
        <w:rPr>
          <w:rFonts w:hint="eastAsia" w:ascii="仿宋" w:hAnsi="仿宋" w:eastAsia="仿宋" w:cs="仿宋"/>
          <w:sz w:val="32"/>
          <w:szCs w:val="32"/>
        </w:rPr>
        <w:t>处罚基准：责令其恢复原状或</w:t>
      </w:r>
      <w:r>
        <w:rPr>
          <w:rFonts w:hint="eastAsia" w:ascii="仿宋" w:hAnsi="仿宋" w:eastAsia="仿宋" w:cs="仿宋"/>
          <w:sz w:val="32"/>
          <w:szCs w:val="32"/>
          <w:lang w:val="en-US" w:eastAsia="zh-CN"/>
        </w:rPr>
        <w:t>支</w:t>
      </w:r>
      <w:r>
        <w:rPr>
          <w:rFonts w:hint="eastAsia" w:ascii="仿宋" w:hAnsi="仿宋" w:eastAsia="仿宋" w:cs="仿宋"/>
          <w:sz w:val="32"/>
          <w:szCs w:val="32"/>
        </w:rPr>
        <w:t>付恢复费用，并处以10000元以下的罚款。</w:t>
      </w:r>
    </w:p>
    <w:p w14:paraId="164AAF2D">
      <w:pPr>
        <w:keepNext w:val="0"/>
        <w:keepLines w:val="0"/>
        <w:pageBreakBefore w:val="0"/>
        <w:widowControl w:val="0"/>
        <w:kinsoku/>
        <w:wordWrap/>
        <w:overflowPunct/>
        <w:topLinePunct w:val="0"/>
        <w:autoSpaceDE/>
        <w:autoSpaceDN/>
        <w:bidi w:val="0"/>
        <w:adjustRightInd/>
        <w:snapToGrid/>
        <w:spacing w:line="560" w:lineRule="exact"/>
        <w:ind w:left="0" w:firstLine="600"/>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 xml:space="preserve">严重违法行为的表现情形：占用或挖掘面积在5平方米以上，在整改期限内未整改，未予恢复原状的。 </w:t>
      </w:r>
    </w:p>
    <w:p w14:paraId="669A32DC">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处罚基准：责令其恢复原状或支付恢复费用，并处以10000元到20000元以下的罚款。</w:t>
      </w:r>
    </w:p>
    <w:p w14:paraId="30D130D0">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b/>
          <w:bCs/>
          <w:sz w:val="32"/>
          <w:szCs w:val="32"/>
        </w:rPr>
      </w:pPr>
      <w:r>
        <w:rPr>
          <w:rFonts w:hint="eastAsia" w:ascii="楷体" w:hAnsi="楷体" w:eastAsia="楷体" w:cs="楷体"/>
          <w:b w:val="0"/>
          <w:bCs w:val="0"/>
          <w:sz w:val="32"/>
          <w:szCs w:val="32"/>
        </w:rPr>
        <w:t xml:space="preserve">   （九）《湖南省城市综合管理条例》第二十三条的行政处罚裁量权基准</w:t>
      </w:r>
      <w:r>
        <w:rPr>
          <w:rFonts w:hint="eastAsia" w:ascii="仿宋" w:hAnsi="仿宋" w:eastAsia="仿宋" w:cs="仿宋"/>
          <w:b/>
          <w:bCs/>
          <w:sz w:val="32"/>
          <w:szCs w:val="32"/>
        </w:rPr>
        <w:t xml:space="preserve"> </w:t>
      </w:r>
    </w:p>
    <w:p w14:paraId="7387CD9F">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第二十三条城市道路桥梁、公共场所和居民小区等应当按 照规划配套建设无障碍设施。城市道路人行道应当按照规划和国 家标准设置盲道。任何单位和个人不得擅自占用或者破坏盲道等无障碍设施。</w:t>
      </w:r>
    </w:p>
    <w:p w14:paraId="05513BA9">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第五十七条有下列情形之一的，由城市管理部门责令改正；拒不改正的，由城市管理部门采取措施恢复原状，费用由违法者承担，可以处二万元以下的罚款： </w:t>
      </w:r>
    </w:p>
    <w:p w14:paraId="5647F9DB">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违反本条例第二十三条规定擅自占用或者破坏盲道等无障碍设施的；</w:t>
      </w:r>
    </w:p>
    <w:p w14:paraId="28839BCE">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违法行为情形和处罚基准：</w:t>
      </w:r>
    </w:p>
    <w:p w14:paraId="77FE3D60">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1</w:t>
      </w:r>
      <w:r>
        <w:rPr>
          <w:rFonts w:hint="eastAsia" w:ascii="仿宋" w:hAnsi="仿宋" w:eastAsia="仿宋" w:cs="仿宋"/>
          <w:sz w:val="32"/>
          <w:szCs w:val="32"/>
          <w:lang w:val="en-US" w:eastAsia="zh-CN"/>
        </w:rPr>
        <w:t>.</w:t>
      </w:r>
      <w:r>
        <w:rPr>
          <w:rFonts w:hint="eastAsia" w:ascii="仿宋" w:hAnsi="仿宋" w:eastAsia="仿宋" w:cs="仿宋"/>
          <w:sz w:val="32"/>
          <w:szCs w:val="32"/>
        </w:rPr>
        <w:t>一般违法行为的表现情形：占用或破坏面积在5平方米以内，在期限内政正并自行采取措施恢复原状的。</w:t>
      </w:r>
    </w:p>
    <w:p w14:paraId="279966BA">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处罚基准：予以警告。 </w:t>
      </w:r>
    </w:p>
    <w:p w14:paraId="6F26D87F">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2</w:t>
      </w:r>
      <w:r>
        <w:rPr>
          <w:rFonts w:hint="eastAsia" w:ascii="仿宋" w:hAnsi="仿宋" w:eastAsia="仿宋" w:cs="仿宋"/>
          <w:sz w:val="32"/>
          <w:szCs w:val="32"/>
          <w:lang w:val="en-US" w:eastAsia="zh-CN"/>
        </w:rPr>
        <w:t>.</w:t>
      </w:r>
      <w:r>
        <w:rPr>
          <w:rFonts w:hint="eastAsia" w:ascii="仿宋" w:hAnsi="仿宋" w:eastAsia="仿宋" w:cs="仿宋"/>
          <w:sz w:val="32"/>
          <w:szCs w:val="32"/>
        </w:rPr>
        <w:t xml:space="preserve">较重违法行为的表现情形：占用或破坏面积在5平方米以内，在整改期限内未整改，未予恢复原状的。 </w:t>
      </w:r>
    </w:p>
    <w:p w14:paraId="0F201E10">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处罚基准：责令其恢复原状或支付恢复费用，并处以10000元以下的罚款。</w:t>
      </w:r>
    </w:p>
    <w:p w14:paraId="4914EB53">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3</w:t>
      </w:r>
      <w:r>
        <w:rPr>
          <w:rFonts w:hint="eastAsia" w:ascii="仿宋" w:hAnsi="仿宋" w:eastAsia="仿宋" w:cs="仿宋"/>
          <w:sz w:val="32"/>
          <w:szCs w:val="32"/>
          <w:lang w:val="en-US" w:eastAsia="zh-CN"/>
        </w:rPr>
        <w:t>.</w:t>
      </w:r>
      <w:r>
        <w:rPr>
          <w:rFonts w:hint="eastAsia" w:ascii="仿宋" w:hAnsi="仿宋" w:eastAsia="仿宋" w:cs="仿宋"/>
          <w:sz w:val="32"/>
          <w:szCs w:val="32"/>
        </w:rPr>
        <w:t xml:space="preserve">严重违法行为的表现情形：占用或破坏面积在5平方米以上，在整改期限内未整改，未予恢复原状的。 </w:t>
      </w:r>
    </w:p>
    <w:p w14:paraId="1103C2C8">
      <w:pPr>
        <w:keepNext w:val="0"/>
        <w:keepLines w:val="0"/>
        <w:pageBreakBefore w:val="0"/>
        <w:widowControl w:val="0"/>
        <w:kinsoku/>
        <w:wordWrap/>
        <w:overflowPunct/>
        <w:topLinePunct w:val="0"/>
        <w:autoSpaceDE/>
        <w:autoSpaceDN/>
        <w:bidi w:val="0"/>
        <w:adjustRightInd/>
        <w:snapToGrid/>
        <w:spacing w:line="560" w:lineRule="exact"/>
        <w:ind w:left="0" w:firstLine="600"/>
        <w:textAlignment w:val="auto"/>
        <w:rPr>
          <w:rFonts w:hint="eastAsia" w:ascii="仿宋" w:hAnsi="仿宋" w:eastAsia="仿宋" w:cs="仿宋"/>
          <w:sz w:val="32"/>
          <w:szCs w:val="32"/>
        </w:rPr>
      </w:pPr>
      <w:r>
        <w:rPr>
          <w:rFonts w:hint="eastAsia" w:ascii="仿宋" w:hAnsi="仿宋" w:eastAsia="仿宋" w:cs="仿宋"/>
          <w:sz w:val="32"/>
          <w:szCs w:val="32"/>
        </w:rPr>
        <w:t>处罚基准：责令其恢复原状或支付恢复费用，并处以10000元到20000元以下的罚款。</w:t>
      </w:r>
    </w:p>
    <w:p w14:paraId="52B6545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（十）《湖南省城市综合管理条例》第二十四条的行政处罚裁量</w:t>
      </w:r>
      <w:r>
        <w:rPr>
          <w:rFonts w:hint="eastAsia" w:ascii="楷体" w:hAnsi="楷体" w:eastAsia="楷体" w:cs="楷体"/>
          <w:b w:val="0"/>
          <w:bCs w:val="0"/>
          <w:sz w:val="32"/>
          <w:szCs w:val="32"/>
          <w:lang w:val="en-US" w:eastAsia="zh-CN"/>
        </w:rPr>
        <w:t>权</w:t>
      </w:r>
      <w:r>
        <w:rPr>
          <w:rFonts w:hint="eastAsia" w:ascii="楷体" w:hAnsi="楷体" w:eastAsia="楷体" w:cs="楷体"/>
          <w:b w:val="0"/>
          <w:bCs w:val="0"/>
          <w:sz w:val="32"/>
          <w:szCs w:val="32"/>
        </w:rPr>
        <w:t xml:space="preserve">基准 </w:t>
      </w:r>
    </w:p>
    <w:p w14:paraId="44B1C43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第二十四条设区的市、县(市、区)人民政府应当将经过城区的公路桥梁纳入城市道路桥梁管理范围。</w:t>
      </w:r>
    </w:p>
    <w:p w14:paraId="5C47488D">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第五十七条有下列情形之一的，由城市管理部门责令改正；拒不改正的，由城市管理部门采取措施恢复原状，费用由违法者承担，可以处二万元以下的罚款：</w:t>
      </w:r>
    </w:p>
    <w:p w14:paraId="27CBBA9E">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违反本条例第二十四条规定擅自占用城市桥梁下空间的。</w:t>
      </w:r>
    </w:p>
    <w:p w14:paraId="3A91D84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违法行为情形和处罚基准： </w:t>
      </w:r>
    </w:p>
    <w:p w14:paraId="679D6DB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一般违法行为的表现情形：占用面积在5平方米以内，在期限内改正并</w:t>
      </w:r>
      <w:r>
        <w:rPr>
          <w:rFonts w:hint="eastAsia" w:ascii="仿宋" w:hAnsi="仿宋" w:eastAsia="仿宋" w:cs="仿宋"/>
          <w:sz w:val="32"/>
          <w:szCs w:val="32"/>
          <w:lang w:val="en-US" w:eastAsia="zh-CN"/>
        </w:rPr>
        <w:t>自</w:t>
      </w:r>
      <w:r>
        <w:rPr>
          <w:rFonts w:hint="eastAsia" w:ascii="仿宋" w:hAnsi="仿宋" w:eastAsia="仿宋" w:cs="仿宋"/>
          <w:sz w:val="32"/>
          <w:szCs w:val="32"/>
        </w:rPr>
        <w:t>行采取措施恢复原状的。</w:t>
      </w:r>
    </w:p>
    <w:p w14:paraId="0C9E5C5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处罚基准：子以警告。 </w:t>
      </w:r>
    </w:p>
    <w:p w14:paraId="02E229BE">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2</w:t>
      </w:r>
      <w:r>
        <w:rPr>
          <w:rFonts w:hint="eastAsia" w:ascii="仿宋" w:hAnsi="仿宋" w:eastAsia="仿宋" w:cs="仿宋"/>
          <w:sz w:val="32"/>
          <w:szCs w:val="32"/>
          <w:lang w:val="en-US" w:eastAsia="zh-CN"/>
        </w:rPr>
        <w:t>.</w:t>
      </w:r>
      <w:r>
        <w:rPr>
          <w:rFonts w:hint="eastAsia" w:ascii="仿宋" w:hAnsi="仿宋" w:eastAsia="仿宋" w:cs="仿宋"/>
          <w:sz w:val="32"/>
          <w:szCs w:val="32"/>
        </w:rPr>
        <w:t>较重违法行为的表现情形：占用面积在5平方米以内，在整改期限内未整改，未</w:t>
      </w:r>
      <w:r>
        <w:rPr>
          <w:rFonts w:hint="eastAsia" w:ascii="仿宋" w:hAnsi="仿宋" w:eastAsia="仿宋" w:cs="仿宋"/>
          <w:sz w:val="32"/>
          <w:szCs w:val="32"/>
          <w:lang w:val="en-US" w:eastAsia="zh-CN"/>
        </w:rPr>
        <w:t>予</w:t>
      </w:r>
      <w:r>
        <w:rPr>
          <w:rFonts w:hint="eastAsia" w:ascii="仿宋" w:hAnsi="仿宋" w:eastAsia="仿宋" w:cs="仿宋"/>
          <w:sz w:val="32"/>
          <w:szCs w:val="32"/>
        </w:rPr>
        <w:t xml:space="preserve">恢复原状的。 </w:t>
      </w:r>
    </w:p>
    <w:p w14:paraId="630B63F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处罚基准：责令其恢复原状或支付恢复费用，并处以10000元以下的罚款。 </w:t>
      </w:r>
    </w:p>
    <w:p w14:paraId="76A59F6B">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3.严重违法行为的表现情形：占用面积在5平方米以上，在整改期限内未整改，未予恢复原状的。</w:t>
      </w:r>
    </w:p>
    <w:p w14:paraId="069765B5">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处罚基准：责令其恢复原状或支付恢复费用，并处以10000元到20000元以下的罚款。</w:t>
      </w:r>
    </w:p>
    <w:p w14:paraId="0398216C">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黑体" w:hAnsi="黑体" w:eastAsia="黑体" w:cs="黑体"/>
          <w:b w:val="0"/>
          <w:bCs w:val="0"/>
          <w:sz w:val="32"/>
          <w:szCs w:val="32"/>
        </w:rPr>
      </w:pPr>
      <w:r>
        <w:rPr>
          <w:rFonts w:hint="eastAsia" w:ascii="仿宋" w:hAnsi="仿宋" w:eastAsia="仿宋" w:cs="仿宋"/>
          <w:b w:val="0"/>
          <w:bCs w:val="0"/>
          <w:sz w:val="32"/>
          <w:szCs w:val="32"/>
        </w:rPr>
        <w:t xml:space="preserve"> </w:t>
      </w:r>
      <w:r>
        <w:rPr>
          <w:rFonts w:hint="eastAsia" w:ascii="黑体" w:hAnsi="黑体" w:eastAsia="黑体" w:cs="黑体"/>
          <w:b w:val="0"/>
          <w:bCs w:val="0"/>
          <w:sz w:val="32"/>
          <w:szCs w:val="32"/>
        </w:rPr>
        <w:t xml:space="preserve">   二、《永州市城市市容和环境卫生管理条例》行政处罚裁量权基准</w:t>
      </w:r>
    </w:p>
    <w:p w14:paraId="4FAEBBF3">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楷体" w:hAnsi="楷体" w:eastAsia="楷体" w:cs="楷体"/>
          <w:b w:val="0"/>
          <w:bCs w:val="0"/>
          <w:sz w:val="32"/>
          <w:szCs w:val="32"/>
        </w:rPr>
        <w:t>（一）依</w:t>
      </w:r>
      <w:r>
        <w:rPr>
          <w:rFonts w:hint="eastAsia" w:ascii="楷体" w:hAnsi="楷体" w:eastAsia="楷体" w:cs="楷体"/>
          <w:b w:val="0"/>
          <w:bCs w:val="0"/>
          <w:sz w:val="32"/>
          <w:szCs w:val="32"/>
          <w:lang w:val="en-US" w:eastAsia="zh-CN"/>
        </w:rPr>
        <w:t>据</w:t>
      </w:r>
      <w:r>
        <w:rPr>
          <w:rFonts w:hint="eastAsia" w:ascii="楷体" w:hAnsi="楷体" w:eastAsia="楷体" w:cs="楷体"/>
          <w:b w:val="0"/>
          <w:bCs w:val="0"/>
          <w:sz w:val="32"/>
          <w:szCs w:val="32"/>
        </w:rPr>
        <w:t>《</w:t>
      </w:r>
      <w:r>
        <w:rPr>
          <w:rFonts w:hint="eastAsia" w:ascii="楷体" w:hAnsi="楷体" w:eastAsia="楷体" w:cs="楷体"/>
          <w:b w:val="0"/>
          <w:bCs w:val="0"/>
          <w:sz w:val="32"/>
          <w:szCs w:val="32"/>
          <w:lang w:val="en-US" w:eastAsia="zh-CN"/>
        </w:rPr>
        <w:t>永</w:t>
      </w:r>
      <w:r>
        <w:rPr>
          <w:rFonts w:hint="eastAsia" w:ascii="楷体" w:hAnsi="楷体" w:eastAsia="楷体" w:cs="楷体"/>
          <w:b w:val="0"/>
          <w:bCs w:val="0"/>
          <w:sz w:val="32"/>
          <w:szCs w:val="32"/>
        </w:rPr>
        <w:t>州市城市市容和环境卫生管理系例》违反第十一条行政处罚裁量权基准</w:t>
      </w:r>
    </w:p>
    <w:p w14:paraId="6FF40D56">
      <w:pPr>
        <w:keepNext w:val="0"/>
        <w:keepLines w:val="0"/>
        <w:pageBreakBefore w:val="0"/>
        <w:widowControl w:val="0"/>
        <w:kinsoku/>
        <w:wordWrap/>
        <w:overflowPunct/>
        <w:topLinePunct w:val="0"/>
        <w:autoSpaceDE/>
        <w:autoSpaceDN/>
        <w:bidi w:val="0"/>
        <w:adjustRightInd/>
        <w:snapToGrid/>
        <w:spacing w:line="560" w:lineRule="exact"/>
        <w:ind w:left="0" w:firstLine="600"/>
        <w:textAlignment w:val="auto"/>
        <w:rPr>
          <w:rFonts w:hint="eastAsia" w:ascii="仿宋" w:hAnsi="仿宋" w:eastAsia="仿宋" w:cs="仿宋"/>
          <w:sz w:val="32"/>
          <w:szCs w:val="32"/>
        </w:rPr>
      </w:pPr>
      <w:r>
        <w:rPr>
          <w:rFonts w:hint="eastAsia" w:ascii="仿宋" w:hAnsi="仿宋" w:eastAsia="仿宋" w:cs="仿宋"/>
          <w:sz w:val="32"/>
          <w:szCs w:val="32"/>
        </w:rPr>
        <w:t>第十一条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责任人应当履行下列责任：</w:t>
      </w:r>
    </w:p>
    <w:p w14:paraId="22B19F72">
      <w:pPr>
        <w:keepNext w:val="0"/>
        <w:keepLines w:val="0"/>
        <w:pageBreakBefore w:val="0"/>
        <w:widowControl w:val="0"/>
        <w:kinsoku/>
        <w:wordWrap/>
        <w:overflowPunct/>
        <w:topLinePunct w:val="0"/>
        <w:autoSpaceDE/>
        <w:autoSpaceDN/>
        <w:bidi w:val="0"/>
        <w:adjustRightInd/>
        <w:snapToGrid/>
        <w:spacing w:line="560" w:lineRule="exact"/>
        <w:ind w:left="0" w:firstLine="600"/>
        <w:textAlignment w:val="auto"/>
        <w:rPr>
          <w:rFonts w:hint="eastAsia" w:ascii="仿宋" w:hAnsi="仿宋" w:eastAsia="仿宋" w:cs="仿宋"/>
          <w:sz w:val="32"/>
          <w:szCs w:val="32"/>
        </w:rPr>
      </w:pPr>
      <w:r>
        <w:rPr>
          <w:rFonts w:hint="eastAsia" w:ascii="仿宋" w:hAnsi="仿宋" w:eastAsia="仿宋" w:cs="仿宋"/>
          <w:sz w:val="32"/>
          <w:szCs w:val="32"/>
        </w:rPr>
        <w:t>（一）保持责任区内市容整洁，无乱摆设、堆放、搭建、张贴、涂刻等；</w:t>
      </w:r>
    </w:p>
    <w:p w14:paraId="015C447F">
      <w:pPr>
        <w:keepNext w:val="0"/>
        <w:keepLines w:val="0"/>
        <w:pageBreakBefore w:val="0"/>
        <w:widowControl w:val="0"/>
        <w:kinsoku/>
        <w:wordWrap/>
        <w:overflowPunct/>
        <w:topLinePunct w:val="0"/>
        <w:autoSpaceDE/>
        <w:autoSpaceDN/>
        <w:bidi w:val="0"/>
        <w:adjustRightInd/>
        <w:snapToGrid/>
        <w:spacing w:line="560" w:lineRule="exact"/>
        <w:ind w:left="0" w:firstLine="600"/>
        <w:textAlignment w:val="auto"/>
        <w:rPr>
          <w:rFonts w:hint="eastAsia" w:ascii="仿宋" w:hAnsi="仿宋" w:eastAsia="仿宋" w:cs="仿宋"/>
          <w:sz w:val="32"/>
          <w:szCs w:val="32"/>
        </w:rPr>
      </w:pPr>
      <w:r>
        <w:rPr>
          <w:rFonts w:hint="eastAsia" w:ascii="仿宋" w:hAnsi="仿宋" w:eastAsia="仿宋" w:cs="仿宋"/>
          <w:sz w:val="32"/>
          <w:szCs w:val="32"/>
        </w:rPr>
        <w:t>（二）保持责任区内环境卫生整洁，无暴露垃圾、粪便、污水和引发病媒生物滋生的其他污染源；</w:t>
      </w:r>
    </w:p>
    <w:p w14:paraId="0E746B4D">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（三）保持责任区内环境卫生设施整洁、完好； </w:t>
      </w:r>
    </w:p>
    <w:p w14:paraId="7BE8A709">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第三十五条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有下列情形之一的，由城市管理部门责令改正， 并按以下规定处罚：</w:t>
      </w:r>
    </w:p>
    <w:p w14:paraId="355112DB">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（一）违反本条例第十一条第一款规定，责任人不履行保洁</w:t>
      </w:r>
      <w:r>
        <w:rPr>
          <w:rFonts w:hint="eastAsia" w:ascii="仿宋" w:hAnsi="仿宋" w:eastAsia="仿宋" w:cs="仿宋"/>
          <w:sz w:val="32"/>
          <w:szCs w:val="32"/>
          <w:lang w:val="en-US" w:eastAsia="zh-CN"/>
        </w:rPr>
        <w:t>责任</w:t>
      </w:r>
      <w:r>
        <w:rPr>
          <w:rFonts w:hint="eastAsia" w:ascii="仿宋" w:hAnsi="仿宋" w:eastAsia="仿宋" w:cs="仿宋"/>
          <w:sz w:val="32"/>
          <w:szCs w:val="32"/>
        </w:rPr>
        <w:t>，拒不改正的，</w:t>
      </w:r>
      <w:r>
        <w:rPr>
          <w:rFonts w:hint="eastAsia" w:ascii="仿宋" w:hAnsi="仿宋" w:eastAsia="仿宋" w:cs="仿宋"/>
          <w:sz w:val="32"/>
          <w:szCs w:val="32"/>
          <w:lang w:val="en-US" w:eastAsia="zh-CN"/>
        </w:rPr>
        <w:t>给予</w:t>
      </w:r>
      <w:r>
        <w:rPr>
          <w:rFonts w:hint="eastAsia" w:ascii="仿宋" w:hAnsi="仿宋" w:eastAsia="仿宋" w:cs="仿宋"/>
          <w:sz w:val="32"/>
          <w:szCs w:val="32"/>
        </w:rPr>
        <w:t>警告，对个人可以处五十元以上二百元以下罚款，对单位可以处五百元以上二千元以下罚款；</w:t>
      </w:r>
    </w:p>
    <w:p w14:paraId="66405044">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违法行为情形和处罚基准： </w:t>
      </w:r>
    </w:p>
    <w:p w14:paraId="243A50B1">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1.轻微违法行为的表现情形：未造成危害后果，在责令期限内改正的。</w:t>
      </w:r>
    </w:p>
    <w:p w14:paraId="1A862E53">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处罚基准：不予处罚。</w:t>
      </w:r>
    </w:p>
    <w:p w14:paraId="013D8435">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2</w:t>
      </w:r>
      <w:r>
        <w:rPr>
          <w:rFonts w:hint="eastAsia" w:ascii="仿宋" w:hAnsi="仿宋" w:eastAsia="仿宋" w:cs="仿宋"/>
          <w:sz w:val="32"/>
          <w:szCs w:val="32"/>
          <w:lang w:val="en-US" w:eastAsia="zh-CN"/>
        </w:rPr>
        <w:t>.</w:t>
      </w:r>
      <w:r>
        <w:rPr>
          <w:rFonts w:hint="eastAsia" w:ascii="仿宋" w:hAnsi="仿宋" w:eastAsia="仿宋" w:cs="仿宋"/>
          <w:sz w:val="32"/>
          <w:szCs w:val="32"/>
        </w:rPr>
        <w:t>一般违法行为的表现情形：不履行卫生责任区清扫保洁</w:t>
      </w:r>
    </w:p>
    <w:p w14:paraId="62B01FDB">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义务的。</w:t>
      </w:r>
    </w:p>
    <w:p w14:paraId="243EBD65">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处罚基准：在责令期限内未改正或改正未达到要求的，对个 人处以50元罚款，对单位处以500元罚款；违反该规定被依法查处两次或以上的，对个人处以100元罚款，对单位处以1000元罚款。</w:t>
      </w:r>
    </w:p>
    <w:p w14:paraId="25D3D5FF">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3</w:t>
      </w:r>
      <w:r>
        <w:rPr>
          <w:rFonts w:hint="eastAsia" w:ascii="仿宋" w:hAnsi="仿宋" w:eastAsia="仿宋" w:cs="仿宋"/>
          <w:sz w:val="32"/>
          <w:szCs w:val="32"/>
          <w:lang w:val="en-US" w:eastAsia="zh-CN"/>
        </w:rPr>
        <w:t>.</w:t>
      </w:r>
      <w:r>
        <w:rPr>
          <w:rFonts w:hint="eastAsia" w:ascii="仿宋" w:hAnsi="仿宋" w:eastAsia="仿宋" w:cs="仿宋"/>
          <w:sz w:val="32"/>
          <w:szCs w:val="32"/>
        </w:rPr>
        <w:t xml:space="preserve">较重违法行为的表现情形：不按规定清运、处理垃圾的。 </w:t>
      </w:r>
    </w:p>
    <w:p w14:paraId="29A7CCF8">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处罚基准：责令限期改</w:t>
      </w:r>
      <w:r>
        <w:rPr>
          <w:rFonts w:hint="eastAsia" w:ascii="仿宋" w:hAnsi="仿宋" w:eastAsia="仿宋" w:cs="仿宋"/>
          <w:sz w:val="32"/>
          <w:szCs w:val="32"/>
          <w:lang w:eastAsia="zh-CN"/>
        </w:rPr>
        <w:t>正</w:t>
      </w:r>
      <w:r>
        <w:rPr>
          <w:rFonts w:hint="eastAsia" w:ascii="仿宋" w:hAnsi="仿宋" w:eastAsia="仿宋" w:cs="仿宋"/>
          <w:sz w:val="32"/>
          <w:szCs w:val="32"/>
        </w:rPr>
        <w:t>，给予</w:t>
      </w:r>
      <w:r>
        <w:rPr>
          <w:rFonts w:hint="eastAsia" w:ascii="仿宋" w:hAnsi="仿宋" w:eastAsia="仿宋" w:cs="仿宋"/>
          <w:sz w:val="32"/>
          <w:szCs w:val="32"/>
          <w:lang w:eastAsia="zh-CN"/>
        </w:rPr>
        <w:t>警告</w:t>
      </w:r>
      <w:r>
        <w:rPr>
          <w:rFonts w:hint="eastAsia" w:ascii="仿宋" w:hAnsi="仿宋" w:eastAsia="仿宋" w:cs="仿宋"/>
          <w:sz w:val="32"/>
          <w:szCs w:val="32"/>
        </w:rPr>
        <w:t>；</w:t>
      </w:r>
      <w:r>
        <w:rPr>
          <w:rFonts w:hint="eastAsia" w:ascii="仿宋" w:hAnsi="仿宋" w:eastAsia="仿宋" w:cs="仿宋"/>
          <w:sz w:val="32"/>
          <w:szCs w:val="32"/>
          <w:lang w:eastAsia="zh-CN"/>
        </w:rPr>
        <w:t>在责</w:t>
      </w:r>
      <w:r>
        <w:rPr>
          <w:rFonts w:hint="eastAsia" w:ascii="仿宋" w:hAnsi="仿宋" w:eastAsia="仿宋" w:cs="仿宋"/>
          <w:sz w:val="32"/>
          <w:szCs w:val="32"/>
        </w:rPr>
        <w:t>令期限內改正的，对个人处以50元罚款，对单位处以500元罚款；在责令期限内未改正或改正未达到要求的，对个人处以100元罚款，对单位处 以1000元罚款；违反该规定被依法查处两次或以上的，对个人处以150元罚款，对单位处以1500元罚款。</w:t>
      </w:r>
    </w:p>
    <w:p w14:paraId="0E991A17">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严重违法行为的表现情形：不按规定清运、处理类便的处罚基准：责令限期改正，给予警告;在责令期限内改正的</w:t>
      </w:r>
      <w:r>
        <w:rPr>
          <w:rFonts w:hint="eastAsia" w:ascii="仿宋" w:hAnsi="仿宋" w:eastAsia="仿宋" w:cs="仿宋"/>
          <w:sz w:val="32"/>
          <w:szCs w:val="32"/>
          <w:lang w:eastAsia="zh-CN"/>
        </w:rPr>
        <w:t>，</w:t>
      </w:r>
      <w:r>
        <w:rPr>
          <w:rFonts w:hint="eastAsia" w:ascii="仿宋" w:hAnsi="仿宋" w:eastAsia="仿宋" w:cs="仿宋"/>
          <w:sz w:val="32"/>
          <w:szCs w:val="32"/>
        </w:rPr>
        <w:t xml:space="preserve">对个人处以100元罚款，对单位处以1000元罚款；在责令期限内未改正或改正未达到要求的，对个人处以150元罚款，对单位处以1500元罚款；违反该规定被依法查处两次或以上的，对个人处以200元罚款，对单位处以2000元罚款。 </w:t>
      </w:r>
    </w:p>
    <w:p w14:paraId="52F07BAA">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楷体" w:hAnsi="楷体" w:eastAsia="楷体" w:cs="楷体"/>
          <w:b w:val="0"/>
          <w:bCs w:val="0"/>
          <w:sz w:val="32"/>
          <w:szCs w:val="32"/>
        </w:rPr>
        <w:t xml:space="preserve">   （二）依据《永州市城市市容和环境卫生管理条例》违反第十八条行政处罚裁量权基准 </w:t>
      </w:r>
    </w:p>
    <w:p w14:paraId="2B9838F3">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第十八条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城市道路上运输砂土、石灰、水泥等散装货物和 液体、垃圾、粪便等物品的车辆，应当采取密封、覆益、清洗等措施，不得泄漏、散落或者带泥运行。</w:t>
      </w:r>
    </w:p>
    <w:p w14:paraId="672837BA">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第三十五条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违反本条例第十八条第二款的规定，未采取密闲、覆盖或者其他措施的，处二千元以上一万元以下罚款;</w:t>
      </w:r>
    </w:p>
    <w:p w14:paraId="58865645">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违法行为情形和处罚基准： </w:t>
      </w:r>
    </w:p>
    <w:p w14:paraId="4B31C022">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1</w:t>
      </w:r>
      <w:r>
        <w:rPr>
          <w:rFonts w:hint="eastAsia" w:ascii="仿宋" w:hAnsi="仿宋" w:eastAsia="仿宋" w:cs="仿宋"/>
          <w:sz w:val="32"/>
          <w:szCs w:val="32"/>
          <w:lang w:val="en-US" w:eastAsia="zh-CN"/>
        </w:rPr>
        <w:t>.</w:t>
      </w:r>
      <w:r>
        <w:rPr>
          <w:rFonts w:hint="eastAsia" w:ascii="仿宋" w:hAnsi="仿宋" w:eastAsia="仿宋" w:cs="仿宋"/>
          <w:sz w:val="32"/>
          <w:szCs w:val="32"/>
        </w:rPr>
        <w:t>轻微违法行为的表现情形：未造成危害后果，在责令期限内改正的。</w:t>
      </w:r>
    </w:p>
    <w:p w14:paraId="6F2E795D">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处罚基准：不予罚款，造成损失的，依法承担赔偿责任。</w:t>
      </w:r>
    </w:p>
    <w:p w14:paraId="00893D08">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2</w:t>
      </w:r>
      <w:r>
        <w:rPr>
          <w:rFonts w:hint="eastAsia" w:ascii="仿宋" w:hAnsi="仿宋" w:eastAsia="仿宋" w:cs="仿宋"/>
          <w:sz w:val="32"/>
          <w:szCs w:val="32"/>
          <w:lang w:val="en-US" w:eastAsia="zh-CN"/>
        </w:rPr>
        <w:t>.</w:t>
      </w:r>
      <w:r>
        <w:rPr>
          <w:rFonts w:hint="eastAsia" w:ascii="仿宋" w:hAnsi="仿宋" w:eastAsia="仿宋" w:cs="仿宋"/>
          <w:sz w:val="32"/>
          <w:szCs w:val="32"/>
        </w:rPr>
        <w:t xml:space="preserve">一般违法行为的表现情形：在贵令期限内未改正或改正未达到要求的。 </w:t>
      </w:r>
    </w:p>
    <w:p w14:paraId="735ACC32">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处罚基准：责令限期改正，处以2000元以上5000元以下罚款，造成损失的，依法承担赔偿责任。</w:t>
      </w:r>
    </w:p>
    <w:p w14:paraId="3401651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3</w:t>
      </w:r>
      <w:r>
        <w:rPr>
          <w:rFonts w:hint="eastAsia" w:ascii="仿宋" w:hAnsi="仿宋" w:eastAsia="仿宋" w:cs="仿宋"/>
          <w:sz w:val="32"/>
          <w:szCs w:val="32"/>
          <w:lang w:val="en-US" w:eastAsia="zh-CN"/>
        </w:rPr>
        <w:t>.</w:t>
      </w:r>
      <w:r>
        <w:rPr>
          <w:rFonts w:hint="eastAsia" w:ascii="仿宋" w:hAnsi="仿宋" w:eastAsia="仿宋" w:cs="仿宋"/>
          <w:sz w:val="32"/>
          <w:szCs w:val="32"/>
        </w:rPr>
        <w:t xml:space="preserve">较重违法行为的表现情形：违反该规定被依法查处两次或以上的。 </w:t>
      </w:r>
    </w:p>
    <w:p w14:paraId="0EC70B8B">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处罚基准：责令限期改正，处以5000元以上1万元以下的罚款，造成损失的，依法承担赔偿责任。</w:t>
      </w:r>
    </w:p>
    <w:p w14:paraId="0F1858DE">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三</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依据《永州市城市市容和环境卫生管理条例》违反第二十四条行政处罚裁量权基准</w:t>
      </w:r>
    </w:p>
    <w:p w14:paraId="474F445D">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第二十四条禁止下列影响公共场所环境卫生的行为：</w:t>
      </w:r>
    </w:p>
    <w:p w14:paraId="58E869CC">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（一）随地吐痰、便溺； </w:t>
      </w:r>
    </w:p>
    <w:p w14:paraId="09C8AA18">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（二）乱扔果度、纸屑、烟蒂、槟榔渣、口香糖、包装袋、饮料罐等废弃物；</w:t>
      </w:r>
    </w:p>
    <w:p w14:paraId="531D2733">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（三）乱倒垃圾、污水、类便，乱扔动物尸体;</w:t>
      </w:r>
    </w:p>
    <w:p w14:paraId="0C2A5029">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（四）向建（构）筑物外或者车窗外拋掷杂物、废弃物；</w:t>
      </w:r>
    </w:p>
    <w:p w14:paraId="5AE22BD5">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（五）抛撒、焚烧冥纸；</w:t>
      </w:r>
    </w:p>
    <w:p w14:paraId="1CE604B4">
      <w:pPr>
        <w:keepNext w:val="0"/>
        <w:keepLines w:val="0"/>
        <w:pageBreakBefore w:val="0"/>
        <w:widowControl w:val="0"/>
        <w:kinsoku/>
        <w:wordWrap/>
        <w:overflowPunct/>
        <w:topLinePunct w:val="0"/>
        <w:autoSpaceDE/>
        <w:autoSpaceDN/>
        <w:bidi w:val="0"/>
        <w:adjustRightInd/>
        <w:snapToGrid/>
        <w:spacing w:line="560" w:lineRule="exact"/>
        <w:ind w:left="0" w:firstLine="600"/>
        <w:textAlignment w:val="auto"/>
        <w:rPr>
          <w:rFonts w:hint="eastAsia" w:ascii="仿宋" w:hAnsi="仿宋" w:eastAsia="仿宋" w:cs="仿宋"/>
          <w:sz w:val="32"/>
          <w:szCs w:val="32"/>
        </w:rPr>
      </w:pPr>
      <w:r>
        <w:rPr>
          <w:rFonts w:hint="eastAsia" w:ascii="仿宋" w:hAnsi="仿宋" w:eastAsia="仿宋" w:cs="仿宋"/>
          <w:sz w:val="32"/>
          <w:szCs w:val="32"/>
        </w:rPr>
        <w:t xml:space="preserve">第三十二条城市建成区内禁止饲养鸡、鸭、鹅、兔、羊、 猪等家畜家禽；因教学、科研以及其他特殊需要饲养的，应当实行圈养，并不得影响周围环境卫生。 </w:t>
      </w:r>
    </w:p>
    <w:p w14:paraId="1E62EB6A">
      <w:pPr>
        <w:keepNext w:val="0"/>
        <w:keepLines w:val="0"/>
        <w:pageBreakBefore w:val="0"/>
        <w:widowControl w:val="0"/>
        <w:kinsoku/>
        <w:wordWrap/>
        <w:overflowPunct/>
        <w:topLinePunct w:val="0"/>
        <w:autoSpaceDE/>
        <w:autoSpaceDN/>
        <w:bidi w:val="0"/>
        <w:adjustRightInd/>
        <w:snapToGrid/>
        <w:spacing w:line="560" w:lineRule="exact"/>
        <w:ind w:left="0" w:firstLine="600"/>
        <w:textAlignment w:val="auto"/>
        <w:rPr>
          <w:rFonts w:hint="eastAsia" w:ascii="仿宋" w:hAnsi="仿宋" w:eastAsia="仿宋" w:cs="仿宋"/>
          <w:sz w:val="32"/>
          <w:szCs w:val="32"/>
        </w:rPr>
      </w:pPr>
      <w:r>
        <w:rPr>
          <w:rFonts w:hint="eastAsia" w:ascii="仿宋" w:hAnsi="仿宋" w:eastAsia="仿宋" w:cs="仿宋"/>
          <w:sz w:val="32"/>
          <w:szCs w:val="32"/>
        </w:rPr>
        <w:t>居民饲养宠物不得影响公共场所环境卫生，对宠物的粪便应当即时自行清理。</w:t>
      </w:r>
    </w:p>
    <w:p w14:paraId="41C3993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第四十一条违反本条例第二十四条第一项至第五项规定 及第三十二系第二款规定的，除责令</w:t>
      </w:r>
      <w:r>
        <w:rPr>
          <w:rFonts w:hint="eastAsia" w:ascii="仿宋" w:hAnsi="仿宋" w:eastAsia="仿宋" w:cs="仿宋"/>
          <w:sz w:val="32"/>
          <w:szCs w:val="32"/>
          <w:lang w:val="en-US" w:eastAsia="zh-CN"/>
        </w:rPr>
        <w:t>纠正</w:t>
      </w:r>
      <w:r>
        <w:rPr>
          <w:rFonts w:hint="eastAsia" w:ascii="仿宋" w:hAnsi="仿宋" w:eastAsia="仿宋" w:cs="仿宋"/>
          <w:sz w:val="32"/>
          <w:szCs w:val="32"/>
        </w:rPr>
        <w:t>其违法行为、采取补救措施外，可以并处警告或者五十元以上二百元以下罚款。</w:t>
      </w:r>
    </w:p>
    <w:p w14:paraId="7064005B">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违法行为情形和处罚基准：  </w:t>
      </w:r>
    </w:p>
    <w:p w14:paraId="2BD48E16">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1.轻微违法行为的表现情形：未造成危害后果，在责令期限内改正的。</w:t>
      </w:r>
    </w:p>
    <w:p w14:paraId="02DA12C5">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处罚基准：不予处罚。</w:t>
      </w:r>
    </w:p>
    <w:p w14:paraId="7CF5DC23">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2</w:t>
      </w:r>
      <w:r>
        <w:rPr>
          <w:rFonts w:hint="eastAsia" w:ascii="仿宋" w:hAnsi="仿宋" w:eastAsia="仿宋" w:cs="仿宋"/>
          <w:sz w:val="32"/>
          <w:szCs w:val="32"/>
          <w:lang w:val="en-US" w:eastAsia="zh-CN"/>
        </w:rPr>
        <w:t>.</w:t>
      </w:r>
      <w:r>
        <w:rPr>
          <w:rFonts w:hint="eastAsia" w:ascii="仿宋" w:hAnsi="仿宋" w:eastAsia="仿宋" w:cs="仿宋"/>
          <w:sz w:val="32"/>
          <w:szCs w:val="32"/>
        </w:rPr>
        <w:t>一般违法行为的表现情形：在责令期限内未改正或改正未达到要求的。</w:t>
      </w:r>
    </w:p>
    <w:p w14:paraId="681EAB2F">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处罚基准：责令限期改正，处以50元以上100元以下的罚款。</w:t>
      </w:r>
    </w:p>
    <w:p w14:paraId="25F04196">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3</w:t>
      </w:r>
      <w:r>
        <w:rPr>
          <w:rFonts w:hint="eastAsia" w:ascii="仿宋" w:hAnsi="仿宋" w:eastAsia="仿宋" w:cs="仿宋"/>
          <w:sz w:val="32"/>
          <w:szCs w:val="32"/>
          <w:lang w:val="en-US" w:eastAsia="zh-CN"/>
        </w:rPr>
        <w:t>.</w:t>
      </w:r>
      <w:r>
        <w:rPr>
          <w:rFonts w:hint="eastAsia" w:ascii="仿宋" w:hAnsi="仿宋" w:eastAsia="仿宋" w:cs="仿宋"/>
          <w:sz w:val="32"/>
          <w:szCs w:val="32"/>
        </w:rPr>
        <w:t>较重违法行为的表现情形：被依法查处多次的。</w:t>
      </w:r>
    </w:p>
    <w:p w14:paraId="2D515035">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处罚基准：责令限期改正，150元到200以下罚款。</w:t>
      </w:r>
    </w:p>
    <w:p w14:paraId="641CCB7E">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b/>
          <w:bCs/>
          <w:sz w:val="32"/>
          <w:szCs w:val="32"/>
        </w:rPr>
      </w:pPr>
      <w:r>
        <w:rPr>
          <w:rFonts w:hint="eastAsia" w:ascii="仿宋" w:hAnsi="仿宋" w:eastAsia="仿宋" w:cs="仿宋"/>
          <w:sz w:val="32"/>
          <w:szCs w:val="32"/>
        </w:rPr>
        <w:t xml:space="preserve">    </w:t>
      </w:r>
      <w:r>
        <w:rPr>
          <w:rFonts w:hint="eastAsia" w:ascii="楷体" w:hAnsi="楷体" w:eastAsia="楷体" w:cs="楷体"/>
          <w:b w:val="0"/>
          <w:bCs w:val="0"/>
          <w:sz w:val="32"/>
          <w:szCs w:val="32"/>
        </w:rPr>
        <w:t>（四）依据《永州市城市市容和环境卫生管理条例》违反第十六条第一款行政处罚裁量权基准</w:t>
      </w:r>
    </w:p>
    <w:p w14:paraId="49F58541">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第十六条任何单位和个人不得有下列行为：       </w:t>
      </w:r>
    </w:p>
    <w:p w14:paraId="624C9EE9">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eastAsia="zh-CN"/>
        </w:rPr>
        <w:t>）</w:t>
      </w:r>
      <w:r>
        <w:rPr>
          <w:rFonts w:hint="eastAsia" w:ascii="仿宋" w:hAnsi="仿宋" w:eastAsia="仿宋" w:cs="仿宋"/>
          <w:sz w:val="32"/>
          <w:szCs w:val="32"/>
        </w:rPr>
        <w:t>擅自在街道两侧、城市道路和其他公共场所堆放物料，搭建建（构）筑物或者从事摆酒设宴、生产加工等影响市容和环</w:t>
      </w:r>
    </w:p>
    <w:p w14:paraId="4157606B">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境卫生的活动；</w:t>
      </w:r>
    </w:p>
    <w:p w14:paraId="76321482">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（二）擅自在道路路沿设置接坡； </w:t>
      </w:r>
    </w:p>
    <w:p w14:paraId="4FDCC425">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（三）擅自在人行道和公共场地上设置停车位、地下室入口或者地锁、水泥墩等障碍物；</w:t>
      </w:r>
    </w:p>
    <w:p w14:paraId="225A23FD">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第三十七条违反本条例第十六条第一款规定的，责令停止 违法行为、限期清理、拆除或者采取其他补救措施，并可处以一千元以上五千元以下罚款。</w:t>
      </w:r>
    </w:p>
    <w:p w14:paraId="4B4A4FD6">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违法行为情形和处罚基准：</w:t>
      </w:r>
    </w:p>
    <w:p w14:paraId="77F5DCB9">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1.轻微违法行为的表现情形：未造成危害后果，在责令期限内改正的。</w:t>
      </w:r>
    </w:p>
    <w:p w14:paraId="1F26BA2B">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处罚基准：不予处罚。</w:t>
      </w:r>
    </w:p>
    <w:p w14:paraId="0C33D722">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一般违法行为的表现情形：在责令期限内未改正或改正未达到要求的。</w:t>
      </w:r>
    </w:p>
    <w:p w14:paraId="0792FB61">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处罚基准：责令限期改正，处以1000以上2000以下的罚款。</w:t>
      </w:r>
    </w:p>
    <w:p w14:paraId="3DA1DFCB">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3</w:t>
      </w:r>
      <w:r>
        <w:rPr>
          <w:rFonts w:hint="eastAsia" w:ascii="仿宋" w:hAnsi="仿宋" w:eastAsia="仿宋" w:cs="仿宋"/>
          <w:sz w:val="32"/>
          <w:szCs w:val="32"/>
          <w:lang w:val="en-US" w:eastAsia="zh-CN"/>
        </w:rPr>
        <w:t>.</w:t>
      </w:r>
      <w:r>
        <w:rPr>
          <w:rFonts w:hint="eastAsia" w:ascii="仿宋" w:hAnsi="仿宋" w:eastAsia="仿宋" w:cs="仿宋"/>
          <w:sz w:val="32"/>
          <w:szCs w:val="32"/>
        </w:rPr>
        <w:t>较重违法行为的表现情形：被依法查处多次的。</w:t>
      </w:r>
    </w:p>
    <w:p w14:paraId="554060B4">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处罚基准：责令限期改正，处以2000到5000以下罚款。</w:t>
      </w:r>
    </w:p>
    <w:p w14:paraId="507ADFA5">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楷体" w:hAnsi="楷体" w:eastAsia="楷体" w:cs="楷体"/>
          <w:b w:val="0"/>
          <w:bCs w:val="0"/>
          <w:sz w:val="32"/>
          <w:szCs w:val="32"/>
        </w:rPr>
        <w:t>（五）依据《永州市城市市容和环境卫生管理条例》违反第十九条裁量权基准</w:t>
      </w:r>
      <w:r>
        <w:rPr>
          <w:rFonts w:hint="eastAsia" w:ascii="仿宋" w:hAnsi="仿宋" w:eastAsia="仿宋" w:cs="仿宋"/>
          <w:b/>
          <w:bCs/>
          <w:sz w:val="32"/>
          <w:szCs w:val="32"/>
        </w:rPr>
        <w:t xml:space="preserve"> </w:t>
      </w:r>
    </w:p>
    <w:p w14:paraId="0454A5AC">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第十九条门面招牌、楼宇墙体、项目围挡、大型立柱、电 子显示屏等户外广告设施，应当按规定设置，符合户外广告规划及城市容貌标淮。 </w:t>
      </w:r>
    </w:p>
    <w:p w14:paraId="7A7228AC">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户外广告设置者，应当进行日常维护保养，对图案、文字、灯光显示不全或者污油、腐蚀、陈旧、破损等影响市容市貌的，</w:t>
      </w:r>
    </w:p>
    <w:p w14:paraId="38A687FE">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应当及时维修或者更换；存在安全隐患的，应当及时拆除。 </w:t>
      </w:r>
    </w:p>
    <w:p w14:paraId="0A0D8859">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第三十六条有下列情形之一的，由城市管理部门责令限期改正；逾期拒不改正的，按以下规定处罚：</w:t>
      </w:r>
    </w:p>
    <w:p w14:paraId="5EC8DD6B">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w:t>
      </w:r>
      <w:r>
        <w:rPr>
          <w:rFonts w:hint="eastAsia" w:ascii="仿宋" w:hAnsi="仿宋" w:eastAsia="仿宋" w:cs="仿宋"/>
          <w:sz w:val="32"/>
          <w:szCs w:val="32"/>
        </w:rPr>
        <w:t>五</w:t>
      </w:r>
      <w:r>
        <w:rPr>
          <w:rFonts w:hint="eastAsia" w:ascii="仿宋" w:hAnsi="仿宋" w:eastAsia="仿宋" w:cs="仿宋"/>
          <w:sz w:val="32"/>
          <w:szCs w:val="32"/>
          <w:lang w:eastAsia="zh-CN"/>
        </w:rPr>
        <w:t>）</w:t>
      </w:r>
      <w:r>
        <w:rPr>
          <w:rFonts w:hint="eastAsia" w:ascii="仿宋" w:hAnsi="仿宋" w:eastAsia="仿宋" w:cs="仿宋"/>
          <w:sz w:val="32"/>
          <w:szCs w:val="32"/>
        </w:rPr>
        <w:t>违反本条例第十九条第二款规定，对污浊、腐蚀、陈 旧、破损等户外广告未及时刷新、维修、更换或者拆除的，处二百元以上一千元以下罚款；</w:t>
      </w:r>
    </w:p>
    <w:p w14:paraId="291B6DBC">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违法行为情形和处罚基准： </w:t>
      </w:r>
    </w:p>
    <w:p w14:paraId="3FF0FC09">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1</w:t>
      </w:r>
      <w:r>
        <w:rPr>
          <w:rFonts w:hint="eastAsia" w:ascii="仿宋" w:hAnsi="仿宋" w:eastAsia="仿宋" w:cs="仿宋"/>
          <w:sz w:val="32"/>
          <w:szCs w:val="32"/>
          <w:lang w:val="en-US" w:eastAsia="zh-CN"/>
        </w:rPr>
        <w:t>.</w:t>
      </w:r>
      <w:r>
        <w:rPr>
          <w:rFonts w:hint="eastAsia" w:ascii="仿宋" w:hAnsi="仿宋" w:eastAsia="仿宋" w:cs="仿宋"/>
          <w:sz w:val="32"/>
          <w:szCs w:val="32"/>
        </w:rPr>
        <w:t>轻微违法行为的表现情形：未造成危害后果，在责令期限内改正并拆除的。</w:t>
      </w:r>
    </w:p>
    <w:p w14:paraId="348CAED1">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处罚基准：不子处罚。 </w:t>
      </w:r>
    </w:p>
    <w:p w14:paraId="2277FE80">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2</w:t>
      </w:r>
      <w:r>
        <w:rPr>
          <w:rFonts w:hint="eastAsia" w:ascii="仿宋" w:hAnsi="仿宋" w:eastAsia="仿宋" w:cs="仿宋"/>
          <w:sz w:val="32"/>
          <w:szCs w:val="32"/>
          <w:lang w:val="en-US" w:eastAsia="zh-CN"/>
        </w:rPr>
        <w:t>.</w:t>
      </w:r>
      <w:r>
        <w:rPr>
          <w:rFonts w:hint="eastAsia" w:ascii="仿宋" w:hAnsi="仿宋" w:eastAsia="仿宋" w:cs="仿宋"/>
          <w:sz w:val="32"/>
          <w:szCs w:val="32"/>
        </w:rPr>
        <w:t xml:space="preserve">一般违法行为的表现情形：擅自设置5平方米(含5平方 米）以上10平方米(不含10平方米）以下、或者边长大于4米，小于等于6米的户外广告，且在责令期限内未改正的。 </w:t>
      </w:r>
    </w:p>
    <w:p w14:paraId="501ABD6A">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处罚基准：责令停止违法行为，限期清理、拆除或者采取其他补救措施，并处以500元以上1000元以下罚款。 </w:t>
      </w:r>
    </w:p>
    <w:p w14:paraId="422DA906">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3</w:t>
      </w:r>
      <w:r>
        <w:rPr>
          <w:rFonts w:hint="eastAsia" w:ascii="仿宋" w:hAnsi="仿宋" w:eastAsia="仿宋" w:cs="仿宋"/>
          <w:sz w:val="32"/>
          <w:szCs w:val="32"/>
          <w:lang w:val="en-US" w:eastAsia="zh-CN"/>
        </w:rPr>
        <w:t>.</w:t>
      </w:r>
      <w:r>
        <w:rPr>
          <w:rFonts w:hint="eastAsia" w:ascii="仿宋" w:hAnsi="仿宋" w:eastAsia="仿宋" w:cs="仿宋"/>
          <w:sz w:val="32"/>
          <w:szCs w:val="32"/>
        </w:rPr>
        <w:t xml:space="preserve">较重违法行为的表现情形：擅自设置10平方米（含10平方米)以上20平方米(不含20平方米）以下的、或者边长大于6米小于等于8米的户外广告，且在责令期限肉未改正的。 </w:t>
      </w:r>
    </w:p>
    <w:p w14:paraId="21F14B0E">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处罚基准：责令停止违法行为，限期清理、拆除或者采取其他补救措施，并处以1000元以上1500元以下罚款。 </w:t>
      </w:r>
    </w:p>
    <w:p w14:paraId="333E1201">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4</w:t>
      </w:r>
      <w:r>
        <w:rPr>
          <w:rFonts w:hint="eastAsia" w:ascii="仿宋" w:hAnsi="仿宋" w:eastAsia="仿宋" w:cs="仿宋"/>
          <w:sz w:val="32"/>
          <w:szCs w:val="32"/>
          <w:lang w:val="en-US" w:eastAsia="zh-CN"/>
        </w:rPr>
        <w:t>.</w:t>
      </w:r>
      <w:r>
        <w:rPr>
          <w:rFonts w:hint="eastAsia" w:ascii="仿宋" w:hAnsi="仿宋" w:eastAsia="仿宋" w:cs="仿宋"/>
          <w:sz w:val="32"/>
          <w:szCs w:val="32"/>
        </w:rPr>
        <w:t>严重违法行为的表现情形：擅自设置20平方米（含20平方米）以上的、或者边长大于8米的户外广告，且在责令期限内未改正的。</w:t>
      </w:r>
    </w:p>
    <w:p w14:paraId="2005E98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处罚基准：责令停止违法行为，限期清理、拆除或者采取其他补救措施，并处以1500元以上2000元以下罚款。</w:t>
      </w:r>
    </w:p>
    <w:p w14:paraId="48F374CA">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b/>
          <w:bCs/>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w:t>
      </w:r>
      <w:r>
        <w:rPr>
          <w:rFonts w:hint="eastAsia" w:ascii="楷体" w:hAnsi="楷体" w:eastAsia="楷体" w:cs="楷体"/>
          <w:b w:val="0"/>
          <w:bCs w:val="0"/>
          <w:sz w:val="32"/>
          <w:szCs w:val="32"/>
        </w:rPr>
        <w:t>（六）依据《永州市城市市容和环境卫生管理条例》违反第十七条裁量权基准</w:t>
      </w:r>
    </w:p>
    <w:p w14:paraId="41C62AEE">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第十七条市、县(区）人民政府可以根据社会实际需要和客观条件适当设置临时经营场所，并应当采取措施保持场所的整洁、有序。</w:t>
      </w:r>
    </w:p>
    <w:p w14:paraId="19F4DF9B">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经人民政府设置临时经营场所的区域，经营者应当遵循以下规定： </w:t>
      </w:r>
    </w:p>
    <w:p w14:paraId="39F7E41C">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（二）按照规定配备经营设施和卫生设施，保持整洁完好、摆放有序；</w:t>
      </w:r>
    </w:p>
    <w:p w14:paraId="5B3BBE84">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（三）按照规定处理废弃物和污水，保持地面清洁;</w:t>
      </w:r>
    </w:p>
    <w:p w14:paraId="3A5290FA">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四</w:t>
      </w:r>
      <w:r>
        <w:rPr>
          <w:rFonts w:hint="eastAsia" w:ascii="仿宋" w:hAnsi="仿宋" w:eastAsia="仿宋" w:cs="仿宋"/>
          <w:sz w:val="32"/>
          <w:szCs w:val="32"/>
          <w:lang w:eastAsia="zh-CN"/>
        </w:rPr>
        <w:t>）</w:t>
      </w:r>
      <w:r>
        <w:rPr>
          <w:rFonts w:hint="eastAsia" w:ascii="仿宋" w:hAnsi="仿宋" w:eastAsia="仿宋" w:cs="仿宋"/>
          <w:sz w:val="32"/>
          <w:szCs w:val="32"/>
        </w:rPr>
        <w:t>其他有关市容和环境卫生管理的规定。</w:t>
      </w:r>
    </w:p>
    <w:p w14:paraId="4BB854F2">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第三十五条有下列情形之一的，由城市管理部门责令改正，并按以下规定处罚： </w:t>
      </w:r>
    </w:p>
    <w:p w14:paraId="62BDE9D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（一）违反本条例第十七条第二款规定，拒不改正的，处一百元以上五百元以下罚款；</w:t>
      </w:r>
    </w:p>
    <w:p w14:paraId="2211607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违法行为情形和处罚基准：</w:t>
      </w:r>
    </w:p>
    <w:p w14:paraId="4101C020">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轻微违法行为的表现情形：未造成危害后果，在责令期限内改正的。</w:t>
      </w:r>
    </w:p>
    <w:p w14:paraId="58DDF91B">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处罚基淮：不予处罚。</w:t>
      </w:r>
    </w:p>
    <w:p w14:paraId="5105A053">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2</w:t>
      </w:r>
      <w:r>
        <w:rPr>
          <w:rFonts w:hint="eastAsia" w:ascii="仿宋" w:hAnsi="仿宋" w:eastAsia="仿宋" w:cs="仿宋"/>
          <w:sz w:val="32"/>
          <w:szCs w:val="32"/>
          <w:lang w:val="en-US" w:eastAsia="zh-CN"/>
        </w:rPr>
        <w:t>.</w:t>
      </w:r>
      <w:r>
        <w:rPr>
          <w:rFonts w:hint="eastAsia" w:ascii="仿宋" w:hAnsi="仿宋" w:eastAsia="仿宋" w:cs="仿宋"/>
          <w:sz w:val="32"/>
          <w:szCs w:val="32"/>
        </w:rPr>
        <w:t>一般违法行为的表现情形：在责令期限内未改正或改正未达到要求的。</w:t>
      </w:r>
    </w:p>
    <w:p w14:paraId="34E68912">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处罚基准：责令限期改正，处以50元以上200元以下的罚款。</w:t>
      </w:r>
    </w:p>
    <w:p w14:paraId="2E9A6FB9">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3</w:t>
      </w:r>
      <w:r>
        <w:rPr>
          <w:rFonts w:hint="eastAsia" w:ascii="仿宋" w:hAnsi="仿宋" w:eastAsia="仿宋" w:cs="仿宋"/>
          <w:sz w:val="32"/>
          <w:szCs w:val="32"/>
          <w:lang w:val="en-US" w:eastAsia="zh-CN"/>
        </w:rPr>
        <w:t>.</w:t>
      </w:r>
      <w:r>
        <w:rPr>
          <w:rFonts w:hint="eastAsia" w:ascii="仿宋" w:hAnsi="仿宋" w:eastAsia="仿宋" w:cs="仿宋"/>
          <w:sz w:val="32"/>
          <w:szCs w:val="32"/>
        </w:rPr>
        <w:t>较重违法行为的表现情形：被依法查处多次的。</w:t>
      </w:r>
    </w:p>
    <w:p w14:paraId="6B31C0E4">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处罚基准：责令限期改正，200元到500元以下罚款。 </w:t>
      </w:r>
    </w:p>
    <w:p w14:paraId="60568B0F">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楷体" w:hAnsi="楷体" w:eastAsia="楷体" w:cs="楷体"/>
          <w:b w:val="0"/>
          <w:bCs w:val="0"/>
          <w:sz w:val="32"/>
          <w:szCs w:val="32"/>
        </w:rPr>
        <w:t xml:space="preserve">（七）依据《永州市城市市容和环境卫生管理条例》违反第二十三条裁量权基准 </w:t>
      </w:r>
    </w:p>
    <w:p w14:paraId="29F6ACEC">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第二十三条末经城市管理部门同意，不得擅自改交环境卫生设施用途，不得侵占、损坏、拆迁、封闭环境卫生设施。 </w:t>
      </w:r>
    </w:p>
    <w:p w14:paraId="12046685">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第四十条违反本条例第二十三条第一款规定，除责令其纠 正违法行为、采取补救措施外，可以处二千元以上一万元以下罚款；造成损失的，依法承担赔偿责任。</w:t>
      </w:r>
    </w:p>
    <w:p w14:paraId="479EC6AF">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违法行为情形和处罚基准： </w:t>
      </w:r>
    </w:p>
    <w:p w14:paraId="094C9F5B">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1.轻微违法行为的表现情形：未造成危害后果，在</w:t>
      </w:r>
      <w:r>
        <w:rPr>
          <w:rFonts w:hint="eastAsia" w:ascii="仿宋" w:hAnsi="仿宋" w:eastAsia="仿宋" w:cs="仿宋"/>
          <w:sz w:val="32"/>
          <w:szCs w:val="32"/>
          <w:lang w:val="en-US" w:eastAsia="zh-CN"/>
        </w:rPr>
        <w:t>责令</w:t>
      </w:r>
      <w:r>
        <w:rPr>
          <w:rFonts w:hint="eastAsia" w:ascii="仿宋" w:hAnsi="仿宋" w:eastAsia="仿宋" w:cs="仿宋"/>
          <w:sz w:val="32"/>
          <w:szCs w:val="32"/>
        </w:rPr>
        <w:t>期限内改正的。</w:t>
      </w:r>
    </w:p>
    <w:p w14:paraId="7A839FAD">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处罚基准：不予处罚。 </w:t>
      </w:r>
    </w:p>
    <w:p w14:paraId="37FA623D">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2</w:t>
      </w:r>
      <w:r>
        <w:rPr>
          <w:rFonts w:hint="eastAsia" w:ascii="仿宋" w:hAnsi="仿宋" w:eastAsia="仿宋" w:cs="仿宋"/>
          <w:sz w:val="32"/>
          <w:szCs w:val="32"/>
          <w:lang w:val="en-US" w:eastAsia="zh-CN"/>
        </w:rPr>
        <w:t>.</w:t>
      </w:r>
      <w:r>
        <w:rPr>
          <w:rFonts w:hint="eastAsia" w:ascii="仿宋" w:hAnsi="仿宋" w:eastAsia="仿宋" w:cs="仿宋"/>
          <w:sz w:val="32"/>
          <w:szCs w:val="32"/>
        </w:rPr>
        <w:t>一般违法行为的表现情形：造成一定危害后果，在</w:t>
      </w:r>
      <w:r>
        <w:rPr>
          <w:rFonts w:hint="eastAsia" w:ascii="仿宋" w:hAnsi="仿宋" w:eastAsia="仿宋" w:cs="仿宋"/>
          <w:sz w:val="32"/>
          <w:szCs w:val="32"/>
          <w:lang w:val="en-US" w:eastAsia="zh-CN"/>
        </w:rPr>
        <w:t>责令</w:t>
      </w:r>
      <w:r>
        <w:rPr>
          <w:rFonts w:hint="eastAsia" w:ascii="仿宋" w:hAnsi="仿宋" w:eastAsia="仿宋" w:cs="仿宋"/>
          <w:sz w:val="32"/>
          <w:szCs w:val="32"/>
        </w:rPr>
        <w:t>期限内改正的。</w:t>
      </w:r>
    </w:p>
    <w:p w14:paraId="7FC01506">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处罚基准：赔偿所造成损失，并对个人处以2000元到3000元以下罚款，对单位处以3000元以上4000元以下罚款。</w:t>
      </w:r>
    </w:p>
    <w:p w14:paraId="3B3BAEA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3</w:t>
      </w:r>
      <w:r>
        <w:rPr>
          <w:rFonts w:hint="eastAsia" w:ascii="仿宋" w:hAnsi="仿宋" w:eastAsia="仿宋" w:cs="仿宋"/>
          <w:sz w:val="32"/>
          <w:szCs w:val="32"/>
          <w:lang w:val="en-US" w:eastAsia="zh-CN"/>
        </w:rPr>
        <w:t>.</w:t>
      </w:r>
      <w:r>
        <w:rPr>
          <w:rFonts w:hint="eastAsia" w:ascii="仿宋" w:hAnsi="仿宋" w:eastAsia="仿宋" w:cs="仿宋"/>
          <w:sz w:val="32"/>
          <w:szCs w:val="32"/>
        </w:rPr>
        <w:t>较重违法行为的表现情形：在责令期限内未改正或改正未达到要求的。</w:t>
      </w:r>
    </w:p>
    <w:p w14:paraId="74D8C34E">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处罚基准：责令限期改正，赔偿所造成损失，并对个人处以3000元到5000元以下罚款，对单位处以4000元以上7000元以</w:t>
      </w:r>
    </w:p>
    <w:p w14:paraId="6988C643">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下罚款。</w:t>
      </w:r>
    </w:p>
    <w:p w14:paraId="26E94865">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4</w:t>
      </w:r>
      <w:r>
        <w:rPr>
          <w:rFonts w:hint="eastAsia" w:ascii="仿宋" w:hAnsi="仿宋" w:eastAsia="仿宋" w:cs="仿宋"/>
          <w:sz w:val="32"/>
          <w:szCs w:val="32"/>
          <w:lang w:val="en-US" w:eastAsia="zh-CN"/>
        </w:rPr>
        <w:t>.</w:t>
      </w:r>
      <w:r>
        <w:rPr>
          <w:rFonts w:hint="eastAsia" w:ascii="仿宋" w:hAnsi="仿宋" w:eastAsia="仿宋" w:cs="仿宋"/>
          <w:sz w:val="32"/>
          <w:szCs w:val="32"/>
        </w:rPr>
        <w:t>严重违法行为的表现情形：被依法查处两次或以上的。</w:t>
      </w:r>
    </w:p>
    <w:p w14:paraId="12DC1ABD">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处罚基准：责令限期改正，赔偿所造成损失，并对个人处以5000元到10000元以下罚款，对单位处以7000元以上10000元以下罚款。 </w:t>
      </w:r>
    </w:p>
    <w:p w14:paraId="0E66FC9B">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《中华人民共和国大气污染防治法》有关条款的行政处罚裁量权基准</w:t>
      </w:r>
    </w:p>
    <w:p w14:paraId="40550462">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《中华人民共和国大气污染防治法》第一百一十五条行政处罚裁量</w:t>
      </w:r>
      <w:r>
        <w:rPr>
          <w:rFonts w:hint="eastAsia" w:ascii="楷体" w:hAnsi="楷体" w:eastAsia="楷体" w:cs="楷体"/>
          <w:b w:val="0"/>
          <w:bCs w:val="0"/>
          <w:sz w:val="32"/>
          <w:szCs w:val="32"/>
          <w:lang w:val="en-US" w:eastAsia="zh-CN"/>
        </w:rPr>
        <w:t>权</w:t>
      </w:r>
      <w:r>
        <w:rPr>
          <w:rFonts w:hint="eastAsia" w:ascii="楷体" w:hAnsi="楷体" w:eastAsia="楷体" w:cs="楷体"/>
          <w:b w:val="0"/>
          <w:bCs w:val="0"/>
          <w:sz w:val="32"/>
          <w:szCs w:val="32"/>
        </w:rPr>
        <w:t xml:space="preserve">基准 </w:t>
      </w:r>
    </w:p>
    <w:p w14:paraId="0B2B9BE2">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第一百一十五条违反本法规定，施工单位有下列行为之一 的，由县级以上人民政府住房城乡建设等主管部门按照职责责令改正，处一万元以上十万元以下的罚款；拒不改正的，责令停工整治： </w:t>
      </w:r>
    </w:p>
    <w:p w14:paraId="2A8F0F1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（一）施工工地未设置硬质围挡，或者未采取覆盖、分段作 业、择时施工、酒水抑尘、冲洗地面和车辆等有效防尘降尘措施的；</w:t>
      </w:r>
    </w:p>
    <w:p w14:paraId="2D792229">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建筑土方、工程渣土、建筑垃圾未及时清远，或者未采用密闲式防尘网遮盖的。</w:t>
      </w:r>
    </w:p>
    <w:p w14:paraId="581CB40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违法行为情形和处罚基准： </w:t>
      </w:r>
    </w:p>
    <w:p w14:paraId="0A29CA04">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1.一般违法行为的表现情形：防尘降尘措施设置不到位，未产生扬尘污染或产生轻微扬尘污染及时整改并且纠正违法行为</w:t>
      </w:r>
      <w:r>
        <w:rPr>
          <w:rFonts w:hint="eastAsia" w:ascii="仿宋" w:hAnsi="仿宋" w:eastAsia="仿宋" w:cs="仿宋"/>
          <w:sz w:val="32"/>
          <w:szCs w:val="32"/>
          <w:lang w:eastAsia="zh-CN"/>
        </w:rPr>
        <w:t>，</w:t>
      </w:r>
      <w:r>
        <w:rPr>
          <w:rFonts w:hint="eastAsia" w:ascii="仿宋" w:hAnsi="仿宋" w:eastAsia="仿宋" w:cs="仿宋"/>
          <w:sz w:val="32"/>
          <w:szCs w:val="32"/>
        </w:rPr>
        <w:t>未造成危害后果的。</w:t>
      </w:r>
    </w:p>
    <w:p w14:paraId="2FBA8412">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处罚基准：处1万元以上3万元以下的罚款。       </w:t>
      </w:r>
    </w:p>
    <w:p w14:paraId="3F1660E4">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2</w:t>
      </w:r>
      <w:r>
        <w:rPr>
          <w:rFonts w:hint="eastAsia" w:ascii="仿宋" w:hAnsi="仿宋" w:eastAsia="仿宋" w:cs="仿宋"/>
          <w:sz w:val="32"/>
          <w:szCs w:val="32"/>
          <w:lang w:val="en-US" w:eastAsia="zh-CN"/>
        </w:rPr>
        <w:t>.</w:t>
      </w:r>
      <w:r>
        <w:rPr>
          <w:rFonts w:hint="eastAsia" w:ascii="仿宋" w:hAnsi="仿宋" w:eastAsia="仿宋" w:cs="仿宋"/>
          <w:sz w:val="32"/>
          <w:szCs w:val="32"/>
        </w:rPr>
        <w:t>较重违法行为的表现情形：防尘降尘措施设置不到位，产生较重扬尘污染且未限期整改到位的。</w:t>
      </w:r>
    </w:p>
    <w:p w14:paraId="06F2F07B">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处罚基准：责令限期改正，处3万元以上7万元以下罚款。 </w:t>
      </w:r>
    </w:p>
    <w:p w14:paraId="58EBE4E6">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3.严重违法行为的表现情形：防尘降尘措施设置不到位， 拒不整改或多次整改不到位，造成环境污染、较大影响等严重情节的。</w:t>
      </w:r>
    </w:p>
    <w:p w14:paraId="780E23AE">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处罚基准：责令限期改正，处</w:t>
      </w:r>
      <w:r>
        <w:rPr>
          <w:rFonts w:hint="eastAsia" w:ascii="仿宋" w:hAnsi="仿宋" w:eastAsia="仿宋" w:cs="仿宋"/>
          <w:sz w:val="32"/>
          <w:szCs w:val="32"/>
          <w:lang w:val="en-US" w:eastAsia="zh-CN"/>
        </w:rPr>
        <w:t>7</w:t>
      </w:r>
      <w:r>
        <w:rPr>
          <w:rFonts w:hint="eastAsia" w:ascii="仿宋" w:hAnsi="仿宋" w:eastAsia="仿宋" w:cs="仿宋"/>
          <w:sz w:val="32"/>
          <w:szCs w:val="32"/>
        </w:rPr>
        <w:t>万元以上10万元以下罚款。</w:t>
      </w:r>
    </w:p>
    <w:sectPr>
      <w:footerReference r:id="rId3"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7ABC9">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749EC36D">
                          <w:pPr>
                            <w:pStyle w:val="2"/>
                            <w:rPr>
                              <w:rFonts w:hint="eastAsia" w:ascii="宋体" w:hAnsi="宋体" w:eastAsia="宋体" w:cs="宋体"/>
                              <w:sz w:val="28"/>
                              <w:szCs w:val="44"/>
                            </w:rPr>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NJWO7QAAAABQEAAA8A&#10;AAAAAAAAAQAgAAAAIgAAAGRycy9kb3ducmV2LnhtbFBLAQIUABQAAAAIAIdO4kDuVCfm5gEAAMcD&#10;AAAOAAAAAAAAAAEAIAAAAB8BAABkcnMvZTJvRG9jLnhtbFBLBQYAAAAABgAGAFkBAAB3BQAAAAA=&#10;">
              <v:fill on="f" focussize="0,0"/>
              <v:stroke on="f" weight="0.5pt"/>
              <v:imagedata o:title=""/>
              <o:lock v:ext="edit" aspectratio="f"/>
              <v:textbox inset="0mm,0mm,0mm,0mm" style="mso-fit-shape-to-text:t;">
                <w:txbxContent>
                  <w:p w14:paraId="749EC36D">
                    <w:pPr>
                      <w:pStyle w:val="2"/>
                      <w:rPr>
                        <w:rFonts w:hint="eastAsia" w:ascii="宋体" w:hAnsi="宋体" w:eastAsia="宋体" w:cs="宋体"/>
                        <w:sz w:val="28"/>
                        <w:szCs w:val="44"/>
                      </w:rPr>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kYWQ2ODEyZmI5N2U4YWFiODVkNGEyMzlkNGNiOGQifQ=="/>
  </w:docVars>
  <w:rsids>
    <w:rsidRoot w:val="00000000"/>
    <w:rsid w:val="01BB1F81"/>
    <w:rsid w:val="033F6241"/>
    <w:rsid w:val="03C350C4"/>
    <w:rsid w:val="04A7273B"/>
    <w:rsid w:val="04F27A0F"/>
    <w:rsid w:val="06194368"/>
    <w:rsid w:val="07220DB9"/>
    <w:rsid w:val="0D112C37"/>
    <w:rsid w:val="11230F50"/>
    <w:rsid w:val="12C329EB"/>
    <w:rsid w:val="13E26EA1"/>
    <w:rsid w:val="154C4F1A"/>
    <w:rsid w:val="164E227A"/>
    <w:rsid w:val="1834423A"/>
    <w:rsid w:val="20283F6A"/>
    <w:rsid w:val="25185FDE"/>
    <w:rsid w:val="28D22CBE"/>
    <w:rsid w:val="2F865420"/>
    <w:rsid w:val="436A4639"/>
    <w:rsid w:val="4BB5041C"/>
    <w:rsid w:val="4C6F0EBF"/>
    <w:rsid w:val="4EA12ED9"/>
    <w:rsid w:val="52E70780"/>
    <w:rsid w:val="565005FD"/>
    <w:rsid w:val="591E5852"/>
    <w:rsid w:val="5A2F6537"/>
    <w:rsid w:val="5C703891"/>
    <w:rsid w:val="5CF54B1C"/>
    <w:rsid w:val="5D0C00B7"/>
    <w:rsid w:val="5F4D6E91"/>
    <w:rsid w:val="6B9076CD"/>
    <w:rsid w:val="6C09749B"/>
    <w:rsid w:val="6D5F72F2"/>
    <w:rsid w:val="6DB4457F"/>
    <w:rsid w:val="6FDB2297"/>
    <w:rsid w:val="7EE73788"/>
    <w:rsid w:val="7F7757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8383</Words>
  <Characters>8733</Characters>
  <Lines>0</Lines>
  <Paragraphs>0</Paragraphs>
  <TotalTime>3</TotalTime>
  <ScaleCrop>false</ScaleCrop>
  <LinksUpToDate>false</LinksUpToDate>
  <CharactersWithSpaces>9526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再来一杯冰可乐</cp:lastModifiedBy>
  <cp:lastPrinted>2023-05-09T09:06:20Z</cp:lastPrinted>
  <dcterms:modified xsi:type="dcterms:W3CDTF">2025-06-04T01:51:11Z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08278BFE270844CC949365A536ED0CE7_13</vt:lpwstr>
  </property>
  <property fmtid="{D5CDD505-2E9C-101B-9397-08002B2CF9AE}" pid="4" name="KSOTemplateDocerSaveRecord">
    <vt:lpwstr>eyJoZGlkIjoiNGYzZmRmNzg5MGU3NDIxNjA4MWNhNWU4ZWY0ZTcyMGEiLCJ1c2VySWQiOiI2NjkxMDYyOTcifQ==</vt:lpwstr>
  </property>
</Properties>
</file>