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981D2" w14:textId="77777777" w:rsidR="00600FFD" w:rsidRDefault="00000000">
      <w:pPr>
        <w:jc w:val="center"/>
        <w:rPr>
          <w:rFonts w:eastAsia="方正小标宋_GBK"/>
          <w:sz w:val="48"/>
          <w:szCs w:val="48"/>
        </w:rPr>
      </w:pPr>
      <w:r>
        <w:rPr>
          <w:rFonts w:eastAsia="方正小标宋_GBK" w:hint="eastAsia"/>
          <w:sz w:val="48"/>
          <w:szCs w:val="48"/>
        </w:rPr>
        <w:t>2022</w:t>
      </w:r>
      <w:r>
        <w:rPr>
          <w:rFonts w:eastAsia="方正小标宋_GBK"/>
          <w:sz w:val="48"/>
          <w:szCs w:val="48"/>
        </w:rPr>
        <w:t>年度</w:t>
      </w:r>
      <w:r>
        <w:rPr>
          <w:rFonts w:eastAsia="方正小标宋_GBK" w:hint="eastAsia"/>
          <w:sz w:val="48"/>
          <w:szCs w:val="48"/>
        </w:rPr>
        <w:t>零陵区卫生计生综合监督执法局</w:t>
      </w:r>
      <w:r>
        <w:rPr>
          <w:rFonts w:eastAsia="方正小标宋_GBK"/>
          <w:sz w:val="48"/>
          <w:szCs w:val="48"/>
        </w:rPr>
        <w:t>部门（单位）整体支出</w:t>
      </w:r>
    </w:p>
    <w:p w14:paraId="1A763D24" w14:textId="77777777" w:rsidR="00600FFD" w:rsidRDefault="00000000">
      <w:pPr>
        <w:jc w:val="center"/>
        <w:rPr>
          <w:rFonts w:eastAsia="方正小标宋_GBK"/>
          <w:sz w:val="48"/>
          <w:szCs w:val="48"/>
        </w:rPr>
      </w:pPr>
      <w:r>
        <w:rPr>
          <w:rFonts w:eastAsia="方正小标宋_GBK"/>
          <w:sz w:val="48"/>
          <w:szCs w:val="48"/>
        </w:rPr>
        <w:t>绩效自评报告</w:t>
      </w:r>
    </w:p>
    <w:p w14:paraId="45145E7A" w14:textId="77777777" w:rsidR="00600FFD" w:rsidRDefault="00600FFD">
      <w:pPr>
        <w:jc w:val="center"/>
        <w:rPr>
          <w:rFonts w:eastAsia="黑体"/>
          <w:sz w:val="32"/>
          <w:szCs w:val="32"/>
        </w:rPr>
      </w:pPr>
    </w:p>
    <w:p w14:paraId="39794457" w14:textId="77777777" w:rsidR="00600FFD" w:rsidRDefault="00600FFD">
      <w:pPr>
        <w:jc w:val="center"/>
        <w:rPr>
          <w:rFonts w:eastAsia="黑体"/>
          <w:sz w:val="32"/>
          <w:szCs w:val="32"/>
        </w:rPr>
      </w:pPr>
    </w:p>
    <w:p w14:paraId="7C3F8529" w14:textId="77777777" w:rsidR="00600FFD" w:rsidRDefault="00600FFD">
      <w:pPr>
        <w:jc w:val="center"/>
        <w:rPr>
          <w:rFonts w:eastAsia="黑体"/>
          <w:sz w:val="32"/>
          <w:szCs w:val="32"/>
        </w:rPr>
      </w:pPr>
    </w:p>
    <w:p w14:paraId="2BE461A5" w14:textId="77777777" w:rsidR="00600FFD" w:rsidRDefault="00600FFD">
      <w:pPr>
        <w:jc w:val="center"/>
        <w:rPr>
          <w:rFonts w:eastAsia="黑体"/>
          <w:sz w:val="32"/>
          <w:szCs w:val="32"/>
        </w:rPr>
      </w:pPr>
    </w:p>
    <w:p w14:paraId="7382B235" w14:textId="77777777" w:rsidR="00600FFD" w:rsidRDefault="00600FFD">
      <w:pPr>
        <w:jc w:val="center"/>
        <w:rPr>
          <w:rFonts w:eastAsia="黑体"/>
          <w:sz w:val="32"/>
          <w:szCs w:val="32"/>
        </w:rPr>
      </w:pPr>
    </w:p>
    <w:p w14:paraId="77FB8F17" w14:textId="77777777" w:rsidR="00600FFD" w:rsidRDefault="00600FFD">
      <w:pPr>
        <w:jc w:val="center"/>
        <w:rPr>
          <w:rFonts w:eastAsia="黑体"/>
          <w:sz w:val="32"/>
          <w:szCs w:val="32"/>
        </w:rPr>
      </w:pPr>
    </w:p>
    <w:p w14:paraId="08AD5EAB" w14:textId="77777777" w:rsidR="00600FFD" w:rsidRDefault="00600FFD">
      <w:pPr>
        <w:jc w:val="center"/>
        <w:rPr>
          <w:rFonts w:eastAsia="黑体"/>
          <w:sz w:val="32"/>
          <w:szCs w:val="32"/>
        </w:rPr>
      </w:pPr>
    </w:p>
    <w:p w14:paraId="7E157C97" w14:textId="77777777" w:rsidR="00600FFD" w:rsidRDefault="00600FFD">
      <w:pPr>
        <w:ind w:firstLineChars="200" w:firstLine="880"/>
        <w:jc w:val="center"/>
        <w:rPr>
          <w:rFonts w:eastAsia="黑体"/>
          <w:sz w:val="44"/>
          <w:szCs w:val="44"/>
        </w:rPr>
      </w:pPr>
    </w:p>
    <w:p w14:paraId="1959AF15" w14:textId="77777777" w:rsidR="00600FFD" w:rsidRDefault="00600FFD">
      <w:pPr>
        <w:ind w:firstLineChars="200" w:firstLine="880"/>
        <w:jc w:val="center"/>
        <w:rPr>
          <w:rFonts w:eastAsia="黑体"/>
          <w:sz w:val="44"/>
          <w:szCs w:val="44"/>
        </w:rPr>
      </w:pPr>
    </w:p>
    <w:p w14:paraId="209E86C8" w14:textId="77777777" w:rsidR="00600FFD" w:rsidRDefault="00600FFD">
      <w:pPr>
        <w:ind w:firstLineChars="200" w:firstLine="880"/>
        <w:jc w:val="center"/>
        <w:rPr>
          <w:rFonts w:eastAsia="黑体"/>
          <w:sz w:val="44"/>
          <w:szCs w:val="44"/>
        </w:rPr>
      </w:pPr>
    </w:p>
    <w:p w14:paraId="7CA56B70" w14:textId="77777777" w:rsidR="00600FFD" w:rsidRDefault="00000000">
      <w:pPr>
        <w:ind w:firstLineChars="200" w:firstLine="720"/>
        <w:jc w:val="center"/>
        <w:rPr>
          <w:rFonts w:eastAsia="黑体"/>
          <w:sz w:val="36"/>
          <w:szCs w:val="36"/>
        </w:rPr>
      </w:pPr>
      <w:r>
        <w:rPr>
          <w:rFonts w:eastAsia="黑体"/>
          <w:sz w:val="36"/>
          <w:szCs w:val="36"/>
        </w:rPr>
        <w:t>单位名称（盖章）：</w:t>
      </w:r>
    </w:p>
    <w:p w14:paraId="71179E25" w14:textId="77777777" w:rsidR="00600FFD" w:rsidRDefault="00600FFD">
      <w:pPr>
        <w:jc w:val="center"/>
        <w:rPr>
          <w:rFonts w:eastAsia="仿宋_GB2312"/>
          <w:sz w:val="32"/>
          <w:szCs w:val="32"/>
        </w:rPr>
      </w:pPr>
    </w:p>
    <w:p w14:paraId="321AF863" w14:textId="77777777" w:rsidR="00600FFD" w:rsidRDefault="00600FFD">
      <w:pPr>
        <w:jc w:val="center"/>
        <w:rPr>
          <w:rFonts w:eastAsia="仿宋_GB2312"/>
          <w:sz w:val="32"/>
          <w:szCs w:val="32"/>
        </w:rPr>
      </w:pPr>
    </w:p>
    <w:p w14:paraId="4FB7CD0C" w14:textId="77777777" w:rsidR="00600FFD" w:rsidRDefault="00600FFD">
      <w:pPr>
        <w:jc w:val="center"/>
        <w:rPr>
          <w:rFonts w:eastAsia="黑体"/>
          <w:sz w:val="36"/>
          <w:szCs w:val="36"/>
        </w:rPr>
      </w:pPr>
    </w:p>
    <w:p w14:paraId="59423274" w14:textId="77777777" w:rsidR="00600FFD" w:rsidRDefault="00600FFD">
      <w:pPr>
        <w:jc w:val="center"/>
        <w:rPr>
          <w:rFonts w:eastAsia="黑体"/>
          <w:sz w:val="32"/>
          <w:szCs w:val="32"/>
        </w:rPr>
      </w:pPr>
    </w:p>
    <w:p w14:paraId="5B9677F6" w14:textId="77777777" w:rsidR="00600FFD" w:rsidRDefault="00600FFD">
      <w:pPr>
        <w:spacing w:line="600" w:lineRule="exact"/>
        <w:ind w:firstLineChars="200" w:firstLine="640"/>
        <w:rPr>
          <w:rFonts w:eastAsia="黑体"/>
          <w:sz w:val="32"/>
          <w:szCs w:val="32"/>
        </w:rPr>
      </w:pPr>
    </w:p>
    <w:p w14:paraId="368500D1" w14:textId="77777777" w:rsidR="00600FFD" w:rsidRDefault="00600FFD">
      <w:pPr>
        <w:spacing w:line="600" w:lineRule="exact"/>
        <w:ind w:firstLineChars="200" w:firstLine="640"/>
        <w:rPr>
          <w:rFonts w:eastAsia="黑体"/>
          <w:sz w:val="32"/>
          <w:szCs w:val="32"/>
        </w:rPr>
      </w:pPr>
    </w:p>
    <w:p w14:paraId="277D33B6" w14:textId="77777777" w:rsidR="00600FFD" w:rsidRDefault="00600FFD">
      <w:pPr>
        <w:spacing w:line="600" w:lineRule="exact"/>
        <w:ind w:firstLineChars="200" w:firstLine="640"/>
        <w:rPr>
          <w:rFonts w:eastAsia="黑体"/>
          <w:sz w:val="32"/>
          <w:szCs w:val="32"/>
        </w:rPr>
      </w:pPr>
    </w:p>
    <w:p w14:paraId="0935822C" w14:textId="77777777" w:rsidR="00600FFD" w:rsidRDefault="00600FFD">
      <w:pPr>
        <w:spacing w:line="600" w:lineRule="exact"/>
        <w:ind w:firstLineChars="200" w:firstLine="640"/>
        <w:rPr>
          <w:rFonts w:eastAsia="黑体"/>
          <w:sz w:val="32"/>
          <w:szCs w:val="32"/>
        </w:rPr>
      </w:pPr>
    </w:p>
    <w:p w14:paraId="64CF762C" w14:textId="77777777" w:rsidR="00600FFD" w:rsidRDefault="00600FFD">
      <w:pPr>
        <w:spacing w:line="600" w:lineRule="exact"/>
        <w:ind w:firstLineChars="200" w:firstLine="640"/>
        <w:rPr>
          <w:rFonts w:eastAsia="黑体"/>
          <w:sz w:val="32"/>
          <w:szCs w:val="32"/>
        </w:rPr>
      </w:pPr>
    </w:p>
    <w:p w14:paraId="05F56BED" w14:textId="77777777" w:rsidR="00600FFD" w:rsidRDefault="00600FFD">
      <w:pPr>
        <w:spacing w:line="600" w:lineRule="exact"/>
        <w:ind w:firstLineChars="200" w:firstLine="640"/>
        <w:rPr>
          <w:rFonts w:eastAsia="黑体"/>
          <w:sz w:val="32"/>
          <w:szCs w:val="32"/>
        </w:rPr>
      </w:pPr>
    </w:p>
    <w:p w14:paraId="333A12D4" w14:textId="77777777" w:rsidR="00600FFD" w:rsidRDefault="00600FFD">
      <w:pPr>
        <w:spacing w:line="600" w:lineRule="exact"/>
        <w:ind w:firstLineChars="200" w:firstLine="640"/>
        <w:rPr>
          <w:rFonts w:eastAsia="黑体"/>
          <w:sz w:val="32"/>
          <w:szCs w:val="32"/>
        </w:rPr>
      </w:pPr>
    </w:p>
    <w:p w14:paraId="55F11D8A" w14:textId="77777777" w:rsidR="00600FFD" w:rsidRDefault="00600FFD">
      <w:pPr>
        <w:spacing w:line="600" w:lineRule="exact"/>
        <w:ind w:firstLineChars="200" w:firstLine="640"/>
        <w:rPr>
          <w:rFonts w:eastAsia="黑体"/>
          <w:sz w:val="32"/>
          <w:szCs w:val="32"/>
        </w:rPr>
      </w:pPr>
    </w:p>
    <w:p w14:paraId="1E071EC3" w14:textId="77777777" w:rsidR="00600FFD" w:rsidRDefault="00600FFD">
      <w:pPr>
        <w:spacing w:line="600" w:lineRule="exact"/>
        <w:ind w:firstLineChars="200" w:firstLine="640"/>
        <w:rPr>
          <w:rFonts w:eastAsia="黑体"/>
          <w:sz w:val="32"/>
          <w:szCs w:val="32"/>
        </w:rPr>
      </w:pPr>
    </w:p>
    <w:p w14:paraId="1233DA56" w14:textId="77777777" w:rsidR="00600FFD" w:rsidRDefault="00000000">
      <w:pPr>
        <w:spacing w:line="600" w:lineRule="exact"/>
        <w:ind w:firstLineChars="200" w:firstLine="640"/>
        <w:rPr>
          <w:rFonts w:eastAsia="黑体"/>
          <w:sz w:val="32"/>
          <w:szCs w:val="32"/>
        </w:rPr>
      </w:pPr>
      <w:r>
        <w:rPr>
          <w:rFonts w:eastAsia="黑体"/>
          <w:sz w:val="32"/>
          <w:szCs w:val="32"/>
        </w:rPr>
        <w:lastRenderedPageBreak/>
        <w:t>一、基本情况</w:t>
      </w:r>
    </w:p>
    <w:p w14:paraId="6A4BD142" w14:textId="77777777" w:rsidR="00600FFD" w:rsidRDefault="00000000">
      <w:pPr>
        <w:adjustRightInd w:val="0"/>
        <w:snapToGrid w:val="0"/>
        <w:spacing w:line="240" w:lineRule="atLeast"/>
        <w:ind w:firstLineChars="200" w:firstLine="640"/>
        <w:rPr>
          <w:rFonts w:eastAsia="黑体"/>
          <w:sz w:val="32"/>
          <w:szCs w:val="32"/>
        </w:rPr>
      </w:pPr>
      <w:r>
        <w:rPr>
          <w:rFonts w:eastAsia="黑体" w:hint="eastAsia"/>
          <w:sz w:val="32"/>
          <w:szCs w:val="32"/>
        </w:rPr>
        <w:t>一、部门概况</w:t>
      </w:r>
    </w:p>
    <w:p w14:paraId="79A7BDC5"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本单位是公益一类事业单位，核定编制46名，实有在职人员44人。退休人员9人。内设8个职能股室：办公室、稽查股、财务股、</w:t>
      </w:r>
      <w:r>
        <w:rPr>
          <w:rFonts w:ascii="仿宋_GB2312" w:eastAsia="仿宋_GB2312" w:hAnsi="仿宋_GB2312" w:cs="仿宋_GB2312" w:hint="eastAsia"/>
          <w:sz w:val="30"/>
          <w:szCs w:val="32"/>
        </w:rPr>
        <w:t>信息与法制宣传股、医疗机构与传染病防治监督股、公共场所监督股、学校卫生监督股、职业卫生监督股</w:t>
      </w:r>
      <w:r>
        <w:rPr>
          <w:rFonts w:ascii="仿宋" w:eastAsia="仿宋" w:hAnsi="仿宋" w:hint="eastAsia"/>
          <w:sz w:val="28"/>
          <w:szCs w:val="28"/>
        </w:rPr>
        <w:t>。本单位职能为：</w:t>
      </w:r>
    </w:p>
    <w:p w14:paraId="332824E1"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（一）贯彻执行国家、省、市卫生和计划生育法律、法规、规章；实施全区卫生计生综合监督执法工作规划、年度计划。</w:t>
      </w:r>
    </w:p>
    <w:p w14:paraId="261B9E63"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（二）负责组织实施全区卫生计生日常监督检查和专项整治工作。</w:t>
      </w:r>
    </w:p>
    <w:p w14:paraId="0C97FCDB"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（三）负责对全区公共场所卫生、生活饮用水、学校卫生及消毒产品和涉及饮用水卫生安全产品的监督检查。</w:t>
      </w:r>
    </w:p>
    <w:p w14:paraId="3DCC1C93"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（四）负责对全区医疗机构、采供血机构及其从业人员的执业活动的监督检查，查处违法行为。</w:t>
      </w:r>
    </w:p>
    <w:p w14:paraId="5A710406"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（五）打击非法行医和非法采供血，整顿和规范医疗服务秩序。</w:t>
      </w:r>
    </w:p>
    <w:p w14:paraId="3CB4451A"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（六）对医疗卫生机构的放射诊疗、职业健康检查和职业病诊断工作进行监督检查，查处违法行为。</w:t>
      </w:r>
    </w:p>
    <w:p w14:paraId="6ACBD800"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（七）对医疗机构、采供血机构、疾病预防控制机构的传染病疫情报告、疫情控制措施、消毒隔离制度执行情况、医疗废物处置情况和菌（毒）种管理情况等进行监督检查，查处违法行为。</w:t>
      </w:r>
    </w:p>
    <w:p w14:paraId="292A64DF"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（八）对母婴保健机构、计划生育技术服务机构服务内容和从业人员的行为规范进行监督，依法打击“非医学需要的胎儿性别鉴定和非医学需要选择性别的人工终止妊娠”（以下简称“两非”）行为。</w:t>
      </w:r>
    </w:p>
    <w:p w14:paraId="5A6C9601"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（九）负责计划生育社会抚养费征收及违法违纪案件的督查督办。</w:t>
      </w:r>
    </w:p>
    <w:p w14:paraId="12C379C9"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（十）对乡镇卫生计生综合监督执法进行指导和督查，对监督协管员进行业务培训、业务指导。</w:t>
      </w:r>
    </w:p>
    <w:p w14:paraId="7023CA31"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（十一）负责行政区域内卫生计生监督信息的收集、核实和上报。</w:t>
      </w:r>
    </w:p>
    <w:p w14:paraId="2810A028"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（十二）受理有关卫生和计划生育的举报投诉，依法进行查处。</w:t>
      </w:r>
    </w:p>
    <w:p w14:paraId="20DCD6CE"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（十三）组织开展卫生计生法律法规宣传教育和执法检查。</w:t>
      </w:r>
    </w:p>
    <w:p w14:paraId="5329601F"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（十四）完成区卫生计生行政部门、区中医药管理部门交办的食品安全、中医药监督等相关工作及职责范围内的工作。</w:t>
      </w:r>
    </w:p>
    <w:p w14:paraId="75596372"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（十五）完成区委、区政府和区卫生健康行政部门交办的其他工作任务。</w:t>
      </w:r>
    </w:p>
    <w:p w14:paraId="0148F29F" w14:textId="77777777" w:rsidR="00600FFD" w:rsidRDefault="00000000">
      <w:pPr>
        <w:pStyle w:val="Style1"/>
        <w:spacing w:line="600" w:lineRule="exact"/>
        <w:ind w:firstLine="640"/>
        <w:rPr>
          <w:rFonts w:ascii="Times New Roman" w:eastAsia="黑体" w:hAnsi="Times New Roman"/>
          <w:sz w:val="32"/>
          <w:szCs w:val="32"/>
        </w:rPr>
      </w:pPr>
      <w:r>
        <w:rPr>
          <w:rFonts w:ascii="Times New Roman" w:eastAsia="黑体" w:hAnsi="Times New Roman"/>
          <w:sz w:val="32"/>
          <w:szCs w:val="32"/>
        </w:rPr>
        <w:lastRenderedPageBreak/>
        <w:t>二、一般公共预算支出情况</w:t>
      </w:r>
    </w:p>
    <w:p w14:paraId="669067F2"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（一）基本支出</w:t>
      </w:r>
    </w:p>
    <w:p w14:paraId="4CF092DE" w14:textId="77777777" w:rsidR="00600FFD" w:rsidRDefault="00000000">
      <w:pPr>
        <w:spacing w:line="240" w:lineRule="atLeast"/>
        <w:ind w:firstLine="570"/>
        <w:rPr>
          <w:rFonts w:ascii="仿宋" w:eastAsia="仿宋" w:hAnsi="仿宋" w:hint="eastAsia"/>
          <w:sz w:val="28"/>
          <w:szCs w:val="28"/>
        </w:rPr>
      </w:pPr>
      <w:r>
        <w:rPr>
          <w:rFonts w:ascii="仿宋" w:eastAsia="仿宋" w:hAnsi="仿宋" w:hint="eastAsia"/>
          <w:sz w:val="28"/>
          <w:szCs w:val="28"/>
        </w:rPr>
        <w:t>本年支出530.18万元。</w:t>
      </w:r>
      <w:r>
        <w:rPr>
          <w:rFonts w:ascii="仿宋" w:eastAsia="仿宋" w:hAnsi="仿宋"/>
          <w:sz w:val="28"/>
          <w:szCs w:val="28"/>
        </w:rPr>
        <w:t>1</w:t>
      </w:r>
      <w:r>
        <w:rPr>
          <w:rFonts w:ascii="仿宋" w:eastAsia="仿宋" w:hAnsi="仿宋" w:hint="eastAsia"/>
          <w:sz w:val="28"/>
          <w:szCs w:val="28"/>
        </w:rPr>
        <w:t>、工资福利388.48万元。</w:t>
      </w:r>
      <w:r>
        <w:rPr>
          <w:rFonts w:ascii="仿宋" w:eastAsia="仿宋" w:hAnsi="仿宋"/>
          <w:sz w:val="28"/>
          <w:szCs w:val="28"/>
        </w:rPr>
        <w:t>2</w:t>
      </w:r>
      <w:r>
        <w:rPr>
          <w:rFonts w:ascii="仿宋" w:eastAsia="仿宋" w:hAnsi="仿宋" w:hint="eastAsia"/>
          <w:sz w:val="28"/>
          <w:szCs w:val="28"/>
        </w:rPr>
        <w:t>、商品和服务支出86.5万元。</w:t>
      </w:r>
      <w:r>
        <w:rPr>
          <w:rFonts w:ascii="仿宋" w:eastAsia="仿宋" w:hAnsi="仿宋"/>
          <w:sz w:val="28"/>
          <w:szCs w:val="28"/>
        </w:rPr>
        <w:t>3</w:t>
      </w:r>
      <w:r>
        <w:rPr>
          <w:rFonts w:ascii="仿宋" w:eastAsia="仿宋" w:hAnsi="仿宋" w:hint="eastAsia"/>
          <w:sz w:val="28"/>
          <w:szCs w:val="28"/>
        </w:rPr>
        <w:t>、对个人和家庭的补助12.2万元。</w:t>
      </w:r>
      <w:r>
        <w:rPr>
          <w:rFonts w:ascii="仿宋" w:eastAsia="仿宋" w:hAnsi="仿宋"/>
          <w:sz w:val="28"/>
          <w:szCs w:val="28"/>
        </w:rPr>
        <w:t>4</w:t>
      </w:r>
      <w:r>
        <w:rPr>
          <w:rFonts w:ascii="仿宋" w:eastAsia="仿宋" w:hAnsi="仿宋" w:hint="eastAsia"/>
          <w:sz w:val="28"/>
          <w:szCs w:val="28"/>
        </w:rPr>
        <w:t>、项目支出43万元。本年结算支出“三公”经费为3.13万元，其中：公务用车0万元，公务接待费3.13万元。</w:t>
      </w:r>
    </w:p>
    <w:p w14:paraId="443F3FCA" w14:textId="77777777" w:rsidR="00600FFD" w:rsidRDefault="00000000">
      <w:pPr>
        <w:spacing w:line="240" w:lineRule="atLeast"/>
        <w:ind w:firstLineChars="200" w:firstLine="562"/>
        <w:rPr>
          <w:rFonts w:ascii="仿宋" w:eastAsia="仿宋" w:hAnsi="仿宋" w:cs="宋体" w:hint="eastAsia"/>
          <w:b/>
          <w:color w:val="444444"/>
          <w:sz w:val="28"/>
          <w:szCs w:val="28"/>
        </w:rPr>
      </w:pPr>
      <w:r>
        <w:rPr>
          <w:rFonts w:ascii="仿宋" w:eastAsia="仿宋" w:hAnsi="仿宋" w:cs="宋体"/>
          <w:b/>
          <w:color w:val="444444"/>
          <w:sz w:val="28"/>
          <w:szCs w:val="28"/>
        </w:rPr>
        <w:t>（二）</w:t>
      </w:r>
      <w:r>
        <w:rPr>
          <w:rFonts w:ascii="仿宋" w:eastAsia="仿宋" w:hAnsi="仿宋" w:cs="宋体" w:hint="eastAsia"/>
          <w:b/>
          <w:color w:val="444444"/>
          <w:sz w:val="28"/>
          <w:szCs w:val="28"/>
        </w:rPr>
        <w:t>项</w:t>
      </w:r>
      <w:r>
        <w:rPr>
          <w:rFonts w:ascii="仿宋" w:eastAsia="仿宋" w:hAnsi="仿宋" w:hint="eastAsia"/>
          <w:sz w:val="28"/>
          <w:szCs w:val="28"/>
        </w:rPr>
        <w:t>目</w:t>
      </w:r>
      <w:r>
        <w:rPr>
          <w:rFonts w:ascii="仿宋" w:eastAsia="仿宋" w:hAnsi="仿宋" w:cs="宋体" w:hint="eastAsia"/>
          <w:b/>
          <w:color w:val="444444"/>
          <w:sz w:val="28"/>
          <w:szCs w:val="28"/>
        </w:rPr>
        <w:t>支出</w:t>
      </w:r>
    </w:p>
    <w:p w14:paraId="497F0CDD" w14:textId="77777777" w:rsidR="00600FFD" w:rsidRDefault="00000000">
      <w:pPr>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（一）项目资金安排落实、总投入等情况分析</w:t>
      </w:r>
    </w:p>
    <w:p w14:paraId="2A1D4404" w14:textId="77777777" w:rsidR="00600FFD" w:rsidRDefault="00000000">
      <w:pPr>
        <w:spacing w:line="240" w:lineRule="atLeast"/>
        <w:ind w:firstLineChars="150" w:firstLine="420"/>
        <w:rPr>
          <w:rFonts w:ascii="仿宋" w:eastAsia="仿宋" w:hAnsi="仿宋" w:hint="eastAsia"/>
          <w:sz w:val="28"/>
          <w:szCs w:val="28"/>
        </w:rPr>
      </w:pPr>
      <w:r>
        <w:rPr>
          <w:rFonts w:ascii="仿宋" w:eastAsia="仿宋" w:hAnsi="仿宋"/>
          <w:sz w:val="28"/>
          <w:szCs w:val="28"/>
        </w:rPr>
        <w:t>1</w:t>
      </w:r>
      <w:r>
        <w:rPr>
          <w:rFonts w:ascii="仿宋" w:eastAsia="仿宋" w:hAnsi="仿宋" w:hint="eastAsia"/>
          <w:sz w:val="28"/>
          <w:szCs w:val="28"/>
        </w:rPr>
        <w:t>、监管经费（食品监管，打击非法行医，村卫生，监督协管，学校等卫生和监管）10万元。 2、生活饮用水监管10万元； 3、农村医疗废物集中处置23万元。</w:t>
      </w:r>
    </w:p>
    <w:p w14:paraId="3FC71D1A" w14:textId="77777777" w:rsidR="00600FFD" w:rsidRDefault="00000000">
      <w:pPr>
        <w:spacing w:line="240" w:lineRule="atLeast"/>
        <w:ind w:firstLineChars="200"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（二）项目资金实际使用情况</w:t>
      </w:r>
    </w:p>
    <w:p w14:paraId="54B44B81" w14:textId="77777777" w:rsidR="00600FFD" w:rsidRDefault="00000000">
      <w:pPr>
        <w:spacing w:line="240" w:lineRule="atLeast"/>
        <w:ind w:firstLineChars="200" w:firstLine="560"/>
        <w:rPr>
          <w:rFonts w:ascii="仿宋" w:eastAsia="仿宋" w:hAnsi="仿宋" w:hint="eastAsia"/>
          <w:color w:val="000000" w:themeColor="text1"/>
          <w:sz w:val="28"/>
          <w:szCs w:val="28"/>
        </w:rPr>
      </w:pPr>
      <w:proofErr w:type="gramStart"/>
      <w:r>
        <w:rPr>
          <w:rFonts w:ascii="仿宋" w:eastAsia="仿宋" w:hAnsi="仿宋" w:hint="eastAsia"/>
          <w:color w:val="000000" w:themeColor="text1"/>
          <w:sz w:val="28"/>
          <w:szCs w:val="28"/>
        </w:rPr>
        <w:t>具体资金</w:t>
      </w:r>
      <w:proofErr w:type="gramEnd"/>
      <w:r>
        <w:rPr>
          <w:rFonts w:ascii="仿宋" w:eastAsia="仿宋" w:hAnsi="仿宋" w:hint="eastAsia"/>
          <w:color w:val="000000" w:themeColor="text1"/>
          <w:sz w:val="28"/>
          <w:szCs w:val="28"/>
        </w:rPr>
        <w:t>使用情况是：</w:t>
      </w:r>
    </w:p>
    <w:p w14:paraId="23C184A2" w14:textId="77777777" w:rsidR="00600FFD" w:rsidRDefault="00000000">
      <w:pPr>
        <w:spacing w:line="240" w:lineRule="atLeast"/>
        <w:ind w:firstLineChars="221" w:firstLine="619"/>
        <w:rPr>
          <w:rFonts w:ascii="仿宋" w:eastAsia="仿宋" w:hAnsi="仿宋" w:hint="eastAsia"/>
          <w:sz w:val="28"/>
          <w:szCs w:val="28"/>
        </w:rPr>
      </w:pPr>
      <w:r>
        <w:rPr>
          <w:rFonts w:ascii="仿宋" w:eastAsia="仿宋" w:hAnsi="仿宋"/>
          <w:sz w:val="28"/>
          <w:szCs w:val="28"/>
        </w:rPr>
        <w:t>1</w:t>
      </w:r>
      <w:r>
        <w:rPr>
          <w:rFonts w:ascii="仿宋" w:eastAsia="仿宋" w:hAnsi="仿宋" w:hint="eastAsia"/>
          <w:sz w:val="28"/>
          <w:szCs w:val="28"/>
        </w:rPr>
        <w:t>、监管经费（食品监管，打击非法行医，村卫生，监督协管，学校等卫生和监管）10万元，主要用于食品安全地方标准管理、备案、跟踪评价、宣传培训；举报投诉查处、执法人员培训、宣传资料发放医疗机构、个体诊所从业人员培训为进一步规范医疗服务市场及采供血管理工作，保障医疗安全，维护人民群众健康权益；健康教育覆盖、进一步加强学校卫生监督监测；</w:t>
      </w:r>
    </w:p>
    <w:p w14:paraId="5209FC7D" w14:textId="77777777" w:rsidR="00600FFD" w:rsidRDefault="00000000">
      <w:pPr>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2、生活饮用水监管10万元，主要用于生活饮用水基本情况调查，完善基本信息档案；定期对辖区内集中式供水、二次供水单位进行监督检查；按要求做好自来水厂供水水质监测，按时报送监测结果；</w:t>
      </w:r>
    </w:p>
    <w:p w14:paraId="642825BE"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3、农村医疗废物集中处置23万元，主要用于辖区内的医疗废物进行统一收集运送到市医疗废物集中处置中心进行集中处置，确保农村医疗废物规范化处理。</w:t>
      </w:r>
    </w:p>
    <w:p w14:paraId="733CDE29" w14:textId="77777777" w:rsidR="00600FFD" w:rsidRDefault="00000000">
      <w:pPr>
        <w:pStyle w:val="Style1"/>
        <w:spacing w:line="600" w:lineRule="exact"/>
        <w:ind w:firstLine="640"/>
        <w:rPr>
          <w:rFonts w:ascii="Times New Roman" w:eastAsia="黑体" w:hAnsi="Times New Roman"/>
          <w:sz w:val="32"/>
          <w:szCs w:val="32"/>
        </w:rPr>
      </w:pPr>
      <w:r>
        <w:rPr>
          <w:rFonts w:ascii="Times New Roman" w:eastAsia="黑体" w:hAnsi="Times New Roman"/>
          <w:sz w:val="32"/>
          <w:szCs w:val="32"/>
        </w:rPr>
        <w:t>三、政府性基金预算支出情况</w:t>
      </w:r>
    </w:p>
    <w:p w14:paraId="0123B991" w14:textId="77777777" w:rsidR="00600FFD" w:rsidRDefault="00000000">
      <w:pPr>
        <w:pStyle w:val="Style1"/>
        <w:spacing w:line="600" w:lineRule="exact"/>
        <w:ind w:firstLine="560"/>
        <w:rPr>
          <w:rFonts w:ascii="仿宋" w:eastAsia="仿宋" w:hAnsi="仿宋" w:hint="eastAsia"/>
          <w:sz w:val="28"/>
          <w:szCs w:val="28"/>
        </w:rPr>
      </w:pPr>
      <w:r>
        <w:rPr>
          <w:rFonts w:ascii="仿宋" w:eastAsia="仿宋" w:hAnsi="仿宋"/>
          <w:sz w:val="28"/>
          <w:szCs w:val="28"/>
        </w:rPr>
        <w:t>我单位</w:t>
      </w:r>
      <w:r>
        <w:rPr>
          <w:rFonts w:ascii="仿宋" w:eastAsia="仿宋" w:hAnsi="仿宋" w:hint="eastAsia"/>
          <w:sz w:val="28"/>
          <w:szCs w:val="28"/>
        </w:rPr>
        <w:t>无</w:t>
      </w:r>
      <w:r>
        <w:rPr>
          <w:rFonts w:ascii="仿宋" w:eastAsia="仿宋" w:hAnsi="仿宋"/>
          <w:sz w:val="28"/>
          <w:szCs w:val="28"/>
        </w:rPr>
        <w:t>政府性基金预算支出</w:t>
      </w:r>
    </w:p>
    <w:p w14:paraId="5292AE17" w14:textId="77777777" w:rsidR="00600FFD" w:rsidRDefault="00000000">
      <w:pPr>
        <w:pStyle w:val="Style1"/>
        <w:spacing w:line="600" w:lineRule="exact"/>
        <w:ind w:firstLine="640"/>
        <w:rPr>
          <w:rFonts w:ascii="Times New Roman" w:eastAsia="黑体" w:hAnsi="Times New Roman"/>
          <w:sz w:val="32"/>
          <w:szCs w:val="32"/>
        </w:rPr>
      </w:pPr>
      <w:r>
        <w:rPr>
          <w:rFonts w:ascii="Times New Roman" w:eastAsia="黑体" w:hAnsi="Times New Roman"/>
          <w:sz w:val="32"/>
          <w:szCs w:val="32"/>
        </w:rPr>
        <w:t>四、国有资本经营预算支出情况</w:t>
      </w:r>
    </w:p>
    <w:p w14:paraId="602D8DF5" w14:textId="77777777" w:rsidR="00600FFD" w:rsidRDefault="00000000">
      <w:pPr>
        <w:pStyle w:val="Style1"/>
        <w:spacing w:line="600" w:lineRule="exact"/>
        <w:ind w:firstLine="560"/>
        <w:rPr>
          <w:rFonts w:ascii="仿宋" w:eastAsia="仿宋" w:hAnsi="仿宋" w:hint="eastAsia"/>
          <w:sz w:val="28"/>
          <w:szCs w:val="28"/>
        </w:rPr>
      </w:pPr>
      <w:r>
        <w:rPr>
          <w:rFonts w:ascii="仿宋" w:eastAsia="仿宋" w:hAnsi="仿宋"/>
          <w:sz w:val="28"/>
          <w:szCs w:val="28"/>
        </w:rPr>
        <w:t>我单位</w:t>
      </w:r>
      <w:r>
        <w:rPr>
          <w:rFonts w:ascii="仿宋" w:eastAsia="仿宋" w:hAnsi="仿宋" w:hint="eastAsia"/>
          <w:sz w:val="28"/>
          <w:szCs w:val="28"/>
        </w:rPr>
        <w:t>无</w:t>
      </w:r>
      <w:r>
        <w:rPr>
          <w:rFonts w:ascii="仿宋" w:eastAsia="仿宋" w:hAnsi="仿宋"/>
          <w:sz w:val="28"/>
          <w:szCs w:val="28"/>
        </w:rPr>
        <w:t>国有资本经营预算支出</w:t>
      </w:r>
    </w:p>
    <w:p w14:paraId="4EABE0FF" w14:textId="77777777" w:rsidR="00600FFD" w:rsidRDefault="00000000">
      <w:pPr>
        <w:pStyle w:val="Style1"/>
        <w:spacing w:line="600" w:lineRule="exact"/>
        <w:ind w:firstLine="640"/>
        <w:rPr>
          <w:rFonts w:ascii="Times New Roman" w:eastAsia="黑体" w:hAnsi="Times New Roman"/>
          <w:sz w:val="32"/>
          <w:szCs w:val="32"/>
        </w:rPr>
      </w:pPr>
      <w:r>
        <w:rPr>
          <w:rFonts w:ascii="Times New Roman" w:eastAsia="黑体" w:hAnsi="Times New Roman"/>
          <w:sz w:val="32"/>
          <w:szCs w:val="32"/>
        </w:rPr>
        <w:t>五、社会保险基金预算支出情况</w:t>
      </w:r>
    </w:p>
    <w:p w14:paraId="32E36D2E"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截止</w:t>
      </w:r>
      <w:r>
        <w:rPr>
          <w:rFonts w:ascii="仿宋" w:eastAsia="仿宋" w:hAnsi="仿宋"/>
          <w:sz w:val="28"/>
          <w:szCs w:val="28"/>
        </w:rPr>
        <w:t>20</w:t>
      </w:r>
      <w:r>
        <w:rPr>
          <w:rFonts w:ascii="仿宋" w:eastAsia="仿宋" w:hAnsi="仿宋" w:hint="eastAsia"/>
          <w:sz w:val="28"/>
          <w:szCs w:val="28"/>
        </w:rPr>
        <w:t>22年底，单位养老保险参保人数为53人。其中：在职人员44人，退休人员9人。</w:t>
      </w:r>
    </w:p>
    <w:p w14:paraId="59E04FAE"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sz w:val="28"/>
          <w:szCs w:val="28"/>
        </w:rPr>
        <w:t>20</w:t>
      </w:r>
      <w:r>
        <w:rPr>
          <w:rFonts w:ascii="仿宋" w:eastAsia="仿宋" w:hAnsi="仿宋" w:hint="eastAsia"/>
          <w:sz w:val="28"/>
          <w:szCs w:val="28"/>
        </w:rPr>
        <w:t>22年本级基金支出预算63.90万元。基本养老金支出预算</w:t>
      </w:r>
      <w:r>
        <w:rPr>
          <w:rFonts w:ascii="仿宋" w:eastAsia="仿宋" w:hAnsi="仿宋" w:hint="eastAsia"/>
          <w:sz w:val="28"/>
          <w:szCs w:val="28"/>
        </w:rPr>
        <w:lastRenderedPageBreak/>
        <w:t>63.90万元，</w:t>
      </w:r>
    </w:p>
    <w:p w14:paraId="0D5DBB7A" w14:textId="77777777" w:rsidR="00600FFD" w:rsidRDefault="00000000">
      <w:pPr>
        <w:adjustRightInd w:val="0"/>
        <w:snapToGrid w:val="0"/>
        <w:spacing w:line="240" w:lineRule="atLeast"/>
        <w:ind w:firstLineChars="200" w:firstLine="640"/>
        <w:rPr>
          <w:rFonts w:eastAsia="黑体"/>
          <w:sz w:val="32"/>
          <w:szCs w:val="32"/>
        </w:rPr>
      </w:pPr>
      <w:r>
        <w:rPr>
          <w:rFonts w:eastAsia="黑体" w:hint="eastAsia"/>
          <w:sz w:val="32"/>
          <w:szCs w:val="32"/>
        </w:rPr>
        <w:t>六、部门整体支出绩效情况</w:t>
      </w:r>
    </w:p>
    <w:p w14:paraId="5FEDF50F" w14:textId="77777777" w:rsidR="00600FFD" w:rsidRDefault="00000000">
      <w:pPr>
        <w:adjustRightInd w:val="0"/>
        <w:snapToGrid w:val="0"/>
        <w:spacing w:line="240" w:lineRule="atLeast"/>
        <w:ind w:firstLineChars="200" w:firstLine="560"/>
        <w:rPr>
          <w:rFonts w:ascii="仿宋" w:eastAsia="仿宋" w:hAnsi="仿宋" w:hint="eastAsia"/>
          <w:sz w:val="28"/>
          <w:szCs w:val="28"/>
        </w:rPr>
      </w:pPr>
      <w:r>
        <w:rPr>
          <w:rFonts w:ascii="仿宋" w:eastAsia="仿宋" w:hAnsi="仿宋"/>
          <w:sz w:val="28"/>
          <w:szCs w:val="28"/>
        </w:rPr>
        <w:t>20</w:t>
      </w:r>
      <w:r>
        <w:rPr>
          <w:rFonts w:ascii="仿宋" w:eastAsia="仿宋" w:hAnsi="仿宋" w:hint="eastAsia"/>
          <w:sz w:val="28"/>
          <w:szCs w:val="28"/>
        </w:rPr>
        <w:t>22年在区财政局的正确领导下，我局坚持稳中求进，改革创新，积极作为，各方面工作稳步推进。将抓好厉行节约源头控制，严格执行部门预算，严格执行《党政机关厉行节约反对浪费条例》和公务支出管理制度，提高资金使用效率。为了更好的加强单位财务管理，依据《会计法》、《事业单位会计制度》有关规定，结合我局实际制定了零陵区卫生计生综合监督执法局财务管理制度。我局现有固定资产153.92万元，已全部纳入资产专人管理，设置固定资产卡片，资产管理工作进一步规范。</w:t>
      </w:r>
    </w:p>
    <w:p w14:paraId="46DF3410" w14:textId="77777777" w:rsidR="00600FFD" w:rsidRDefault="00000000">
      <w:pPr>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1、项目的经济性分析</w:t>
      </w:r>
    </w:p>
    <w:p w14:paraId="7BDD2E10" w14:textId="77777777" w:rsidR="00600FFD" w:rsidRDefault="00000000">
      <w:pPr>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项目实际到位财政资金43万元，资金到位率100%，资金使用率100%，宣传资料发放率100%，监督监测率100%确保项目的实施</w:t>
      </w:r>
    </w:p>
    <w:p w14:paraId="6F3D1D5C" w14:textId="77777777" w:rsidR="00600FFD" w:rsidRDefault="00000000">
      <w:pPr>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2、项目的效率性、可持续性</w:t>
      </w:r>
    </w:p>
    <w:p w14:paraId="169C54E0" w14:textId="77777777" w:rsidR="00600FFD" w:rsidRDefault="00000000">
      <w:pPr>
        <w:spacing w:line="240" w:lineRule="atLeast"/>
        <w:ind w:firstLineChars="200" w:firstLine="560"/>
        <w:rPr>
          <w:rFonts w:ascii="仿宋" w:eastAsia="仿宋" w:hAnsi="仿宋" w:hint="eastAsia"/>
          <w:sz w:val="28"/>
          <w:szCs w:val="28"/>
        </w:rPr>
      </w:pPr>
      <w:r>
        <w:rPr>
          <w:rFonts w:ascii="仿宋" w:eastAsia="仿宋" w:hAnsi="仿宋" w:hint="eastAsia"/>
          <w:sz w:val="28"/>
          <w:szCs w:val="28"/>
        </w:rPr>
        <w:t>对未取得任何资质从事医疗活动的、基础设施、服务能力、服务水平不符合条件的坚决予以取缔为进一步规范医疗服务市场及采供血管理工作，保障医疗安全，维护人民群众健康权益为保障生活饮水安全，保障人民群众身体健康。</w:t>
      </w:r>
    </w:p>
    <w:p w14:paraId="0670D1FF" w14:textId="77777777" w:rsidR="00600FFD" w:rsidRDefault="00000000">
      <w:pPr>
        <w:spacing w:line="240" w:lineRule="atLeast"/>
        <w:rPr>
          <w:rFonts w:asciiTheme="minorEastAsia" w:eastAsiaTheme="minorEastAsia" w:hAnsiTheme="minorEastAsia" w:hint="eastAsia"/>
          <w:color w:val="000000" w:themeColor="text1"/>
          <w:sz w:val="30"/>
          <w:szCs w:val="30"/>
        </w:rPr>
      </w:pPr>
      <w:r>
        <w:rPr>
          <w:rFonts w:asciiTheme="minorEastAsia" w:eastAsiaTheme="minorEastAsia" w:hAnsiTheme="minorEastAsia"/>
          <w:color w:val="000000" w:themeColor="text1"/>
          <w:sz w:val="30"/>
          <w:szCs w:val="30"/>
        </w:rPr>
        <w:t xml:space="preserve">                                                    </w:t>
      </w:r>
    </w:p>
    <w:p w14:paraId="3134D517" w14:textId="77777777" w:rsidR="00600FFD" w:rsidRDefault="00000000">
      <w:pPr>
        <w:pStyle w:val="Style1"/>
        <w:spacing w:line="600" w:lineRule="exact"/>
        <w:ind w:firstLine="640"/>
        <w:rPr>
          <w:rFonts w:ascii="Times New Roman" w:eastAsia="黑体" w:hAnsi="Times New Roman"/>
          <w:sz w:val="32"/>
          <w:szCs w:val="32"/>
        </w:rPr>
      </w:pPr>
      <w:r>
        <w:rPr>
          <w:rFonts w:ascii="Times New Roman" w:eastAsia="黑体" w:hAnsi="Times New Roman"/>
          <w:sz w:val="32"/>
          <w:szCs w:val="32"/>
        </w:rPr>
        <w:t>七、存在的问题及原因分析</w:t>
      </w:r>
    </w:p>
    <w:p w14:paraId="52DFA8B3" w14:textId="77777777" w:rsidR="00600FFD" w:rsidRDefault="00000000">
      <w:pPr>
        <w:spacing w:line="240" w:lineRule="atLeast"/>
        <w:ind w:firstLine="570"/>
        <w:rPr>
          <w:rFonts w:ascii="仿宋" w:eastAsia="仿宋" w:hAnsi="仿宋" w:hint="eastAsia"/>
          <w:sz w:val="28"/>
          <w:szCs w:val="28"/>
        </w:rPr>
      </w:pPr>
      <w:r>
        <w:rPr>
          <w:rFonts w:ascii="仿宋" w:eastAsia="仿宋" w:hAnsi="仿宋" w:hint="eastAsia"/>
          <w:sz w:val="28"/>
          <w:szCs w:val="28"/>
        </w:rPr>
        <w:t>固定资产管理水平有待进一步提高。</w:t>
      </w:r>
    </w:p>
    <w:p w14:paraId="6957B098" w14:textId="77777777" w:rsidR="00600FFD" w:rsidRDefault="00000000">
      <w:pPr>
        <w:spacing w:line="600" w:lineRule="exact"/>
        <w:ind w:firstLineChars="200" w:firstLine="640"/>
        <w:rPr>
          <w:rFonts w:eastAsia="黑体"/>
          <w:sz w:val="32"/>
          <w:szCs w:val="32"/>
        </w:rPr>
      </w:pPr>
      <w:r>
        <w:rPr>
          <w:rFonts w:eastAsia="黑体"/>
          <w:sz w:val="32"/>
          <w:szCs w:val="32"/>
        </w:rPr>
        <w:t>八、下一步改进措施</w:t>
      </w:r>
    </w:p>
    <w:p w14:paraId="641EA1B1" w14:textId="77777777" w:rsidR="00600FFD" w:rsidRDefault="00000000">
      <w:pPr>
        <w:spacing w:line="240" w:lineRule="atLeast"/>
        <w:ind w:firstLine="570"/>
        <w:rPr>
          <w:rFonts w:ascii="仿宋" w:eastAsia="仿宋" w:hAnsi="仿宋" w:hint="eastAsia"/>
          <w:sz w:val="28"/>
          <w:szCs w:val="28"/>
        </w:rPr>
      </w:pPr>
      <w:r>
        <w:rPr>
          <w:rFonts w:ascii="仿宋" w:eastAsia="仿宋" w:hAnsi="仿宋" w:hint="eastAsia"/>
          <w:sz w:val="28"/>
          <w:szCs w:val="28"/>
        </w:rPr>
        <w:t xml:space="preserve"> (一）科学合理编制预算，严格执行预算</w:t>
      </w:r>
    </w:p>
    <w:p w14:paraId="062DE16A" w14:textId="77777777" w:rsidR="00600FFD" w:rsidRDefault="00000000">
      <w:pPr>
        <w:spacing w:line="240" w:lineRule="atLeast"/>
        <w:ind w:firstLine="570"/>
        <w:rPr>
          <w:rFonts w:ascii="仿宋" w:eastAsia="仿宋" w:hAnsi="仿宋" w:hint="eastAsia"/>
          <w:sz w:val="28"/>
          <w:szCs w:val="28"/>
        </w:rPr>
      </w:pPr>
      <w:r>
        <w:rPr>
          <w:rFonts w:ascii="仿宋" w:eastAsia="仿宋" w:hAnsi="仿宋" w:hint="eastAsia"/>
          <w:sz w:val="28"/>
          <w:szCs w:val="28"/>
        </w:rPr>
        <w:t>按照新《预算法》及其实施条例的相关规定，按本部门的发展规划，结合上一年度预算执行情况和本年度预算收支变化因素，科学合理的编制本年预算方案，避免预算支出与实际执行出现较大偏差情况。</w:t>
      </w:r>
    </w:p>
    <w:p w14:paraId="292D5861" w14:textId="77777777" w:rsidR="00600FFD" w:rsidRDefault="00000000">
      <w:pPr>
        <w:spacing w:line="240" w:lineRule="atLeast"/>
        <w:ind w:firstLine="570"/>
        <w:rPr>
          <w:rFonts w:ascii="仿宋" w:eastAsia="仿宋" w:hAnsi="仿宋" w:hint="eastAsia"/>
          <w:sz w:val="28"/>
          <w:szCs w:val="28"/>
        </w:rPr>
      </w:pPr>
      <w:r>
        <w:rPr>
          <w:rFonts w:ascii="仿宋" w:eastAsia="仿宋" w:hAnsi="仿宋" w:hint="eastAsia"/>
          <w:sz w:val="28"/>
          <w:szCs w:val="28"/>
        </w:rPr>
        <w:t>（二）规范账务处理，提高财务信息质量</w:t>
      </w:r>
    </w:p>
    <w:p w14:paraId="4BA455E8" w14:textId="77777777" w:rsidR="00600FFD" w:rsidRDefault="00000000">
      <w:pPr>
        <w:spacing w:line="240" w:lineRule="atLeast"/>
        <w:ind w:firstLine="570"/>
        <w:rPr>
          <w:rFonts w:ascii="仿宋" w:eastAsia="仿宋" w:hAnsi="仿宋" w:hint="eastAsia"/>
          <w:sz w:val="28"/>
          <w:szCs w:val="28"/>
        </w:rPr>
      </w:pPr>
      <w:r>
        <w:rPr>
          <w:rFonts w:ascii="仿宋" w:eastAsia="仿宋" w:hAnsi="仿宋" w:hint="eastAsia"/>
          <w:sz w:val="28"/>
          <w:szCs w:val="28"/>
        </w:rPr>
        <w:t>严格按照《会计法》、《事业单位会计制度》、《事业单位财务规则》等规定执行财务核算，并结合实际情况，完整、准确地披露相关信息，尽可能地做到决算与预算相衔接。</w:t>
      </w:r>
    </w:p>
    <w:p w14:paraId="7A8088DC" w14:textId="77777777" w:rsidR="00600FFD" w:rsidRDefault="00000000">
      <w:pPr>
        <w:spacing w:line="240" w:lineRule="atLeast"/>
        <w:ind w:firstLine="570"/>
        <w:rPr>
          <w:rFonts w:ascii="仿宋" w:eastAsia="仿宋" w:hAnsi="仿宋" w:hint="eastAsia"/>
          <w:sz w:val="28"/>
          <w:szCs w:val="28"/>
        </w:rPr>
      </w:pPr>
      <w:r>
        <w:rPr>
          <w:rFonts w:ascii="仿宋" w:eastAsia="仿宋" w:hAnsi="仿宋" w:hint="eastAsia"/>
          <w:sz w:val="28"/>
          <w:szCs w:val="28"/>
        </w:rPr>
        <w:t>（三）完善管理制度，进一步加强资产管理</w:t>
      </w:r>
    </w:p>
    <w:p w14:paraId="300F491F" w14:textId="16BC0810" w:rsidR="00600FFD" w:rsidRDefault="00000000">
      <w:pPr>
        <w:spacing w:line="240" w:lineRule="atLeast"/>
        <w:ind w:firstLine="570"/>
        <w:rPr>
          <w:rFonts w:ascii="仿宋" w:eastAsia="仿宋" w:hAnsi="仿宋" w:hint="eastAsia"/>
          <w:sz w:val="28"/>
          <w:szCs w:val="28"/>
        </w:rPr>
      </w:pPr>
      <w:r>
        <w:rPr>
          <w:rFonts w:ascii="仿宋" w:eastAsia="仿宋" w:hAnsi="仿宋" w:hint="eastAsia"/>
          <w:sz w:val="28"/>
          <w:szCs w:val="28"/>
        </w:rPr>
        <w:t>进一步</w:t>
      </w:r>
      <w:r w:rsidR="00F30ABD" w:rsidRPr="00F30ABD">
        <w:rPr>
          <w:rFonts w:ascii="仿宋" w:eastAsia="仿宋" w:hAnsi="仿宋" w:hint="eastAsia"/>
          <w:sz w:val="28"/>
          <w:szCs w:val="28"/>
        </w:rPr>
        <w:t>贯彻落实中央八项规定</w:t>
      </w:r>
      <w:r>
        <w:rPr>
          <w:rFonts w:ascii="仿宋" w:eastAsia="仿宋" w:hAnsi="仿宋" w:hint="eastAsia"/>
          <w:sz w:val="28"/>
          <w:szCs w:val="28"/>
        </w:rPr>
        <w:t>和湖南省委“九条规定”，建立本单位“三公经费”等公务支出管理制度及厉行节约制度，加强经费审批和控制，规范支出标准和范围并严格执行。</w:t>
      </w:r>
    </w:p>
    <w:p w14:paraId="55750500" w14:textId="77777777" w:rsidR="00600FFD" w:rsidRDefault="00000000">
      <w:pPr>
        <w:spacing w:line="240" w:lineRule="atLeast"/>
        <w:ind w:firstLine="570"/>
        <w:rPr>
          <w:rFonts w:ascii="仿宋" w:eastAsia="仿宋" w:hAnsi="仿宋" w:hint="eastAsia"/>
          <w:sz w:val="28"/>
          <w:szCs w:val="28"/>
        </w:rPr>
      </w:pPr>
      <w:r>
        <w:rPr>
          <w:rFonts w:ascii="仿宋" w:eastAsia="仿宋" w:hAnsi="仿宋" w:hint="eastAsia"/>
          <w:sz w:val="28"/>
          <w:szCs w:val="28"/>
        </w:rPr>
        <w:t>严格按照《固定资产管理办法》的规定加强固定资产管理，及</w:t>
      </w:r>
      <w:r>
        <w:rPr>
          <w:rFonts w:ascii="仿宋" w:eastAsia="仿宋" w:hAnsi="仿宋" w:hint="eastAsia"/>
          <w:sz w:val="28"/>
          <w:szCs w:val="28"/>
        </w:rPr>
        <w:lastRenderedPageBreak/>
        <w:t>时登记、加强资产卡片管理，年终前对各类实物资产进行全面盘点，确保账</w:t>
      </w:r>
      <w:proofErr w:type="gramStart"/>
      <w:r>
        <w:rPr>
          <w:rFonts w:ascii="仿宋" w:eastAsia="仿宋" w:hAnsi="仿宋" w:hint="eastAsia"/>
          <w:sz w:val="28"/>
          <w:szCs w:val="28"/>
        </w:rPr>
        <w:t>账</w:t>
      </w:r>
      <w:proofErr w:type="gramEnd"/>
      <w:r>
        <w:rPr>
          <w:rFonts w:ascii="仿宋" w:eastAsia="仿宋" w:hAnsi="仿宋" w:hint="eastAsia"/>
          <w:sz w:val="28"/>
          <w:szCs w:val="28"/>
        </w:rPr>
        <w:t>、账实相符。</w:t>
      </w:r>
    </w:p>
    <w:p w14:paraId="054DA992" w14:textId="77777777" w:rsidR="00600FFD" w:rsidRDefault="00000000">
      <w:pPr>
        <w:spacing w:line="240" w:lineRule="atLeast"/>
        <w:ind w:firstLine="570"/>
        <w:rPr>
          <w:rFonts w:ascii="仿宋" w:eastAsia="仿宋" w:hAnsi="仿宋" w:hint="eastAsia"/>
          <w:sz w:val="28"/>
          <w:szCs w:val="28"/>
        </w:rPr>
      </w:pPr>
      <w:r>
        <w:rPr>
          <w:rFonts w:ascii="仿宋" w:eastAsia="仿宋" w:hAnsi="仿宋" w:hint="eastAsia"/>
          <w:sz w:val="28"/>
          <w:szCs w:val="28"/>
        </w:rPr>
        <w:t>（四）加强新会计制度和新预算法学习培训</w:t>
      </w:r>
    </w:p>
    <w:p w14:paraId="0F6EEDFB" w14:textId="77777777" w:rsidR="00600FFD" w:rsidRDefault="00000000">
      <w:pPr>
        <w:spacing w:line="240" w:lineRule="atLeast"/>
        <w:ind w:firstLine="570"/>
        <w:rPr>
          <w:rFonts w:ascii="仿宋" w:eastAsia="仿宋" w:hAnsi="仿宋" w:hint="eastAsia"/>
          <w:sz w:val="28"/>
          <w:szCs w:val="28"/>
        </w:rPr>
      </w:pPr>
      <w:r>
        <w:rPr>
          <w:rFonts w:ascii="仿宋" w:eastAsia="仿宋" w:hAnsi="仿宋" w:hint="eastAsia"/>
          <w:sz w:val="28"/>
          <w:szCs w:val="28"/>
        </w:rPr>
        <w:t>加强新《预算法》和《事业单位会计制度》等学习培训，进一步规范部门预算收支核算，制定和完善基本支出等各项支出标准，严格按照标准和进度执行预算，增强预算的约束力和严肃性；落实预算执行分析，及时了解并合理调整、纠正预算执行偏差，切实提高部门预算管理力度和水平。</w:t>
      </w:r>
    </w:p>
    <w:p w14:paraId="2DAC628B" w14:textId="77777777" w:rsidR="00600FFD" w:rsidRDefault="00000000">
      <w:pPr>
        <w:spacing w:line="600" w:lineRule="exact"/>
        <w:ind w:firstLineChars="200" w:firstLine="640"/>
        <w:rPr>
          <w:rFonts w:eastAsia="黑体"/>
          <w:sz w:val="32"/>
          <w:szCs w:val="32"/>
        </w:rPr>
      </w:pPr>
      <w:r>
        <w:rPr>
          <w:rFonts w:eastAsia="黑体"/>
          <w:sz w:val="32"/>
          <w:szCs w:val="32"/>
        </w:rPr>
        <w:t>九、绩效自评结果拟应用和公开情况</w:t>
      </w:r>
    </w:p>
    <w:p w14:paraId="494D365A" w14:textId="77777777" w:rsidR="00600FFD" w:rsidRDefault="00000000">
      <w:pPr>
        <w:spacing w:line="480" w:lineRule="auto"/>
        <w:ind w:firstLine="480"/>
        <w:rPr>
          <w:rFonts w:ascii="仿宋" w:eastAsia="仿宋" w:hAnsi="仿宋" w:hint="eastAsia"/>
          <w:sz w:val="28"/>
          <w:szCs w:val="28"/>
        </w:rPr>
      </w:pPr>
      <w:r>
        <w:rPr>
          <w:rFonts w:ascii="仿宋" w:eastAsia="仿宋" w:hAnsi="仿宋"/>
          <w:sz w:val="28"/>
          <w:szCs w:val="28"/>
        </w:rPr>
        <w:t>1、我单位根据专项绩效评定指标对各项目量化评价，自评指标得分9</w:t>
      </w:r>
      <w:r>
        <w:rPr>
          <w:rFonts w:ascii="仿宋" w:eastAsia="仿宋" w:hAnsi="仿宋" w:hint="eastAsia"/>
          <w:sz w:val="28"/>
          <w:szCs w:val="28"/>
        </w:rPr>
        <w:t>1</w:t>
      </w:r>
      <w:r>
        <w:rPr>
          <w:rFonts w:ascii="仿宋" w:eastAsia="仿宋" w:hAnsi="仿宋"/>
          <w:sz w:val="28"/>
          <w:szCs w:val="28"/>
        </w:rPr>
        <w:t>分。</w:t>
      </w:r>
    </w:p>
    <w:p w14:paraId="322AFBF4" w14:textId="77777777" w:rsidR="00600FFD" w:rsidRDefault="00000000">
      <w:pPr>
        <w:spacing w:line="600" w:lineRule="exact"/>
        <w:ind w:firstLineChars="200" w:firstLine="560"/>
        <w:rPr>
          <w:rFonts w:ascii="仿宋" w:eastAsia="仿宋" w:hAnsi="仿宋" w:hint="eastAsia"/>
          <w:sz w:val="28"/>
          <w:szCs w:val="28"/>
        </w:rPr>
      </w:pPr>
      <w:r>
        <w:rPr>
          <w:rFonts w:ascii="仿宋" w:eastAsia="仿宋" w:hAnsi="仿宋"/>
          <w:sz w:val="28"/>
          <w:szCs w:val="28"/>
        </w:rPr>
        <w:t>2、将项目支出后的实际状况与项目申报的绩效目标进行对比分析。按项目实际支出和项目申报绩效目标进行对比分析自评得分</w:t>
      </w:r>
      <w:r>
        <w:rPr>
          <w:rFonts w:ascii="仿宋" w:eastAsia="仿宋" w:hAnsi="仿宋" w:hint="eastAsia"/>
          <w:sz w:val="28"/>
          <w:szCs w:val="28"/>
        </w:rPr>
        <w:t>91</w:t>
      </w:r>
      <w:r>
        <w:rPr>
          <w:rFonts w:ascii="仿宋" w:eastAsia="仿宋" w:hAnsi="仿宋"/>
          <w:sz w:val="28"/>
          <w:szCs w:val="28"/>
        </w:rPr>
        <w:t>分，所有项目均与批复下达相符。</w:t>
      </w:r>
    </w:p>
    <w:p w14:paraId="361090A4" w14:textId="77777777" w:rsidR="00600FFD" w:rsidRDefault="00000000">
      <w:pPr>
        <w:spacing w:line="600" w:lineRule="exact"/>
        <w:ind w:firstLineChars="200" w:firstLine="640"/>
        <w:rPr>
          <w:rFonts w:eastAsia="黑体"/>
          <w:sz w:val="32"/>
          <w:szCs w:val="32"/>
        </w:rPr>
      </w:pPr>
      <w:r>
        <w:rPr>
          <w:rFonts w:eastAsia="黑体" w:hint="eastAsia"/>
          <w:sz w:val="32"/>
          <w:szCs w:val="32"/>
        </w:rPr>
        <w:t>十、</w:t>
      </w:r>
      <w:r>
        <w:rPr>
          <w:rFonts w:eastAsia="黑体"/>
          <w:sz w:val="32"/>
          <w:szCs w:val="32"/>
        </w:rPr>
        <w:t>其他需要说明的情况</w:t>
      </w:r>
    </w:p>
    <w:p w14:paraId="3489A49E" w14:textId="77777777" w:rsidR="00600FFD" w:rsidRDefault="00000000">
      <w:pPr>
        <w:spacing w:line="600" w:lineRule="exact"/>
        <w:ind w:firstLineChars="200" w:firstLine="560"/>
        <w:rPr>
          <w:rFonts w:eastAsia="黑体"/>
          <w:sz w:val="32"/>
          <w:szCs w:val="32"/>
        </w:rPr>
      </w:pPr>
      <w:r>
        <w:rPr>
          <w:rFonts w:ascii="仿宋" w:eastAsia="仿宋" w:hAnsi="仿宋" w:hint="eastAsia"/>
          <w:sz w:val="28"/>
          <w:szCs w:val="28"/>
        </w:rPr>
        <w:t>无</w:t>
      </w:r>
    </w:p>
    <w:p w14:paraId="1F7D0E5A" w14:textId="77777777" w:rsidR="00600FFD" w:rsidRDefault="00600FFD">
      <w:pPr>
        <w:adjustRightInd w:val="0"/>
        <w:snapToGrid w:val="0"/>
        <w:spacing w:line="240" w:lineRule="atLeast"/>
        <w:rPr>
          <w:rFonts w:eastAsia="仿宋_GB2312"/>
          <w:sz w:val="32"/>
          <w:szCs w:val="32"/>
        </w:rPr>
      </w:pPr>
    </w:p>
    <w:p w14:paraId="1B9C5B14" w14:textId="77777777" w:rsidR="00600FFD" w:rsidRDefault="00600FFD"/>
    <w:sectPr w:rsidR="00600FF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FDDF7" w14:textId="77777777" w:rsidR="008613EC" w:rsidRDefault="008613EC">
      <w:r>
        <w:separator/>
      </w:r>
    </w:p>
  </w:endnote>
  <w:endnote w:type="continuationSeparator" w:id="0">
    <w:p w14:paraId="1A1C4DF6" w14:textId="77777777" w:rsidR="008613EC" w:rsidRDefault="0086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A317A" w14:textId="77777777" w:rsidR="008613EC" w:rsidRDefault="008613EC">
      <w:r>
        <w:separator/>
      </w:r>
    </w:p>
  </w:footnote>
  <w:footnote w:type="continuationSeparator" w:id="0">
    <w:p w14:paraId="2D9A4E6E" w14:textId="77777777" w:rsidR="008613EC" w:rsidRDefault="00861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JjNjQ2ODdlZTVmOWY4Nzk4Y2VlY2UzOWJjMDBlY2IifQ=="/>
  </w:docVars>
  <w:rsids>
    <w:rsidRoot w:val="006E5D88"/>
    <w:rsid w:val="00060810"/>
    <w:rsid w:val="00067750"/>
    <w:rsid w:val="0007601B"/>
    <w:rsid w:val="000A1CE8"/>
    <w:rsid w:val="000C341E"/>
    <w:rsid w:val="001F1480"/>
    <w:rsid w:val="001F1B56"/>
    <w:rsid w:val="0025089D"/>
    <w:rsid w:val="002C6002"/>
    <w:rsid w:val="00323B43"/>
    <w:rsid w:val="003D024E"/>
    <w:rsid w:val="003D37D8"/>
    <w:rsid w:val="004358AB"/>
    <w:rsid w:val="00524144"/>
    <w:rsid w:val="005922B8"/>
    <w:rsid w:val="00600FFD"/>
    <w:rsid w:val="00620CC6"/>
    <w:rsid w:val="006907A9"/>
    <w:rsid w:val="006E5D88"/>
    <w:rsid w:val="0079735C"/>
    <w:rsid w:val="008072A4"/>
    <w:rsid w:val="008613EC"/>
    <w:rsid w:val="008B7726"/>
    <w:rsid w:val="008F61EB"/>
    <w:rsid w:val="00901AE0"/>
    <w:rsid w:val="00A114E6"/>
    <w:rsid w:val="00A6144A"/>
    <w:rsid w:val="00AA0091"/>
    <w:rsid w:val="00B27967"/>
    <w:rsid w:val="00C03059"/>
    <w:rsid w:val="00C16676"/>
    <w:rsid w:val="00C8111B"/>
    <w:rsid w:val="00E44032"/>
    <w:rsid w:val="00E6598A"/>
    <w:rsid w:val="00F30ABD"/>
    <w:rsid w:val="1C5E1CE2"/>
    <w:rsid w:val="3AE80B40"/>
    <w:rsid w:val="3F8F60F8"/>
    <w:rsid w:val="44B67CCA"/>
    <w:rsid w:val="4D082313"/>
    <w:rsid w:val="4F510B70"/>
    <w:rsid w:val="505226DD"/>
    <w:rsid w:val="50D779C1"/>
    <w:rsid w:val="5CED0803"/>
    <w:rsid w:val="65EC1D9D"/>
    <w:rsid w:val="71BC1338"/>
    <w:rsid w:val="748F5923"/>
    <w:rsid w:val="7FEA0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B222"/>
  <w15:docId w15:val="{683C564B-48E0-4F48-A4E5-6E2FF0A8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customStyle="1" w:styleId="Style1">
    <w:name w:val="_Style 1"/>
    <w:basedOn w:val="a"/>
    <w:uiPriority w:val="99"/>
    <w:qFormat/>
    <w:pPr>
      <w:ind w:firstLineChars="200" w:firstLine="420"/>
    </w:pPr>
    <w:rPr>
      <w:rFonts w:ascii="Calibri" w:hAnsi="Calibri"/>
      <w:szCs w:val="22"/>
    </w:rPr>
  </w:style>
  <w:style w:type="character" w:customStyle="1" w:styleId="a6">
    <w:name w:val="页眉 字符"/>
    <w:basedOn w:val="a0"/>
    <w:link w:val="a5"/>
    <w:uiPriority w:val="99"/>
    <w:semiHidden/>
    <w:qFormat/>
    <w:rPr>
      <w:rFonts w:ascii="Times New Roman" w:eastAsia="宋体" w:hAnsi="Times New Roman" w:cs="Times New Roman"/>
      <w:kern w:val="2"/>
      <w:sz w:val="18"/>
      <w:szCs w:val="18"/>
    </w:rPr>
  </w:style>
  <w:style w:type="character" w:customStyle="1" w:styleId="a4">
    <w:name w:val="页脚 字符"/>
    <w:basedOn w:val="a0"/>
    <w:link w:val="a3"/>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hjwfa@outlook.com</cp:lastModifiedBy>
  <cp:revision>2</cp:revision>
  <cp:lastPrinted>2021-03-15T01:52:00Z</cp:lastPrinted>
  <dcterms:created xsi:type="dcterms:W3CDTF">2025-03-09T02:41:00Z</dcterms:created>
  <dcterms:modified xsi:type="dcterms:W3CDTF">2025-03-09T02:41:00Z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83348FC5076E4D7282FF503D81A12D1F</vt:lpwstr>
  </property>
</Properties>
</file>