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8"/>
        <w:gridCol w:w="1256"/>
        <w:gridCol w:w="1498"/>
        <w:gridCol w:w="95"/>
        <w:gridCol w:w="1200"/>
        <w:gridCol w:w="1051"/>
        <w:gridCol w:w="792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区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单位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947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永州市零陵区乡村振兴局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年初</w:t>
            </w:r>
          </w:p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全年预算数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全年</w:t>
            </w:r>
          </w:p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执行数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6178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1780.45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1780.45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/>
                <w:sz w:val="15"/>
                <w:szCs w:val="15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1750.45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其中：基本支出：</w:t>
            </w: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293.61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noWrap w:val="0"/>
            <w:vAlign w:val="center"/>
          </w:tcPr>
          <w:p>
            <w:pPr>
              <w:widowControl/>
              <w:ind w:firstLine="600" w:firstLineChars="400"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ind w:firstLine="450" w:firstLineChars="300"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1486.84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纳入专户管理的非税收入拨款：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noWrap w:val="0"/>
            <w:vAlign w:val="center"/>
          </w:tcPr>
          <w:p>
            <w:pPr>
              <w:widowControl/>
              <w:ind w:firstLine="1050" w:firstLineChars="70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其他资金：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528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目标1：保证工资和人员经费的正常发放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目标2：确保工作正常运转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目标3：巩固拓展好脱贫攻坚成果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目标4：脱贫攻坚与乡村振兴有效衔接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　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210" w:leftChars="0" w:firstLine="0" w:firstLineChars="0"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工资保额正常发放；</w:t>
            </w:r>
          </w:p>
          <w:p>
            <w:pPr>
              <w:widowControl/>
              <w:numPr>
                <w:ilvl w:val="0"/>
                <w:numId w:val="1"/>
              </w:numPr>
              <w:ind w:left="210" w:leftChars="0" w:firstLine="0" w:firstLineChars="0"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工作运转正常</w:t>
            </w:r>
          </w:p>
          <w:p>
            <w:pPr>
              <w:widowControl/>
              <w:numPr>
                <w:ilvl w:val="0"/>
                <w:numId w:val="1"/>
              </w:numPr>
              <w:ind w:left="210" w:leftChars="0" w:firstLine="0" w:firstLineChars="0"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巩固脱贫攻坚成果，监测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val="en-US" w:eastAsia="zh-CN"/>
              </w:rPr>
              <w:t>帮扶机制健全有力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标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指标值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完成值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(50分)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保证工资和人员经费的正常发放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确保工作按质完成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履职工作任务完成时间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2022年底前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已按时完成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控制在预算内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分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9.5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人员工资普调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效益指标</w:t>
            </w:r>
          </w:p>
          <w:p>
            <w:pPr>
              <w:widowControl/>
              <w:ind w:firstLine="150" w:firstLineChars="100"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（30分）　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益指标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小额信贷，致富带头人培训，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应纳率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益指标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防止出现大规模返贫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益指标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巩固拓展好脱贫攻坚成果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脱贫攻坚与乡村振兴有效衔接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eastAsia="zh-CN"/>
              </w:rPr>
              <w:t>执行率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（10分）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社会公众满意度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≥95%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≥95%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8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99.5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巩固脱贫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攻坚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乡村振兴有效衔接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专项经费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5937.75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1486.84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1486.84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1486.84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1486.84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540" w:firstLineChars="3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540" w:firstLineChars="3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目标1：确保工作正常运转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：脱贫攻坚与乡村振兴有效衔接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已圆满完成各项工作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项目衔接资金使用和项目建设管理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扶贫项目资产管理和监督</w:t>
            </w:r>
            <w:r>
              <w:rPr>
                <w:rFonts w:hint="eastAsia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经费使用准确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预算资金投入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控制率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小额信贷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消费帮扶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防止返贫动态监测和帮扶机制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执行力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巩固义务教育保障成果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巩固脱贫成果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全面推进乡村振兴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2022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  <w:lang w:eastAsia="zh-CN"/>
        </w:rPr>
        <w:t>零陵区乡村振兴局</w:t>
      </w:r>
      <w:r>
        <w:rPr>
          <w:rFonts w:eastAsia="方正小标宋_GBK"/>
          <w:sz w:val="48"/>
          <w:szCs w:val="48"/>
        </w:rPr>
        <w:t>部门整体支出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eastAsia="zh-CN"/>
        </w:rPr>
        <w:t>永州市零陵区乡村振兴局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（此页为封面）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（一）部门（单位）基本情况</w:t>
      </w:r>
    </w:p>
    <w:p>
      <w:pPr>
        <w:snapToGrid w:val="0"/>
        <w:spacing w:line="480" w:lineRule="exact"/>
        <w:ind w:firstLine="643" w:firstLineChars="200"/>
        <w:rPr>
          <w:rFonts w:hint="default" w:ascii="仿宋_GB2312" w:hAnsi="仿宋" w:eastAsia="仿宋_GB2312"/>
          <w:b/>
          <w:bCs/>
          <w:sz w:val="32"/>
          <w:szCs w:val="32"/>
        </w:rPr>
      </w:pPr>
      <w:r>
        <w:rPr>
          <w:rFonts w:hint="default" w:ascii="仿宋_GB2312" w:hAnsi="仿宋" w:eastAsia="仿宋_GB2312"/>
          <w:b/>
          <w:bCs/>
          <w:sz w:val="32"/>
          <w:szCs w:val="32"/>
        </w:rPr>
        <w:t>1．主要职能。</w:t>
      </w:r>
    </w:p>
    <w:p>
      <w:pPr>
        <w:spacing w:line="480" w:lineRule="exact"/>
        <w:ind w:firstLine="60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</w:rPr>
        <w:t>贯彻执行党中央、省、市、区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</w:rPr>
        <w:t>工作方针、政策、法规，拟定全区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</w:rPr>
        <w:t>战略规划，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负责组织、协调、指导全区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工作，组织实施精准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帮扶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。负责会同有关部门组织开展全区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督查、考核工作。</w:t>
      </w:r>
    </w:p>
    <w:p>
      <w:pPr>
        <w:spacing w:line="480" w:lineRule="exact"/>
        <w:ind w:firstLine="60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</w:rPr>
        <w:t>组织指导乡镇街道实施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衔接资金</w:t>
      </w:r>
      <w:r>
        <w:rPr>
          <w:rFonts w:hint="default" w:ascii="仿宋" w:hAnsi="仿宋" w:eastAsia="仿宋" w:cs="仿宋"/>
          <w:sz w:val="30"/>
          <w:szCs w:val="30"/>
        </w:rPr>
        <w:t>项目，监督管理财政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衔接</w:t>
      </w:r>
      <w:r>
        <w:rPr>
          <w:rFonts w:hint="default" w:ascii="仿宋" w:hAnsi="仿宋" w:eastAsia="仿宋" w:cs="仿宋"/>
          <w:sz w:val="30"/>
          <w:szCs w:val="30"/>
        </w:rPr>
        <w:t>资金、小额信贷贴息资金及各类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衔接资金</w:t>
      </w:r>
      <w:r>
        <w:rPr>
          <w:rFonts w:hint="default" w:ascii="仿宋" w:hAnsi="仿宋" w:eastAsia="仿宋" w:cs="仿宋"/>
          <w:sz w:val="30"/>
          <w:szCs w:val="30"/>
        </w:rPr>
        <w:t>项目。</w:t>
      </w:r>
    </w:p>
    <w:p>
      <w:pPr>
        <w:spacing w:line="480" w:lineRule="exact"/>
        <w:ind w:firstLine="60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</w:rPr>
        <w:t>组织全区各级党政机关、企事业单位、民主党派、社会团体，开展驻村帮扶工作，对驻村帮扶工作队开展业务培训、督促指导、考核验收等日常工作。</w:t>
      </w:r>
    </w:p>
    <w:p>
      <w:pPr>
        <w:spacing w:line="480" w:lineRule="exact"/>
        <w:rPr>
          <w:rFonts w:hint="default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</w:rPr>
        <w:t>组织机关、企事业单位、社会团体、爱心人士对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脱贫</w:t>
      </w:r>
      <w:r>
        <w:rPr>
          <w:rFonts w:hint="default" w:ascii="仿宋" w:hAnsi="仿宋" w:eastAsia="仿宋" w:cs="仿宋"/>
          <w:sz w:val="30"/>
          <w:szCs w:val="30"/>
        </w:rPr>
        <w:t>户进行对接帮扶；对各单位上报的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巩固拓展脱贫攻坚成果</w:t>
      </w:r>
      <w:r>
        <w:rPr>
          <w:rFonts w:hint="default" w:ascii="仿宋" w:hAnsi="仿宋" w:eastAsia="仿宋" w:cs="仿宋"/>
          <w:sz w:val="30"/>
          <w:szCs w:val="30"/>
        </w:rPr>
        <w:t>成就、社会扶贫成就等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</w:rPr>
        <w:t>成果进行展示；组织区内企业、个人在“中国社会扶贫网”平台注册店铺，销售零陵农特产品，并做好与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脱贫</w:t>
      </w:r>
      <w:r>
        <w:rPr>
          <w:rFonts w:hint="default" w:ascii="仿宋" w:hAnsi="仿宋" w:eastAsia="仿宋" w:cs="仿宋"/>
          <w:sz w:val="30"/>
          <w:szCs w:val="30"/>
        </w:rPr>
        <w:t>户的产品对接；负责做好社会扶贫网管理的其他工作。</w:t>
      </w:r>
    </w:p>
    <w:p>
      <w:pPr>
        <w:spacing w:line="480" w:lineRule="exact"/>
        <w:rPr>
          <w:rFonts w:hint="default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</w:rPr>
        <w:t>组织开展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脱贫</w:t>
      </w:r>
      <w:r>
        <w:rPr>
          <w:rFonts w:hint="default" w:ascii="仿宋" w:hAnsi="仿宋" w:eastAsia="仿宋" w:cs="仿宋"/>
          <w:sz w:val="30"/>
          <w:szCs w:val="30"/>
        </w:rPr>
        <w:t>劳动力、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脱贫</w:t>
      </w:r>
      <w:r>
        <w:rPr>
          <w:rFonts w:hint="default" w:ascii="仿宋" w:hAnsi="仿宋" w:eastAsia="仿宋" w:cs="仿宋"/>
          <w:sz w:val="30"/>
          <w:szCs w:val="30"/>
        </w:rPr>
        <w:t>村主干的技能培训和区乡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</w:rPr>
        <w:t>干部的业务培训，落实对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脱贫</w:t>
      </w:r>
      <w:r>
        <w:rPr>
          <w:rFonts w:hint="default" w:ascii="仿宋" w:hAnsi="仿宋" w:eastAsia="仿宋" w:cs="仿宋"/>
          <w:sz w:val="30"/>
          <w:szCs w:val="30"/>
        </w:rPr>
        <w:t>家庭子女各阶段就学资助政策。</w:t>
      </w:r>
    </w:p>
    <w:p>
      <w:pPr>
        <w:spacing w:line="480" w:lineRule="exact"/>
        <w:rPr>
          <w:rFonts w:hint="default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</w:rPr>
        <w:t>深入基层调研，指导帮助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重点帮扶</w:t>
      </w:r>
      <w:r>
        <w:rPr>
          <w:rFonts w:hint="default" w:ascii="仿宋" w:hAnsi="仿宋" w:eastAsia="仿宋" w:cs="仿宋"/>
          <w:sz w:val="30"/>
          <w:szCs w:val="30"/>
        </w:rPr>
        <w:t>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、示范创建村、一般脱贫村</w:t>
      </w:r>
      <w:r>
        <w:rPr>
          <w:rFonts w:hint="default" w:ascii="仿宋" w:hAnsi="仿宋" w:eastAsia="仿宋" w:cs="仿宋"/>
          <w:sz w:val="30"/>
          <w:szCs w:val="30"/>
        </w:rPr>
        <w:t>制定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</w:rPr>
        <w:t>规划和实施方案。</w:t>
      </w:r>
    </w:p>
    <w:p>
      <w:pPr>
        <w:spacing w:line="480" w:lineRule="exact"/>
        <w:ind w:firstLine="600" w:firstLineChars="200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</w:rPr>
        <w:t>根据国家和省定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监测</w:t>
      </w:r>
      <w:r>
        <w:rPr>
          <w:rFonts w:hint="default" w:ascii="仿宋" w:hAnsi="仿宋" w:eastAsia="仿宋" w:cs="仿宋"/>
          <w:sz w:val="30"/>
          <w:szCs w:val="30"/>
        </w:rPr>
        <w:t>标准，对农村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脱贫</w:t>
      </w:r>
      <w:r>
        <w:rPr>
          <w:rFonts w:hint="default" w:ascii="仿宋" w:hAnsi="仿宋" w:eastAsia="仿宋" w:cs="仿宋"/>
          <w:sz w:val="30"/>
          <w:szCs w:val="30"/>
        </w:rPr>
        <w:t>人口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、边缘易致贫人口、突发困难人口</w:t>
      </w:r>
      <w:r>
        <w:rPr>
          <w:rFonts w:hint="default" w:ascii="仿宋" w:hAnsi="仿宋" w:eastAsia="仿宋" w:cs="仿宋"/>
          <w:sz w:val="30"/>
          <w:szCs w:val="30"/>
        </w:rPr>
        <w:t>进行精准识别和建档立卡，指导乡镇街道采集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监测</w:t>
      </w:r>
      <w:r>
        <w:rPr>
          <w:rFonts w:hint="default" w:ascii="仿宋" w:hAnsi="仿宋" w:eastAsia="仿宋" w:cs="仿宋"/>
          <w:sz w:val="30"/>
          <w:szCs w:val="30"/>
        </w:rPr>
        <w:t>对象信息，录入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全国防止返贫监测</w:t>
      </w:r>
      <w:r>
        <w:rPr>
          <w:rFonts w:hint="default" w:ascii="仿宋" w:hAnsi="仿宋" w:eastAsia="仿宋" w:cs="仿宋"/>
          <w:sz w:val="30"/>
          <w:szCs w:val="30"/>
        </w:rPr>
        <w:t>信息管理系统，进行信息更新和动态管理，并按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监测</w:t>
      </w:r>
      <w:r>
        <w:rPr>
          <w:rFonts w:hint="default" w:ascii="仿宋" w:hAnsi="仿宋" w:eastAsia="仿宋" w:cs="仿宋"/>
          <w:sz w:val="30"/>
          <w:szCs w:val="30"/>
        </w:rPr>
        <w:t>人口需求分类落实帮扶措施、帮扶责任。</w:t>
      </w:r>
    </w:p>
    <w:p>
      <w:pPr>
        <w:spacing w:line="480" w:lineRule="exact"/>
        <w:rPr>
          <w:rFonts w:hint="default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负责组织开展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信息体系建设，建立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开发统计监测体系，指导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系统统计和信息化建设工作。</w:t>
      </w:r>
      <w:r>
        <w:rPr>
          <w:rFonts w:hint="default" w:ascii="仿宋" w:hAnsi="仿宋" w:eastAsia="仿宋" w:cs="仿宋"/>
          <w:sz w:val="30"/>
          <w:szCs w:val="30"/>
        </w:rPr>
        <w:t>加强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巩固拓展脱贫攻坚成果</w:t>
      </w:r>
      <w:r>
        <w:rPr>
          <w:rFonts w:hint="default" w:ascii="仿宋" w:hAnsi="仿宋" w:eastAsia="仿宋" w:cs="仿宋"/>
          <w:sz w:val="30"/>
          <w:szCs w:val="30"/>
        </w:rPr>
        <w:t>成效监测统计，及时做好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监测对象</w:t>
      </w:r>
      <w:r>
        <w:rPr>
          <w:rFonts w:hint="default" w:ascii="仿宋" w:hAnsi="仿宋" w:eastAsia="仿宋" w:cs="仿宋"/>
          <w:sz w:val="30"/>
          <w:szCs w:val="30"/>
        </w:rPr>
        <w:t>人口退出，加强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乡村振兴</w:t>
      </w:r>
      <w:r>
        <w:rPr>
          <w:rFonts w:hint="default" w:ascii="仿宋" w:hAnsi="仿宋" w:eastAsia="仿宋" w:cs="仿宋"/>
          <w:sz w:val="30"/>
          <w:szCs w:val="30"/>
        </w:rPr>
        <w:t>宣传、信息交流等工作。</w:t>
      </w:r>
    </w:p>
    <w:p>
      <w:pPr>
        <w:spacing w:line="48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承担协调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全国防止返贫监测</w:t>
      </w:r>
      <w:r>
        <w:rPr>
          <w:rFonts w:hint="default" w:ascii="仿宋" w:hAnsi="仿宋" w:eastAsia="仿宋" w:cs="仿宋"/>
          <w:sz w:val="30"/>
          <w:szCs w:val="30"/>
        </w:rPr>
        <w:t>信息管理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系统风险防控、涉贫信访和舆情处置工作。</w:t>
      </w:r>
      <w:bookmarkStart w:id="0" w:name="_GoBack"/>
      <w:bookmarkEnd w:id="0"/>
    </w:p>
    <w:p>
      <w:pPr>
        <w:snapToGrid/>
        <w:spacing w:line="480" w:lineRule="exact"/>
        <w:ind w:firstLine="0" w:firstLineChars="0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sz w:val="30"/>
          <w:szCs w:val="30"/>
        </w:rPr>
        <w:t>承办区委、区政府交办的其它事项。</w:t>
      </w:r>
    </w:p>
    <w:p>
      <w:pPr>
        <w:snapToGrid/>
        <w:spacing w:line="480" w:lineRule="exact"/>
        <w:ind w:firstLine="643" w:firstLineChars="200"/>
        <w:rPr>
          <w:rFonts w:hint="default" w:ascii="仿宋_GB2312" w:hAnsi="仿宋" w:eastAsia="仿宋_GB2312"/>
          <w:b/>
          <w:bCs/>
          <w:sz w:val="32"/>
          <w:szCs w:val="32"/>
        </w:rPr>
      </w:pPr>
      <w:r>
        <w:rPr>
          <w:rFonts w:hint="default" w:ascii="仿宋_GB2312" w:hAnsi="仿宋" w:eastAsia="仿宋_GB2312"/>
          <w:b/>
          <w:bCs/>
          <w:sz w:val="32"/>
          <w:szCs w:val="32"/>
        </w:rPr>
        <w:t>2．机构情况，包括当年变动情况及原因。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乡村振兴局（原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扶贫办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），因国家机构改革，于2021年5月更名为永州市零陵区乡村振兴局，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内设机构6个：办公室、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防贫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监测室、规划财务室、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督导考核室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开发指导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室和政策协调室。</w:t>
      </w:r>
    </w:p>
    <w:p>
      <w:pPr>
        <w:snapToGrid/>
        <w:spacing w:line="48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人员情况，包括当年变动情况及原因。</w:t>
      </w:r>
    </w:p>
    <w:p>
      <w:pPr>
        <w:snapToGrid/>
        <w:spacing w:line="48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本部门核定编制数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人，全额编制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人，实有人数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人，其中：在岗人员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人，停薪留职人员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人，离退休人员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人。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本年行政编制共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15名，较上年无变动，事业编制人员共13名，较上年因人员调动增加了3名。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部门（单位）年度整体支出绩效目标，</w:t>
      </w:r>
      <w:r>
        <w:rPr>
          <w:rFonts w:hint="eastAsia" w:eastAsia="楷体_GB2312"/>
          <w:b/>
          <w:sz w:val="32"/>
          <w:szCs w:val="32"/>
          <w:lang w:eastAsia="zh-CN"/>
        </w:rPr>
        <w:t>区</w:t>
      </w:r>
      <w:r>
        <w:rPr>
          <w:rFonts w:eastAsia="楷体_GB2312"/>
          <w:b/>
          <w:sz w:val="32"/>
          <w:szCs w:val="32"/>
        </w:rPr>
        <w:t>级专项资金绩效目标、其他项目支出（除</w:t>
      </w:r>
      <w:r>
        <w:rPr>
          <w:rFonts w:hint="eastAsia" w:eastAsia="楷体_GB2312"/>
          <w:b/>
          <w:sz w:val="32"/>
          <w:szCs w:val="32"/>
          <w:lang w:eastAsia="zh-CN"/>
        </w:rPr>
        <w:t>区</w:t>
      </w:r>
      <w:r>
        <w:rPr>
          <w:rFonts w:eastAsia="楷体_GB2312"/>
          <w:b/>
          <w:sz w:val="32"/>
          <w:szCs w:val="32"/>
        </w:rPr>
        <w:t>级专项资金以外）绩效目标</w:t>
      </w:r>
    </w:p>
    <w:p>
      <w:pPr>
        <w:pStyle w:val="3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一、整体支出绩效目标：</w:t>
      </w:r>
      <w:r>
        <w:rPr>
          <w:rFonts w:hint="eastAsia" w:ascii="仿宋_GB2312" w:hAnsi="仿宋_GB2312" w:eastAsia="仿宋_GB2312"/>
          <w:kern w:val="2"/>
          <w:sz w:val="30"/>
          <w:szCs w:val="30"/>
        </w:rPr>
        <w:t>1</w:t>
      </w:r>
      <w:r>
        <w:rPr>
          <w:rFonts w:hint="eastAsia" w:ascii="仿宋_GB2312" w:hAnsi="仿宋_GB2312" w:eastAsia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保证人员工资及时发放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_GB2312" w:hAnsi="仿宋_GB2312" w:eastAsia="仿宋_GB2312"/>
          <w:kern w:val="2"/>
          <w:sz w:val="30"/>
          <w:szCs w:val="30"/>
        </w:rPr>
        <w:t>2</w:t>
      </w:r>
      <w:r>
        <w:rPr>
          <w:rFonts w:hint="eastAsia" w:ascii="仿宋_GB2312" w:hAnsi="仿宋_GB2312" w:eastAsia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保证日常工作正常运转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_GB2312" w:hAnsi="仿宋_GB2312" w:eastAsia="仿宋_GB2312"/>
          <w:kern w:val="2"/>
          <w:sz w:val="30"/>
          <w:szCs w:val="30"/>
        </w:rPr>
        <w:t>3</w:t>
      </w:r>
      <w:r>
        <w:rPr>
          <w:rFonts w:hint="eastAsia" w:ascii="仿宋_GB2312" w:hAnsi="仿宋_GB2312" w:eastAsia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保证完成时效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widowControl/>
        <w:ind w:firstLine="960" w:firstLineChars="30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eastAsia="楷体_GB2312"/>
          <w:b w:val="0"/>
          <w:bCs/>
          <w:sz w:val="32"/>
          <w:szCs w:val="32"/>
          <w:lang w:eastAsia="zh-CN"/>
        </w:rPr>
        <w:t>二、区</w:t>
      </w:r>
      <w:r>
        <w:rPr>
          <w:rFonts w:eastAsia="楷体_GB2312"/>
          <w:b w:val="0"/>
          <w:bCs/>
          <w:sz w:val="32"/>
          <w:szCs w:val="32"/>
        </w:rPr>
        <w:t>级专项资金绩效目标</w:t>
      </w:r>
      <w:r>
        <w:rPr>
          <w:rFonts w:hint="eastAsia" w:eastAsia="楷体_GB2312"/>
          <w:b w:val="0"/>
          <w:bCs/>
          <w:sz w:val="32"/>
          <w:szCs w:val="32"/>
          <w:lang w:eastAsia="zh-CN"/>
        </w:rPr>
        <w:t>：</w:t>
      </w:r>
      <w:r>
        <w:rPr>
          <w:rFonts w:hint="eastAsia" w:eastAsia="楷体_GB2312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确保工作正常运转；2、脱贫攻坚与乡村振兴有效衔接。</w:t>
      </w:r>
    </w:p>
    <w:p>
      <w:pPr>
        <w:pStyle w:val="3"/>
        <w:numPr>
          <w:ilvl w:val="0"/>
          <w:numId w:val="0"/>
        </w:numPr>
        <w:ind w:firstLine="900" w:firstLineChars="3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三、其他项目支出绩效目标：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1、小额贴息拨付；2、雨露计划及时审核拨付；3、就业培训按文件要求落实到位；4、产业发展项目审定按程序拨付。</w:t>
      </w:r>
    </w:p>
    <w:p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7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numPr>
          <w:ilvl w:val="0"/>
          <w:numId w:val="0"/>
        </w:numPr>
        <w:snapToGrid/>
        <w:spacing w:line="480" w:lineRule="exact"/>
        <w:ind w:firstLine="640" w:firstLineChars="200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年我单位整体基本支出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293.61万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/>
        <w:spacing w:line="48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、人员经费2701920.56元。工资福利支出，其中基本工资1613941元；津补贴331893元；奖金270248元（2021年第13个月奖励工资44578元、2020年度绩效考核奖金198670元、2020年度向上争资考核奖金27000元）；社保费475238.56元；对个人和家庭的补助7000元，其他对个人和家庭的补助3600元。</w:t>
      </w:r>
    </w:p>
    <w:p>
      <w:pPr>
        <w:numPr>
          <w:ilvl w:val="0"/>
          <w:numId w:val="0"/>
        </w:numPr>
        <w:snapToGrid/>
        <w:spacing w:line="48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（2）、公用经费234210.6元。其中办公费43233.4元；培训费3900元；劳务费4300元；公务接待费54487元；工会经费107632元；其他商品服务支出20658元。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w w:val="100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“三公”经费支出情况：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本年度“三公”经费总支出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54487元，与上年17969元对比，增加了36518元。主要原因是拨付了上年度尾款；本年年初预算为5.31万元，决算数5.4487万元，主要原因也是拨付了上年度尾款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</w:rPr>
        <w:t>其中：因公出国（境）费支出为0万元；公务用车运行维护费支出0万元；公务接待费支出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/>
        </w:rPr>
        <w:t>5.4487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</w:rPr>
        <w:t>万元。</w:t>
      </w:r>
    </w:p>
    <w:p>
      <w:pPr>
        <w:pStyle w:val="7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</w:p>
    <w:p>
      <w:pPr>
        <w:pStyle w:val="7"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（二）项目支出情况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两方面：一是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级专项资金分配安排和使用管理情况，有2个及以上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级专项资金的要分别总结基本情况。二是除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级专项资金以外的其他项目支出情况。</w:t>
      </w:r>
    </w:p>
    <w:p>
      <w:pPr>
        <w:numPr>
          <w:ilvl w:val="0"/>
          <w:numId w:val="3"/>
        </w:numPr>
        <w:snapToGrid/>
        <w:spacing w:line="480" w:lineRule="exact"/>
        <w:ind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14868371.92元。</w:t>
      </w:r>
    </w:p>
    <w:p>
      <w:pPr>
        <w:numPr>
          <w:ilvl w:val="0"/>
          <w:numId w:val="4"/>
        </w:numPr>
        <w:snapToGrid/>
        <w:spacing w:line="48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区级项目专项经费支出1543181.5元。</w:t>
      </w:r>
    </w:p>
    <w:p>
      <w:pPr>
        <w:numPr>
          <w:ilvl w:val="0"/>
          <w:numId w:val="4"/>
        </w:numPr>
        <w:snapToGrid/>
        <w:spacing w:line="48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上级补助资金10425654.42元。其中雨露计划6037168元、小额贴息3741686.42元、消费平台150000元、扶贫车间费用补贴170000元、脱贫人口外出务工一次性交通补贴326800元。</w:t>
      </w:r>
    </w:p>
    <w:p>
      <w:pPr>
        <w:numPr>
          <w:ilvl w:val="0"/>
          <w:numId w:val="4"/>
        </w:numPr>
        <w:snapToGrid/>
        <w:spacing w:line="48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一般公共服务支出49896元。天惠油茶收益扶贫49896元。</w:t>
      </w:r>
    </w:p>
    <w:p>
      <w:pPr>
        <w:numPr>
          <w:ilvl w:val="0"/>
          <w:numId w:val="4"/>
        </w:numPr>
        <w:snapToGrid/>
        <w:spacing w:line="48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贷款奖补和贴息2550000元。</w:t>
      </w:r>
    </w:p>
    <w:p>
      <w:pPr>
        <w:numPr>
          <w:ilvl w:val="0"/>
          <w:numId w:val="0"/>
        </w:numPr>
        <w:snapToGrid/>
        <w:spacing w:line="480" w:lineRule="exact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（5）政府性基金预算300000元。其中雨露计划37760元、致富带头人培训262240元。</w:t>
      </w:r>
    </w:p>
    <w:p>
      <w:pPr>
        <w:pStyle w:val="7"/>
        <w:numPr>
          <w:ilvl w:val="0"/>
          <w:numId w:val="0"/>
        </w:numPr>
        <w:spacing w:line="600" w:lineRule="exact"/>
        <w:ind w:left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</w:t>
      </w: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napToGrid/>
        <w:spacing w:line="480" w:lineRule="exact"/>
        <w:ind w:firstLine="60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政府性基金预算300000元。其中雨露计划37760元、致富带头人培训262240元。</w:t>
      </w:r>
    </w:p>
    <w:p>
      <w:pPr>
        <w:pStyle w:val="7"/>
        <w:spacing w:line="600" w:lineRule="exact"/>
        <w:ind w:firstLine="64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四、国有资本经营预算支出情况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（无）</w:t>
      </w:r>
    </w:p>
    <w:p>
      <w:pPr>
        <w:pStyle w:val="7"/>
        <w:spacing w:line="600" w:lineRule="exact"/>
        <w:ind w:firstLine="64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五、社会保险基金预算支出情况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（无）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总结归纳本部门“四本预算”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>
      <w:pPr>
        <w:widowControl/>
        <w:numPr>
          <w:ilvl w:val="0"/>
          <w:numId w:val="0"/>
        </w:numPr>
        <w:pBdr>
          <w:bottom w:val="single" w:color="FFFFFF" w:sz="8" w:space="31"/>
        </w:pBdr>
        <w:shd w:val="clear" w:color="auto" w:fill="auto"/>
        <w:snapToGrid/>
        <w:spacing w:line="48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（一）持续巩固脱贫成果1.强化返贫致贫监测和常态化帮扶。2.强化产业就业帮扶。3.全面补齐“3+1”保障短板弱项。4.强化易地搬迁后续扶持。</w:t>
      </w:r>
    </w:p>
    <w:p>
      <w:pPr>
        <w:pStyle w:val="2"/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 （二）推进与乡村振兴有效衔接1.加强队伍建设。2.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开展重点帮扶和示范创建。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推进重点工作。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主要反映各种</w:t>
      </w:r>
      <w:r>
        <w:rPr>
          <w:rFonts w:eastAsia="仿宋_GB2312"/>
          <w:color w:val="000000"/>
          <w:sz w:val="32"/>
          <w:szCs w:val="32"/>
        </w:rPr>
        <w:t>预算支出执行偏离绩效目标的情况，</w:t>
      </w:r>
      <w:r>
        <w:rPr>
          <w:rFonts w:eastAsia="仿宋_GB2312"/>
          <w:sz w:val="32"/>
          <w:szCs w:val="32"/>
        </w:rPr>
        <w:t>并分析其原因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numPr>
          <w:ilvl w:val="0"/>
          <w:numId w:val="5"/>
        </w:numPr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基本支出偏离绩效目标的情况：人员经费超出年初预算，是因为工资普调；</w:t>
      </w:r>
    </w:p>
    <w:p>
      <w:pPr>
        <w:pStyle w:val="2"/>
        <w:numPr>
          <w:ilvl w:val="0"/>
          <w:numId w:val="5"/>
        </w:numPr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项目支出超出预算，是因为上年度财政用款额度结余，另外小额风险补偿专户补存了风险金，年初无法预算；</w:t>
      </w:r>
    </w:p>
    <w:p>
      <w:pPr>
        <w:pStyle w:val="2"/>
        <w:numPr>
          <w:ilvl w:val="0"/>
          <w:numId w:val="5"/>
        </w:numPr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上级衔接资金年初预算5800万元，本年度实际从本单位账户支出1042.57万元，与年初预算偏离是因为部分上级衔接资金从财政直付的，年初无法预算。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本单位绩效自评结果会及时在门户网站公开。</w:t>
      </w:r>
    </w:p>
    <w:p>
      <w:pPr>
        <w:pStyle w:val="2"/>
      </w:pPr>
    </w:p>
    <w:p>
      <w:pPr>
        <w:numPr>
          <w:ilvl w:val="0"/>
          <w:numId w:val="6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无</w:t>
      </w:r>
    </w:p>
    <w:p>
      <w:pPr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单位（部门）绩效自评公开网址统计表</w:t>
      </w:r>
    </w:p>
    <w:tbl>
      <w:tblPr>
        <w:tblStyle w:val="5"/>
        <w:tblpPr w:leftFromText="180" w:rightFromText="180" w:vertAnchor="text" w:horzAnchor="page" w:tblpX="1538" w:tblpY="67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21"/>
        <w:gridCol w:w="684"/>
        <w:gridCol w:w="2784"/>
        <w:gridCol w:w="1092"/>
        <w:gridCol w:w="1440"/>
        <w:gridCol w:w="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位 名 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自评报告公开是/否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公开网址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702001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永州市零陵区乡村振兴局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http://www.cnll.gov.cn/llqfpb/0300/202302/4db25dc8e2b148ef90ff4ba25bfeafc0.shtml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唐铃菲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18075816887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86E97"/>
    <w:multiLevelType w:val="singleLevel"/>
    <w:tmpl w:val="B1D86E9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5AFD9B2"/>
    <w:multiLevelType w:val="singleLevel"/>
    <w:tmpl w:val="C5AFD9B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B280B5"/>
    <w:multiLevelType w:val="singleLevel"/>
    <w:tmpl w:val="DFB280B5"/>
    <w:lvl w:ilvl="0" w:tentative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3">
    <w:nsid w:val="F08E328A"/>
    <w:multiLevelType w:val="singleLevel"/>
    <w:tmpl w:val="F08E32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8314CEC"/>
    <w:multiLevelType w:val="singleLevel"/>
    <w:tmpl w:val="08314CEC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36B40FE"/>
    <w:multiLevelType w:val="singleLevel"/>
    <w:tmpl w:val="136B40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WE3Mzc5NmE1NzBhMTI1N2UyZmI0ZmQ2ZGRkYjQifQ=="/>
  </w:docVars>
  <w:rsids>
    <w:rsidRoot w:val="00000000"/>
    <w:rsid w:val="1D2C4037"/>
    <w:rsid w:val="22796B7B"/>
    <w:rsid w:val="374333B1"/>
    <w:rsid w:val="51C11F77"/>
    <w:rsid w:val="69F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3394</Words>
  <Characters>3978</Characters>
  <Lines>0</Lines>
  <Paragraphs>0</Paragraphs>
  <TotalTime>4</TotalTime>
  <ScaleCrop>false</ScaleCrop>
  <LinksUpToDate>false</LinksUpToDate>
  <CharactersWithSpaces>4145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烈焰</cp:lastModifiedBy>
  <dcterms:modified xsi:type="dcterms:W3CDTF">2024-06-26T01:09:52Z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E57E0A3991FC46B69339DC43A57615CA</vt:lpwstr>
  </property>
</Properties>
</file>