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eastAsia="黑体"/>
          <w:sz w:val="32"/>
          <w:szCs w:val="32"/>
        </w:rPr>
      </w:pPr>
      <w:r>
        <w:rPr>
          <w:rFonts w:eastAsia="黑体"/>
          <w:sz w:val="32"/>
          <w:szCs w:val="32"/>
        </w:rPr>
        <w:t>附件</w:t>
      </w:r>
      <w:r>
        <w:rPr>
          <w:rFonts w:hint="eastAsia" w:eastAsia="黑体"/>
          <w:sz w:val="32"/>
          <w:szCs w:val="32"/>
          <w:lang w:val="en-US" w:eastAsia="zh-CN"/>
        </w:rPr>
        <w:t>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1098"/>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区</w:t>
            </w:r>
            <w:r>
              <w:rPr>
                <w:rFonts w:eastAsia="仿宋_GB2312"/>
                <w:color w:val="000000"/>
                <w:kern w:val="0"/>
                <w:szCs w:val="21"/>
              </w:rPr>
              <w:t>级预算</w:t>
            </w:r>
            <w:r>
              <w:rPr>
                <w:rFonts w:hint="eastAsia" w:eastAsia="仿宋_GB2312"/>
                <w:color w:val="000000"/>
                <w:kern w:val="0"/>
                <w:szCs w:val="21"/>
                <w:lang w:eastAsia="zh-CN"/>
              </w:rPr>
              <w:t>单位</w:t>
            </w:r>
            <w:r>
              <w:rPr>
                <w:rFonts w:eastAsia="仿宋_GB2312"/>
                <w:color w:val="000000"/>
                <w:kern w:val="0"/>
                <w:szCs w:val="21"/>
              </w:rPr>
              <w:t>名称</w:t>
            </w:r>
          </w:p>
        </w:tc>
        <w:tc>
          <w:tcPr>
            <w:tcW w:w="9243" w:type="dxa"/>
            <w:gridSpan w:val="9"/>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szCs w:val="21"/>
              </w:rPr>
              <w:t>永州市农业综合行政执法支队零陵区大队</w:t>
            </w:r>
            <w:r>
              <w:rPr>
                <w:rFonts w:ascii="Times New Roman" w:hAnsi="Times New Roman" w:eastAsia="仿宋_GB2312"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647" w:type="dxa"/>
            <w:gridSpan w:val="2"/>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1098" w:type="dxa"/>
            <w:noWrap w:val="0"/>
            <w:vAlign w:val="center"/>
          </w:tcPr>
          <w:p>
            <w:pPr>
              <w:jc w:val="center"/>
              <w:rPr>
                <w:rFonts w:eastAsia="仿宋_GB2312"/>
                <w:szCs w:val="21"/>
              </w:rPr>
            </w:pPr>
            <w:r>
              <w:rPr>
                <w:rFonts w:eastAsia="仿宋_GB2312"/>
                <w:szCs w:val="21"/>
              </w:rPr>
              <w:t>执行率</w:t>
            </w:r>
          </w:p>
        </w:tc>
        <w:tc>
          <w:tcPr>
            <w:tcW w:w="12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286.17</w:t>
            </w:r>
          </w:p>
        </w:tc>
        <w:tc>
          <w:tcPr>
            <w:tcW w:w="1295" w:type="dxa"/>
            <w:gridSpan w:val="2"/>
            <w:noWrap w:val="0"/>
            <w:vAlign w:val="center"/>
          </w:tcPr>
          <w:p>
            <w:pPr>
              <w:jc w:val="center"/>
              <w:rPr>
                <w:rFonts w:hint="default" w:eastAsia="仿宋_GB2312"/>
                <w:szCs w:val="21"/>
                <w:lang w:val="en-US" w:eastAsia="zh-CN"/>
              </w:rPr>
            </w:pP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323.73</w:t>
            </w:r>
          </w:p>
        </w:tc>
        <w:tc>
          <w:tcPr>
            <w:tcW w:w="709" w:type="dxa"/>
            <w:noWrap w:val="0"/>
            <w:vAlign w:val="center"/>
          </w:tcPr>
          <w:p>
            <w:pPr>
              <w:jc w:val="center"/>
              <w:rPr>
                <w:rFonts w:eastAsia="仿宋_GB2312"/>
                <w:szCs w:val="21"/>
              </w:rPr>
            </w:pPr>
            <w:r>
              <w:rPr>
                <w:rFonts w:eastAsia="仿宋_GB2312"/>
                <w:szCs w:val="21"/>
              </w:rPr>
              <w:t>10</w:t>
            </w:r>
          </w:p>
        </w:tc>
        <w:tc>
          <w:tcPr>
            <w:tcW w:w="1098" w:type="dxa"/>
            <w:noWrap w:val="0"/>
            <w:vAlign w:val="center"/>
          </w:tcPr>
          <w:p>
            <w:pPr>
              <w:jc w:val="center"/>
              <w:rPr>
                <w:rFonts w:hint="default" w:eastAsia="仿宋_GB2312"/>
                <w:szCs w:val="21"/>
                <w:lang w:val="en-US" w:eastAsia="zh-CN"/>
              </w:rPr>
            </w:pPr>
            <w:r>
              <w:rPr>
                <w:rFonts w:hint="eastAsia" w:eastAsia="仿宋_GB2312"/>
                <w:szCs w:val="21"/>
                <w:lang w:val="en-US" w:eastAsia="zh-CN"/>
              </w:rPr>
              <w:t>113.13%</w:t>
            </w:r>
          </w:p>
        </w:tc>
        <w:tc>
          <w:tcPr>
            <w:tcW w:w="1246" w:type="dxa"/>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按收入性质分：</w:t>
            </w:r>
            <w:r>
              <w:rPr>
                <w:rFonts w:hint="eastAsia" w:eastAsia="仿宋_GB2312"/>
                <w:color w:val="000000"/>
                <w:kern w:val="0"/>
                <w:szCs w:val="21"/>
                <w:lang w:val="en-US" w:eastAsia="zh-CN"/>
              </w:rPr>
              <w:t>286.17</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286.17</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271.17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1.强抓执法利剑，毫不松劲。2.强抓法制宣传，防"患"于未然。3.强抓业务培训，提升执法效能。</w:t>
            </w:r>
            <w:r>
              <w:rPr>
                <w:rFonts w:ascii="Times New Roman" w:hAnsi="Times New Roman" w:eastAsia="仿宋_GB2312" w:cs="Times New Roman"/>
                <w:color w:val="000000"/>
                <w:kern w:val="0"/>
                <w:szCs w:val="21"/>
              </w:rPr>
              <w:t>　</w:t>
            </w:r>
            <w:r>
              <w:rPr>
                <w:rFonts w:eastAsia="仿宋_GB2312"/>
                <w:color w:val="000000"/>
                <w:kern w:val="0"/>
                <w:szCs w:val="21"/>
              </w:rPr>
              <w:t>　</w:t>
            </w:r>
          </w:p>
        </w:tc>
        <w:tc>
          <w:tcPr>
            <w:tcW w:w="4187" w:type="dxa"/>
            <w:gridSpan w:val="4"/>
            <w:noWrap w:val="0"/>
            <w:vAlign w:val="center"/>
          </w:tcPr>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540" w:lineRule="exact"/>
              <w:ind w:firstLine="420" w:firstLineChars="200"/>
              <w:textAlignment w:val="auto"/>
              <w:rPr>
                <w:rFonts w:hint="eastAsia" w:ascii="仿宋_GB2312" w:hAnsi="仿宋_GB2312" w:eastAsia="仿宋_GB2312" w:cs="仿宋_GB2312"/>
                <w:color w:val="auto"/>
                <w:sz w:val="32"/>
                <w:szCs w:val="32"/>
                <w:lang w:val="en-US" w:eastAsia="zh-CN"/>
              </w:rPr>
            </w:pPr>
            <w:r>
              <w:rPr>
                <w:rFonts w:eastAsia="仿宋_GB2312"/>
                <w:color w:val="000000"/>
                <w:kern w:val="0"/>
                <w:szCs w:val="21"/>
              </w:rPr>
              <w:t>　</w:t>
            </w:r>
            <w:r>
              <w:rPr>
                <w:rFonts w:hint="eastAsia" w:ascii="Times New Roman" w:hAnsi="Times New Roman" w:eastAsia="仿宋_GB2312" w:cs="Times New Roman"/>
                <w:color w:val="000000"/>
                <w:kern w:val="0"/>
                <w:szCs w:val="21"/>
                <w:lang w:val="en-US" w:eastAsia="zh-CN"/>
              </w:rPr>
              <w:t>2022年，共出动执法人员3031人次，出动执法车辆660余台次，船艇270余艘次，查办案件34起，结案33起，移送公安2起，罚没收入共计20.43万元。大要案查办力度、数量在全市均位居前列，且查办的案件零诉讼、零复议。</w:t>
            </w:r>
          </w:p>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10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执法检查</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≥120次</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≥120次</w:t>
            </w: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乡镇农业普法覆盖率</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100%</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任务完成及时率</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100%</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eastAsia="zh-CN"/>
              </w:rPr>
              <w:t>经费开支</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预算内</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预算内</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罚没收入</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≥20万</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≥20万</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百姓肉食</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安全</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安全</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209" w:type="dxa"/>
            <w:gridSpan w:val="2"/>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长江流域“十年禁渔”</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完善</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完善</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禁捕执法长效机制</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完善</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完善</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209" w:type="dxa"/>
            <w:gridSpan w:val="2"/>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群众满意度</w:t>
            </w:r>
          </w:p>
        </w:tc>
        <w:tc>
          <w:tcPr>
            <w:tcW w:w="1200"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≥95%</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≥95%</w:t>
            </w: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209" w:type="dxa"/>
            <w:gridSpan w:val="2"/>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120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13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7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109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sz w:val="20"/>
                <w:szCs w:val="20"/>
                <w:lang w:val="en-US" w:eastAsia="zh-CN"/>
              </w:rPr>
              <w:t>综合执法工作经费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2.91</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rPr>
            </w:pPr>
            <w:r>
              <w:rPr>
                <w:rFonts w:hint="eastAsia" w:ascii="Times New Roman" w:hAnsi="Times New Roman" w:eastAsia="仿宋_GB2312" w:cs="Times New Roman"/>
                <w:sz w:val="20"/>
                <w:szCs w:val="20"/>
                <w:lang w:val="en-US" w:eastAsia="zh-CN"/>
              </w:rPr>
              <w:t>29%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pStyle w:val="6"/>
              <w:shd w:val="clear" w:color="auto" w:fill="FFFFFF"/>
              <w:spacing w:before="50" w:beforeAutospacing="0" w:afterAutospacing="0" w:line="220" w:lineRule="atLeast"/>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加强对农药、兽药、种子市场的执法力度，严厉打击农资违法犯罪行为。</w:t>
            </w:r>
          </w:p>
          <w:p>
            <w:pPr>
              <w:widowControl/>
              <w:jc w:val="center"/>
              <w:rPr>
                <w:rFonts w:eastAsia="仿宋_GB2312"/>
                <w:color w:val="000000"/>
                <w:kern w:val="0"/>
                <w:szCs w:val="21"/>
              </w:rPr>
            </w:pPr>
          </w:p>
        </w:tc>
        <w:tc>
          <w:tcPr>
            <w:tcW w:w="4253" w:type="dxa"/>
            <w:gridSpan w:val="4"/>
            <w:noWrap w:val="0"/>
            <w:vAlign w:val="center"/>
          </w:tcPr>
          <w:p>
            <w:pPr>
              <w:pStyle w:val="6"/>
              <w:shd w:val="clear" w:color="auto" w:fill="FFFFFF"/>
              <w:spacing w:before="50" w:beforeAutospacing="0" w:afterAutospacing="0" w:line="220" w:lineRule="atLeast"/>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加强对农药、兽药、种子市场的执法力度，严厉打击农资违法犯罪行为。</w:t>
            </w:r>
          </w:p>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违法案件数</w:t>
            </w:r>
          </w:p>
        </w:tc>
        <w:tc>
          <w:tcPr>
            <w:tcW w:w="1209"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≥8个</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≥8个</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执法检查合格率</w:t>
            </w:r>
          </w:p>
        </w:tc>
        <w:tc>
          <w:tcPr>
            <w:tcW w:w="120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≥95%</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≥95%</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zh-CN" w:eastAsia="zh-CN" w:bidi="zh-CN"/>
              </w:rPr>
            </w:pPr>
            <w:r>
              <w:rPr>
                <w:rFonts w:hint="eastAsia" w:ascii="Times New Roman" w:hAnsi="Times New Roman" w:eastAsia="仿宋_GB2312" w:cs="Times New Roman"/>
                <w:sz w:val="20"/>
                <w:szCs w:val="20"/>
                <w:lang w:val="en-US" w:eastAsia="zh-CN"/>
              </w:rPr>
              <w:t>执法完成率</w:t>
            </w:r>
          </w:p>
        </w:tc>
        <w:tc>
          <w:tcPr>
            <w:tcW w:w="1209"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100%</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100%</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p>
        </w:tc>
        <w:tc>
          <w:tcPr>
            <w:tcW w:w="1134" w:type="dxa"/>
            <w:noWrap w:val="0"/>
            <w:vAlign w:val="center"/>
          </w:tcPr>
          <w:p>
            <w:pPr>
              <w:widowControl/>
              <w:jc w:val="left"/>
              <w:rPr>
                <w:rFonts w:eastAsia="仿宋_GB2312"/>
                <w:color w:val="000000"/>
                <w:kern w:val="0"/>
                <w:szCs w:val="21"/>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kern w:val="0"/>
                <w:sz w:val="20"/>
                <w:szCs w:val="20"/>
                <w:lang w:val="en-US" w:eastAsia="zh-CN" w:bidi="zh-CN"/>
              </w:rPr>
              <w:t>工作经费</w:t>
            </w:r>
          </w:p>
        </w:tc>
        <w:tc>
          <w:tcPr>
            <w:tcW w:w="1209" w:type="dxa"/>
            <w:noWrap w:val="0"/>
            <w:vAlign w:val="center"/>
          </w:tcPr>
          <w:p>
            <w:pPr>
              <w:spacing w:line="240" w:lineRule="exact"/>
              <w:jc w:val="center"/>
              <w:rPr>
                <w:rFonts w:hint="eastAsia" w:ascii="Times New Roman" w:hAnsi="Times New Roman" w:eastAsia="仿宋_GB2312" w:cs="Times New Roman"/>
                <w:kern w:val="0"/>
                <w:sz w:val="20"/>
                <w:szCs w:val="20"/>
                <w:lang w:val="en-US" w:eastAsia="zh-CN" w:bidi="zh-CN"/>
              </w:rPr>
            </w:pPr>
            <w:r>
              <w:rPr>
                <w:rFonts w:hint="eastAsia" w:eastAsia="仿宋_GB2312" w:cs="Times New Roman"/>
                <w:kern w:val="0"/>
                <w:sz w:val="20"/>
                <w:szCs w:val="20"/>
                <w:lang w:val="en-US" w:eastAsia="zh-CN" w:bidi="zh-CN"/>
              </w:rPr>
              <w:t>10</w:t>
            </w:r>
            <w:r>
              <w:rPr>
                <w:rFonts w:hint="eastAsia" w:ascii="Times New Roman" w:hAnsi="Times New Roman" w:eastAsia="仿宋_GB2312" w:cs="Times New Roman"/>
                <w:kern w:val="0"/>
                <w:sz w:val="20"/>
                <w:szCs w:val="20"/>
                <w:lang w:val="en-US" w:eastAsia="zh-CN" w:bidi="zh-CN"/>
              </w:rPr>
              <w:t>万</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2.9万</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农业经济发展</w:t>
            </w:r>
          </w:p>
        </w:tc>
        <w:tc>
          <w:tcPr>
            <w:tcW w:w="1209"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提高</w:t>
            </w:r>
          </w:p>
        </w:tc>
        <w:tc>
          <w:tcPr>
            <w:tcW w:w="1134"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提高</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鲜肉食品市场</w:t>
            </w:r>
          </w:p>
        </w:tc>
        <w:tc>
          <w:tcPr>
            <w:tcW w:w="1209"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安全</w:t>
            </w:r>
          </w:p>
        </w:tc>
        <w:tc>
          <w:tcPr>
            <w:tcW w:w="1134"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安全</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p>
        </w:tc>
        <w:tc>
          <w:tcPr>
            <w:tcW w:w="1134" w:type="dxa"/>
            <w:noWrap w:val="0"/>
            <w:vAlign w:val="center"/>
          </w:tcPr>
          <w:p>
            <w:pPr>
              <w:widowControl/>
              <w:jc w:val="left"/>
              <w:rPr>
                <w:rFonts w:eastAsia="仿宋_GB2312"/>
                <w:color w:val="000000"/>
                <w:kern w:val="0"/>
                <w:szCs w:val="21"/>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p>
        </w:tc>
        <w:tc>
          <w:tcPr>
            <w:tcW w:w="1134" w:type="dxa"/>
            <w:noWrap w:val="0"/>
            <w:vAlign w:val="center"/>
          </w:tcPr>
          <w:p>
            <w:pPr>
              <w:widowControl/>
              <w:jc w:val="left"/>
              <w:rPr>
                <w:rFonts w:eastAsia="仿宋_GB2312"/>
                <w:color w:val="000000"/>
                <w:kern w:val="0"/>
                <w:szCs w:val="21"/>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公众满意度</w:t>
            </w:r>
          </w:p>
        </w:tc>
        <w:tc>
          <w:tcPr>
            <w:tcW w:w="1209" w:type="dxa"/>
            <w:noWrap w:val="0"/>
            <w:vAlign w:val="center"/>
          </w:tcPr>
          <w:p>
            <w:pPr>
              <w:pStyle w:val="11"/>
              <w:spacing w:line="240" w:lineRule="exact"/>
              <w:jc w:val="center"/>
              <w:rPr>
                <w:rFonts w:hint="default"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≥95%</w:t>
            </w:r>
          </w:p>
        </w:tc>
        <w:tc>
          <w:tcPr>
            <w:tcW w:w="1134" w:type="dxa"/>
            <w:noWrap w:val="0"/>
            <w:vAlign w:val="center"/>
          </w:tcPr>
          <w:p>
            <w:pPr>
              <w:pStyle w:val="11"/>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≥95%</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p>
        </w:tc>
        <w:tc>
          <w:tcPr>
            <w:tcW w:w="1134" w:type="dxa"/>
            <w:noWrap w:val="0"/>
            <w:vAlign w:val="center"/>
          </w:tcPr>
          <w:p>
            <w:pPr>
              <w:widowControl/>
              <w:jc w:val="left"/>
              <w:rPr>
                <w:rFonts w:eastAsia="仿宋_GB2312"/>
                <w:color w:val="000000"/>
                <w:kern w:val="0"/>
                <w:szCs w:val="21"/>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eastAsia="zh-CN"/>
              </w:rPr>
              <w:t>非税</w:t>
            </w:r>
            <w:r>
              <w:rPr>
                <w:rFonts w:hint="eastAsia" w:ascii="Times New Roman" w:hAnsi="Times New Roman" w:eastAsia="仿宋_GB2312" w:cs="Times New Roman"/>
                <w:color w:val="000000"/>
                <w:kern w:val="0"/>
                <w:szCs w:val="21"/>
                <w:lang w:val="en-US" w:eastAsia="zh-CN"/>
              </w:rPr>
              <w:t>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1134"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rPr>
            </w:pPr>
            <w:r>
              <w:rPr>
                <w:rFonts w:hint="eastAsia" w:ascii="Times New Roman" w:hAnsi="Times New Roman" w:eastAsia="仿宋_GB2312" w:cs="Times New Roman"/>
                <w:sz w:val="20"/>
                <w:szCs w:val="20"/>
                <w:lang w:val="en-US" w:eastAsia="zh-CN"/>
              </w:rPr>
              <w:t>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kern w:val="0"/>
                <w:sz w:val="20"/>
                <w:szCs w:val="20"/>
                <w:lang w:val="en-US" w:eastAsia="zh-CN" w:bidi="zh-CN"/>
              </w:rPr>
              <w:t>用于非税征缴工作经费开支</w:t>
            </w:r>
          </w:p>
        </w:tc>
        <w:tc>
          <w:tcPr>
            <w:tcW w:w="4253" w:type="dxa"/>
            <w:gridSpan w:val="4"/>
            <w:noWrap w:val="0"/>
            <w:vAlign w:val="center"/>
          </w:tcPr>
          <w:p>
            <w:pPr>
              <w:widowControl/>
              <w:jc w:val="left"/>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kern w:val="0"/>
                <w:sz w:val="20"/>
                <w:szCs w:val="20"/>
                <w:lang w:val="en-US" w:eastAsia="zh-CN" w:bidi="zh-CN"/>
              </w:rPr>
              <w:t>用于非税征缴工作经费开支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pStyle w:val="11"/>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出动执法人员次</w:t>
            </w:r>
          </w:p>
        </w:tc>
        <w:tc>
          <w:tcPr>
            <w:tcW w:w="1209" w:type="dxa"/>
            <w:noWrap w:val="0"/>
            <w:vAlign w:val="center"/>
          </w:tcPr>
          <w:p>
            <w:pPr>
              <w:pStyle w:val="11"/>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≥300人次</w:t>
            </w:r>
          </w:p>
        </w:tc>
        <w:tc>
          <w:tcPr>
            <w:tcW w:w="1134"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pStyle w:val="11"/>
              <w:spacing w:line="240" w:lineRule="exact"/>
              <w:jc w:val="center"/>
              <w:rPr>
                <w:rFonts w:hint="eastAsia" w:ascii="Times New Roman" w:hAnsi="Times New Roman" w:eastAsia="仿宋_GB2312" w:cs="Times New Roman"/>
                <w:color w:val="000000"/>
                <w:kern w:val="0"/>
                <w:sz w:val="21"/>
                <w:szCs w:val="21"/>
                <w:lang w:val="en-US" w:eastAsia="zh-CN" w:bidi="ar-SA"/>
              </w:rPr>
            </w:pPr>
          </w:p>
        </w:tc>
        <w:tc>
          <w:tcPr>
            <w:tcW w:w="1209" w:type="dxa"/>
            <w:noWrap w:val="0"/>
            <w:vAlign w:val="center"/>
          </w:tcPr>
          <w:p>
            <w:pPr>
              <w:pStyle w:val="11"/>
              <w:spacing w:line="240" w:lineRule="exact"/>
              <w:jc w:val="center"/>
              <w:rPr>
                <w:rFonts w:hint="eastAsia" w:ascii="Times New Roman" w:hAnsi="Times New Roman" w:eastAsia="仿宋_GB2312" w:cs="Times New Roman"/>
                <w:color w:val="000000"/>
                <w:kern w:val="0"/>
                <w:sz w:val="21"/>
                <w:szCs w:val="21"/>
                <w:lang w:val="en-US" w:eastAsia="zh-CN" w:bidi="ar-SA"/>
              </w:rPr>
            </w:pPr>
          </w:p>
        </w:tc>
        <w:tc>
          <w:tcPr>
            <w:tcW w:w="1134"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center"/>
              <w:rPr>
                <w:rFonts w:hint="eastAsia" w:ascii="Times New Roman" w:hAnsi="Times New Roman" w:eastAsia="仿宋_GB2312" w:cs="Times New Roman"/>
                <w:color w:val="000000"/>
                <w:kern w:val="0"/>
                <w:sz w:val="21"/>
                <w:szCs w:val="21"/>
                <w:lang w:val="zh-CN" w:eastAsia="zh-CN" w:bidi="ar-SA"/>
              </w:rPr>
            </w:pPr>
            <w:r>
              <w:rPr>
                <w:rFonts w:hint="eastAsia" w:ascii="Times New Roman" w:hAnsi="Times New Roman" w:eastAsia="仿宋_GB2312" w:cs="Times New Roman"/>
                <w:color w:val="000000"/>
                <w:kern w:val="0"/>
                <w:sz w:val="21"/>
                <w:szCs w:val="21"/>
                <w:lang w:val="en-US" w:eastAsia="zh-CN" w:bidi="ar-SA"/>
              </w:rPr>
              <w:t>履职工作完成时间</w:t>
            </w:r>
          </w:p>
        </w:tc>
        <w:tc>
          <w:tcPr>
            <w:tcW w:w="1209"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2022年全年　</w:t>
            </w:r>
          </w:p>
        </w:tc>
        <w:tc>
          <w:tcPr>
            <w:tcW w:w="1134"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1209"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1134"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p>
        </w:tc>
        <w:tc>
          <w:tcPr>
            <w:tcW w:w="120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p>
        </w:tc>
        <w:tc>
          <w:tcPr>
            <w:tcW w:w="1134"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pStyle w:val="11"/>
              <w:spacing w:line="240" w:lineRule="exact"/>
              <w:jc w:val="center"/>
              <w:rPr>
                <w:rFonts w:hint="eastAsia" w:ascii="Times New Roman" w:hAnsi="Times New Roman" w:eastAsia="仿宋_GB2312" w:cs="Times New Roman"/>
                <w:color w:val="000000"/>
                <w:kern w:val="0"/>
                <w:sz w:val="21"/>
                <w:szCs w:val="21"/>
                <w:lang w:val="en-US" w:eastAsia="zh-CN" w:bidi="ar-SA"/>
              </w:rPr>
            </w:pPr>
          </w:p>
        </w:tc>
        <w:tc>
          <w:tcPr>
            <w:tcW w:w="1209" w:type="dxa"/>
            <w:noWrap w:val="0"/>
            <w:vAlign w:val="center"/>
          </w:tcPr>
          <w:p>
            <w:pPr>
              <w:pStyle w:val="11"/>
              <w:spacing w:line="240" w:lineRule="exact"/>
              <w:jc w:val="center"/>
              <w:rPr>
                <w:rFonts w:hint="default" w:ascii="Times New Roman" w:hAnsi="Times New Roman" w:eastAsia="仿宋_GB2312" w:cs="Times New Roman"/>
                <w:color w:val="000000"/>
                <w:kern w:val="0"/>
                <w:sz w:val="21"/>
                <w:szCs w:val="21"/>
                <w:lang w:val="en-US" w:eastAsia="zh-CN" w:bidi="ar-SA"/>
              </w:rPr>
            </w:pPr>
          </w:p>
        </w:tc>
        <w:tc>
          <w:tcPr>
            <w:tcW w:w="1134" w:type="dxa"/>
            <w:noWrap w:val="0"/>
            <w:vAlign w:val="center"/>
          </w:tcPr>
          <w:p>
            <w:pPr>
              <w:pStyle w:val="11"/>
              <w:spacing w:line="240" w:lineRule="exact"/>
              <w:jc w:val="center"/>
              <w:rPr>
                <w:rFonts w:hint="default"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pStyle w:val="11"/>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食品链</w:t>
            </w:r>
          </w:p>
        </w:tc>
        <w:tc>
          <w:tcPr>
            <w:tcW w:w="1209" w:type="dxa"/>
            <w:noWrap w:val="0"/>
            <w:vAlign w:val="center"/>
          </w:tcPr>
          <w:p>
            <w:pPr>
              <w:pStyle w:val="11"/>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安全</w:t>
            </w:r>
          </w:p>
        </w:tc>
        <w:tc>
          <w:tcPr>
            <w:tcW w:w="1134" w:type="dxa"/>
            <w:noWrap w:val="0"/>
            <w:vAlign w:val="center"/>
          </w:tcPr>
          <w:p>
            <w:pPr>
              <w:pStyle w:val="11"/>
              <w:spacing w:line="240" w:lineRule="exact"/>
              <w:jc w:val="center"/>
              <w:rPr>
                <w:rFonts w:hint="default"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野生渔业资源　</w:t>
            </w:r>
          </w:p>
        </w:tc>
        <w:tc>
          <w:tcPr>
            <w:tcW w:w="120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保护</w:t>
            </w:r>
          </w:p>
        </w:tc>
        <w:tc>
          <w:tcPr>
            <w:tcW w:w="1134"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“十年禁渔”　</w:t>
            </w:r>
          </w:p>
        </w:tc>
        <w:tc>
          <w:tcPr>
            <w:tcW w:w="120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10年　</w:t>
            </w:r>
          </w:p>
        </w:tc>
        <w:tc>
          <w:tcPr>
            <w:tcW w:w="1134"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群众满意度　　</w:t>
            </w:r>
          </w:p>
        </w:tc>
        <w:tc>
          <w:tcPr>
            <w:tcW w:w="1209"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　≥95%</w:t>
            </w:r>
          </w:p>
        </w:tc>
        <w:tc>
          <w:tcPr>
            <w:tcW w:w="1134" w:type="dxa"/>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1209"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1134"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jc w:val="center"/>
        <w:rPr>
          <w:rFonts w:eastAsia="方正小标宋_GBK"/>
          <w:sz w:val="48"/>
          <w:szCs w:val="48"/>
        </w:rPr>
      </w:pPr>
      <w:r>
        <w:rPr>
          <w:rFonts w:hint="eastAsia" w:eastAsia="方正小标宋_GBK"/>
          <w:sz w:val="48"/>
          <w:szCs w:val="48"/>
          <w:lang w:val="en-US" w:eastAsia="zh-CN"/>
        </w:rPr>
        <w:t>2022</w:t>
      </w:r>
      <w:r>
        <w:rPr>
          <w:rFonts w:eastAsia="方正小标宋_GBK"/>
          <w:sz w:val="48"/>
          <w:szCs w:val="48"/>
        </w:rPr>
        <w:t>年度</w:t>
      </w:r>
      <w:r>
        <w:rPr>
          <w:rFonts w:hint="eastAsia" w:ascii="Times New Roman" w:hAnsi="Times New Roman" w:eastAsia="方正小标宋_GBK" w:cs="Times New Roman"/>
          <w:sz w:val="48"/>
          <w:szCs w:val="48"/>
        </w:rPr>
        <w:t>永州市农业综合行政执法支队零陵区大队</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单位名称（盖章）：</w:t>
      </w: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r>
        <w:rPr>
          <w:rFonts w:eastAsia="仿宋_GB2312"/>
          <w:sz w:val="32"/>
          <w:szCs w:val="32"/>
        </w:rPr>
        <w:t>（此页为封面）</w:t>
      </w:r>
    </w:p>
    <w:p>
      <w:pPr>
        <w:jc w:val="center"/>
        <w:rPr>
          <w:rFonts w:eastAsia="黑体"/>
          <w:sz w:val="36"/>
          <w:szCs w:val="36"/>
        </w:rPr>
      </w:pPr>
    </w:p>
    <w:p>
      <w:pPr>
        <w:jc w:val="center"/>
        <w:rPr>
          <w:rFonts w:eastAsia="黑体"/>
          <w:sz w:val="32"/>
          <w:szCs w:val="32"/>
        </w:r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3" w:firstLineChars="200"/>
        <w:rPr>
          <w:rFonts w:eastAsia="楷体_GB2312"/>
          <w:b/>
          <w:sz w:val="32"/>
          <w:szCs w:val="32"/>
        </w:rPr>
      </w:pPr>
      <w:r>
        <w:rPr>
          <w:rFonts w:eastAsia="楷体_GB2312"/>
          <w:b/>
          <w:sz w:val="32"/>
          <w:szCs w:val="32"/>
        </w:rPr>
        <w:t>（一）部门（单位）基本情况</w:t>
      </w:r>
    </w:p>
    <w:p>
      <w:pPr>
        <w:snapToGrid w:val="0"/>
        <w:ind w:firstLine="640" w:firstLineChars="200"/>
        <w:rPr>
          <w:rFonts w:hint="eastAsia" w:ascii="仿宋_GB2312" w:hAnsi="仿宋_GB2312" w:cs="仿宋_GB2312"/>
          <w:bCs/>
          <w:kern w:val="0"/>
          <w:sz w:val="32"/>
          <w:szCs w:val="32"/>
        </w:rPr>
      </w:pPr>
      <w:r>
        <w:rPr>
          <w:rFonts w:hint="eastAsia" w:ascii="仿宋_GB2312" w:hAnsi="仿宋_GB2312" w:cs="仿宋_GB2312"/>
          <w:bCs/>
          <w:kern w:val="0"/>
          <w:sz w:val="32"/>
          <w:szCs w:val="32"/>
        </w:rPr>
        <w:t>1．主要职能。</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（一）、贯彻执行有关农业农村综合行政执法方面的法律、法规、规章和政策。编制实施农业农村综合行政执法工作规划、监管制度；</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（二）、依法行使法律、法规、规章赋予的农业行政处罚权以及与行政处罚相关的行政检查、行政强制权等行政执法职能。具体承担零陵区农业领域的综合行政执法工作；</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（三）、负责全区重大复杂违法案件和跨县区违法案件、上级交办、相关部门移送、下级农业部门移送和应当回避的案件查处工作；</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（四）、指导全区农业综合行政执法工作，参与农业综合行政执法的监督考评工作，负责指导全区农业综合行政执法队伍建设，开展农业综合行政执法法律法规宣传培训工作等；</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（五）、完成市农业农村局及上级执法机关交办的其他工作任务。</w:t>
      </w:r>
    </w:p>
    <w:p>
      <w:pPr>
        <w:snapToGrid w:val="0"/>
        <w:ind w:firstLine="640" w:firstLineChars="200"/>
        <w:rPr>
          <w:rFonts w:hint="eastAsia" w:ascii="仿宋_GB2312" w:hAnsi="仿宋_GB2312" w:cs="仿宋_GB2312"/>
          <w:bCs/>
          <w:kern w:val="0"/>
          <w:sz w:val="32"/>
          <w:szCs w:val="32"/>
        </w:rPr>
      </w:pPr>
      <w:r>
        <w:rPr>
          <w:rFonts w:hint="eastAsia" w:ascii="仿宋_GB2312" w:hAnsi="仿宋_GB2312" w:cs="仿宋_GB2312"/>
          <w:bCs/>
          <w:kern w:val="0"/>
          <w:sz w:val="32"/>
          <w:szCs w:val="32"/>
        </w:rPr>
        <w:t>2．机构情况。</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永州市农业综合行政执法支队零陵区大队内设股室</w:t>
      </w:r>
      <w:r>
        <w:rPr>
          <w:rFonts w:hint="eastAsia" w:asciiTheme="minorEastAsia" w:hAnsiTheme="minorEastAsia" w:cstheme="minorBidi"/>
          <w:bCs/>
          <w:kern w:val="0"/>
          <w:sz w:val="32"/>
          <w:szCs w:val="32"/>
          <w:lang w:val="en-US" w:eastAsia="zh-CN" w:bidi="ar-SA"/>
        </w:rPr>
        <w:t>6</w:t>
      </w:r>
      <w:r>
        <w:rPr>
          <w:rFonts w:hint="eastAsia" w:asciiTheme="minorEastAsia" w:hAnsiTheme="minorEastAsia" w:eastAsiaTheme="minorEastAsia" w:cstheme="minorBidi"/>
          <w:bCs/>
          <w:kern w:val="0"/>
          <w:sz w:val="32"/>
          <w:szCs w:val="32"/>
          <w:lang w:val="en-US" w:eastAsia="zh-CN" w:bidi="ar-SA"/>
        </w:rPr>
        <w:t>个：办公室，人事教育室，案件审理室，一中队，二中队，三中队</w:t>
      </w:r>
      <w:r>
        <w:rPr>
          <w:rFonts w:hint="eastAsia" w:asciiTheme="minorEastAsia" w:hAnsiTheme="minorEastAsia" w:cstheme="minorBidi"/>
          <w:bCs/>
          <w:kern w:val="0"/>
          <w:sz w:val="32"/>
          <w:szCs w:val="32"/>
          <w:lang w:val="en-US" w:eastAsia="zh-CN" w:bidi="ar-SA"/>
        </w:rPr>
        <w:t>。</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仿宋_GB2312" w:hAnsi="仿宋_GB2312" w:cs="仿宋_GB2312"/>
          <w:bCs/>
          <w:kern w:val="0"/>
          <w:sz w:val="32"/>
          <w:szCs w:val="32"/>
        </w:rPr>
        <w:t>3.人员情况。</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2022年本单位年末实有在岗人员2</w:t>
      </w:r>
      <w:r>
        <w:rPr>
          <w:rFonts w:hint="eastAsia" w:asciiTheme="minorEastAsia" w:hAnsiTheme="minorEastAsia" w:cstheme="minorBidi"/>
          <w:bCs/>
          <w:kern w:val="0"/>
          <w:sz w:val="32"/>
          <w:szCs w:val="32"/>
          <w:lang w:val="en-US" w:eastAsia="zh-CN" w:bidi="ar-SA"/>
        </w:rPr>
        <w:t>9</w:t>
      </w:r>
      <w:r>
        <w:rPr>
          <w:rFonts w:hint="eastAsia" w:asciiTheme="minorEastAsia" w:hAnsiTheme="minorEastAsia" w:eastAsiaTheme="minorEastAsia" w:cstheme="minorBidi"/>
          <w:bCs/>
          <w:kern w:val="0"/>
          <w:sz w:val="32"/>
          <w:szCs w:val="32"/>
          <w:lang w:val="en-US" w:eastAsia="zh-CN" w:bidi="ar-SA"/>
        </w:rPr>
        <w:t>人，其中机构改革人员转隶18人，其他单位调入8人。</w:t>
      </w:r>
    </w:p>
    <w:p>
      <w:pPr>
        <w:numPr>
          <w:ilvl w:val="0"/>
          <w:numId w:val="1"/>
        </w:numPr>
        <w:spacing w:line="600" w:lineRule="exact"/>
        <w:ind w:firstLine="643" w:firstLineChars="200"/>
        <w:rPr>
          <w:rFonts w:eastAsia="楷体_GB2312"/>
          <w:b/>
          <w:sz w:val="32"/>
          <w:szCs w:val="32"/>
        </w:rPr>
      </w:pPr>
      <w:r>
        <w:rPr>
          <w:rFonts w:eastAsia="楷体_GB2312"/>
          <w:b/>
          <w:sz w:val="32"/>
          <w:szCs w:val="32"/>
        </w:rPr>
        <w:t>部门（单位）年度整体支出绩效目标</w:t>
      </w:r>
    </w:p>
    <w:p>
      <w:pPr>
        <w:pStyle w:val="6"/>
        <w:shd w:val="clear" w:color="auto" w:fill="FFFFFF"/>
        <w:spacing w:before="50" w:beforeAutospacing="0" w:afterAutospacing="0" w:line="220" w:lineRule="atLeast"/>
        <w:ind w:firstLine="640" w:firstLineChars="200"/>
        <w:rPr>
          <w:rFonts w:hint="eastAsia" w:asciiTheme="minorEastAsia" w:hAnsiTheme="minorEastAsia" w:eastAsiaTheme="minorEastAsia" w:cstheme="minorBidi"/>
          <w:bCs/>
          <w:kern w:val="0"/>
          <w:sz w:val="32"/>
          <w:szCs w:val="32"/>
          <w:lang w:val="en-US" w:eastAsia="zh-CN" w:bidi="ar-SA"/>
        </w:rPr>
      </w:pPr>
      <w:bookmarkStart w:id="0" w:name="_GoBack"/>
      <w:bookmarkEnd w:id="0"/>
      <w:r>
        <w:rPr>
          <w:rFonts w:hint="eastAsia" w:asciiTheme="minorEastAsia" w:hAnsiTheme="minorEastAsia" w:eastAsiaTheme="minorEastAsia" w:cstheme="minorBidi"/>
          <w:bCs/>
          <w:kern w:val="0"/>
          <w:sz w:val="32"/>
          <w:szCs w:val="32"/>
          <w:lang w:val="en-US" w:eastAsia="zh-CN" w:bidi="ar-SA"/>
        </w:rPr>
        <w:t>1、加强对农药、兽药、种子市场的执法力度，严厉打击农资违法犯罪行为。</w:t>
      </w:r>
    </w:p>
    <w:p>
      <w:pPr>
        <w:pStyle w:val="6"/>
        <w:shd w:val="clear" w:color="auto" w:fill="FFFFFF"/>
        <w:spacing w:before="50" w:beforeAutospacing="0" w:afterAutospacing="0" w:line="220" w:lineRule="atLeast"/>
        <w:ind w:firstLine="68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2、加大渔政执法巡查力度，严厉打击非法捕捞行为。</w:t>
      </w:r>
    </w:p>
    <w:p>
      <w:pPr>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3、全力配合有关部门做好拖拉机执法和打非治违工作。</w:t>
      </w:r>
    </w:p>
    <w:p>
      <w:pPr>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4、加强农产品质量安全日常执法，完成一定比例抽检，针对违法行为，依法立案查处。</w:t>
      </w:r>
    </w:p>
    <w:p>
      <w:pPr>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5、调处好各乡镇农村土地管理使用秩序和规范用于居住的宅基地管理秩序。</w:t>
      </w:r>
    </w:p>
    <w:p>
      <w:pPr>
        <w:keepNext w:val="0"/>
        <w:keepLines w:val="0"/>
        <w:pageBreakBefore w:val="0"/>
        <w:widowControl w:val="0"/>
        <w:numPr>
          <w:ilvl w:val="0"/>
          <w:numId w:val="2"/>
        </w:numPr>
        <w:kinsoku/>
        <w:wordWrap/>
        <w:overflowPunct/>
        <w:topLinePunct w:val="0"/>
        <w:autoSpaceDE/>
        <w:autoSpaceDN/>
        <w:bidi w:val="0"/>
        <w:adjustRightInd/>
        <w:spacing w:line="240" w:lineRule="auto"/>
        <w:ind w:firstLine="643" w:firstLineChars="200"/>
        <w:textAlignment w:val="auto"/>
        <w:rPr>
          <w:rFonts w:eastAsia="楷体_GB2312"/>
          <w:b/>
          <w:sz w:val="32"/>
          <w:szCs w:val="32"/>
        </w:rPr>
      </w:pPr>
      <w:r>
        <w:rPr>
          <w:rFonts w:hint="eastAsia" w:eastAsia="楷体_GB2312"/>
          <w:b/>
          <w:sz w:val="32"/>
          <w:szCs w:val="32"/>
          <w:lang w:eastAsia="zh-CN"/>
        </w:rPr>
        <w:t>区</w:t>
      </w:r>
      <w:r>
        <w:rPr>
          <w:rFonts w:eastAsia="楷体_GB2312"/>
          <w:b/>
          <w:sz w:val="32"/>
          <w:szCs w:val="32"/>
        </w:rPr>
        <w:t>级专项资金绩效目标</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1、综合执法工作经费。目标：依法打击跨区域、重大农业违法行为，维护农业生产安全和农业农村市场秩序，保护农民合法权益，助推乡村振兴。</w:t>
      </w:r>
    </w:p>
    <w:p>
      <w:pPr>
        <w:snapToGrid w:val="0"/>
        <w:spacing w:line="520" w:lineRule="exact"/>
        <w:ind w:firstLine="640" w:firstLineChars="200"/>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2、非税经费项目。目标：满足我大队执法工作需要，提升综合执法服务效率，</w:t>
      </w:r>
    </w:p>
    <w:p>
      <w:pPr>
        <w:pStyle w:val="1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二、一般公共预算支出情况</w:t>
      </w:r>
    </w:p>
    <w:p>
      <w:pPr>
        <w:pStyle w:val="10"/>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pPr>
        <w:numPr>
          <w:ilvl w:val="0"/>
          <w:numId w:val="0"/>
        </w:numPr>
        <w:ind w:firstLine="640" w:firstLineChars="200"/>
        <w:jc w:val="left"/>
        <w:rPr>
          <w:rFonts w:hint="default"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1、2022年基本支出预算数为271.17万元，实际完成321.08万元。其中：人员经费268.49万元，主要包括：</w:t>
      </w:r>
      <w:r>
        <w:rPr>
          <w:rFonts w:hint="eastAsia" w:asciiTheme="minorEastAsia" w:hAnsiTheme="minorEastAsia" w:eastAsiaTheme="minorEastAsia"/>
          <w:sz w:val="32"/>
          <w:szCs w:val="32"/>
        </w:rPr>
        <w:t>基本工资、津贴补贴、</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eastAsia="zh-CN"/>
        </w:rPr>
        <w:t>、机关事业单位基本养老保险缴费、生活补助等</w:t>
      </w:r>
      <w:r>
        <w:rPr>
          <w:rFonts w:hint="eastAsia" w:ascii="仿宋_GB2312" w:hAnsi="仿宋_GB2312" w:cs="仿宋_GB2312"/>
          <w:bCs/>
          <w:kern w:val="0"/>
          <w:sz w:val="32"/>
          <w:szCs w:val="32"/>
          <w:lang w:val="en-US" w:eastAsia="zh-CN"/>
        </w:rPr>
        <w:t>；公用经费52.59万元，主要包括：</w:t>
      </w:r>
      <w:r>
        <w:rPr>
          <w:rFonts w:hint="eastAsia" w:asciiTheme="minorEastAsia" w:hAnsiTheme="minorEastAsia" w:eastAsiaTheme="minorEastAsia"/>
          <w:sz w:val="32"/>
          <w:szCs w:val="32"/>
        </w:rPr>
        <w:t>办公费、印刷费、</w:t>
      </w:r>
      <w:r>
        <w:rPr>
          <w:rFonts w:hint="eastAsia" w:asciiTheme="minorEastAsia" w:hAnsiTheme="minorEastAsia" w:eastAsiaTheme="minorEastAsia"/>
          <w:sz w:val="32"/>
          <w:szCs w:val="32"/>
          <w:lang w:eastAsia="zh-CN"/>
        </w:rPr>
        <w:t>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邮电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、差旅费、维修费、租赁费、工会经费、公务接待费、公车运行维护费、办公设备购置等</w:t>
      </w:r>
      <w:r>
        <w:rPr>
          <w:rFonts w:hint="eastAsia" w:asciiTheme="minorEastAsia" w:hAnsiTheme="minorEastAsia" w:eastAsiaTheme="minorEastAsia"/>
          <w:sz w:val="32"/>
          <w:szCs w:val="32"/>
        </w:rPr>
        <w:t>。</w:t>
      </w:r>
    </w:p>
    <w:p>
      <w:pPr>
        <w:numPr>
          <w:ilvl w:val="0"/>
          <w:numId w:val="0"/>
        </w:numPr>
        <w:ind w:firstLine="640" w:firstLineChars="200"/>
        <w:jc w:val="left"/>
        <w:rPr>
          <w:rFonts w:hint="default"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2、“三公”经费支出情况：严格按照财政局下发文件标准执行，严格控制支出，2022年，“三公”经费支出为5.04万元，大致与去年持平。</w:t>
      </w:r>
    </w:p>
    <w:p>
      <w:pPr>
        <w:pStyle w:val="10"/>
        <w:spacing w:line="600" w:lineRule="exact"/>
        <w:ind w:firstLine="643"/>
        <w:rPr>
          <w:rFonts w:ascii="Times New Roman" w:hAnsi="Times New Roman" w:eastAsia="楷体_GB2312"/>
          <w:b/>
          <w:sz w:val="32"/>
          <w:szCs w:val="32"/>
        </w:rPr>
      </w:pPr>
    </w:p>
    <w:p>
      <w:pPr>
        <w:pStyle w:val="10"/>
        <w:numPr>
          <w:ilvl w:val="0"/>
          <w:numId w:val="2"/>
        </w:numPr>
        <w:spacing w:line="600" w:lineRule="exact"/>
        <w:ind w:left="0" w:leftChars="0" w:firstLine="643" w:firstLineChars="200"/>
        <w:rPr>
          <w:rFonts w:ascii="Times New Roman" w:hAnsi="Times New Roman" w:eastAsia="楷体_GB2312"/>
          <w:b/>
          <w:sz w:val="32"/>
          <w:szCs w:val="32"/>
        </w:rPr>
      </w:pPr>
      <w:r>
        <w:rPr>
          <w:rFonts w:ascii="Times New Roman" w:hAnsi="Times New Roman" w:eastAsia="楷体_GB2312"/>
          <w:b/>
          <w:sz w:val="32"/>
          <w:szCs w:val="32"/>
        </w:rPr>
        <w:t>项目支出情况</w:t>
      </w:r>
    </w:p>
    <w:p>
      <w:pPr>
        <w:numPr>
          <w:ilvl w:val="0"/>
          <w:numId w:val="0"/>
        </w:numPr>
        <w:ind w:firstLine="640" w:firstLineChars="200"/>
        <w:jc w:val="left"/>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2022年度区级专项资金分配安排和使用管理情况。</w:t>
      </w:r>
    </w:p>
    <w:p>
      <w:pPr>
        <w:numPr>
          <w:ilvl w:val="0"/>
          <w:numId w:val="0"/>
        </w:numPr>
        <w:ind w:firstLine="640" w:firstLineChars="200"/>
        <w:jc w:val="left"/>
        <w:rPr>
          <w:rFonts w:hint="default"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2022年区级专项资金预算数为15万元。其中：综合执法工作经费10万元，非税经费项目5元。2022年区级专项资金实际只拨付了2.91万（综合执法工作经费2.91万元，非税经费项目0万元），主要原因是财政资金未及时下达。</w:t>
      </w:r>
    </w:p>
    <w:p>
      <w:pPr>
        <w:pStyle w:val="10"/>
        <w:numPr>
          <w:numId w:val="0"/>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政府性基金预算支出情况</w:t>
      </w:r>
    </w:p>
    <w:p>
      <w:pPr>
        <w:numPr>
          <w:ilvl w:val="0"/>
          <w:numId w:val="0"/>
        </w:numPr>
        <w:ind w:firstLine="640" w:firstLineChars="200"/>
        <w:jc w:val="left"/>
        <w:rPr>
          <w:rFonts w:ascii="Times New Roman" w:hAnsi="Times New Roman" w:eastAsia="黑体"/>
          <w:sz w:val="32"/>
          <w:szCs w:val="32"/>
        </w:rPr>
      </w:pPr>
      <w:r>
        <w:rPr>
          <w:rFonts w:hint="eastAsia" w:ascii="仿宋_GB2312" w:hAnsi="仿宋_GB2312" w:cs="仿宋_GB2312"/>
          <w:bCs/>
          <w:kern w:val="0"/>
          <w:sz w:val="32"/>
          <w:szCs w:val="32"/>
          <w:lang w:val="en-US" w:eastAsia="zh-CN"/>
        </w:rPr>
        <w:t>本单位无政府性基金预算支出。</w:t>
      </w:r>
    </w:p>
    <w:p>
      <w:pPr>
        <w:pStyle w:val="10"/>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10"/>
        <w:numPr>
          <w:numId w:val="0"/>
        </w:numPr>
        <w:spacing w:line="600" w:lineRule="exact"/>
        <w:ind w:leftChars="200"/>
        <w:rPr>
          <w:rFonts w:ascii="Times New Roman" w:hAnsi="Times New Roman" w:eastAsia="黑体"/>
          <w:sz w:val="32"/>
          <w:szCs w:val="32"/>
        </w:rPr>
      </w:pPr>
      <w:r>
        <w:rPr>
          <w:rFonts w:hint="eastAsia" w:ascii="仿宋_GB2312" w:hAnsi="仿宋_GB2312" w:cs="仿宋_GB2312"/>
          <w:bCs/>
          <w:kern w:val="0"/>
          <w:sz w:val="32"/>
          <w:szCs w:val="32"/>
          <w:lang w:val="en-US" w:eastAsia="zh-CN"/>
        </w:rPr>
        <w:t>本单位无国有资本经营预算支出。</w:t>
      </w:r>
    </w:p>
    <w:p>
      <w:pPr>
        <w:pStyle w:val="10"/>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sz w:val="32"/>
          <w:szCs w:val="32"/>
        </w:rPr>
      </w:pPr>
      <w:r>
        <w:rPr>
          <w:rFonts w:hint="eastAsia" w:ascii="仿宋_GB2312" w:hAnsi="仿宋_GB2312" w:eastAsia="宋体" w:cs="仿宋_GB2312"/>
          <w:bCs/>
          <w:kern w:val="0"/>
          <w:sz w:val="32"/>
          <w:szCs w:val="32"/>
          <w:lang w:val="en-US" w:eastAsia="zh-CN" w:bidi="ar-SA"/>
        </w:rPr>
        <w:t>本单位无社会保险基金预算支出。</w:t>
      </w:r>
    </w:p>
    <w:p>
      <w:pPr>
        <w:spacing w:line="600" w:lineRule="exact"/>
        <w:ind w:firstLine="640" w:firstLineChars="200"/>
        <w:rPr>
          <w:rFonts w:eastAsia="黑体"/>
          <w:sz w:val="32"/>
          <w:szCs w:val="32"/>
        </w:rPr>
      </w:pPr>
      <w:r>
        <w:rPr>
          <w:rFonts w:eastAsia="黑体"/>
          <w:sz w:val="32"/>
          <w:szCs w:val="32"/>
        </w:rPr>
        <w:t>六、部门整体支出绩效情况</w:t>
      </w:r>
    </w:p>
    <w:p>
      <w:pPr>
        <w:numPr>
          <w:ilvl w:val="0"/>
          <w:numId w:val="0"/>
        </w:numPr>
        <w:ind w:firstLine="640" w:firstLineChars="200"/>
        <w:jc w:val="left"/>
        <w:rPr>
          <w:rFonts w:hint="eastAsia" w:cs="Times New Roman" w:asciiTheme="minorEastAsia" w:hAnsiTheme="minorEastAsia" w:eastAsiaTheme="minorEastAsia"/>
          <w:sz w:val="32"/>
          <w:szCs w:val="32"/>
          <w:lang w:val="en-US" w:eastAsia="zh-CN"/>
        </w:rPr>
      </w:pPr>
      <w:r>
        <w:rPr>
          <w:rFonts w:hint="eastAsia" w:cs="Times New Roman" w:asciiTheme="minorEastAsia" w:hAnsiTheme="minorEastAsia" w:eastAsiaTheme="minorEastAsia"/>
          <w:sz w:val="32"/>
          <w:szCs w:val="32"/>
          <w:lang w:val="en-US" w:eastAsia="zh-CN"/>
        </w:rPr>
        <w:t>全区农业执法工作突出治假治劣、突出质量安全、突出纠纷协调、突出生态保护，把保障农业生产安全、保护农业生态环境、维护农民利益作为工作的立足点和着力点。2022年，共出动执法人员3031人次，出动执法车辆660余台次，船艇270余艘次，查办案件34起，结案33起，移送公安2起，罚没收入共计20.43万元。大要案查办力度、数量在全市均位居前列，且查办的案件零诉讼、零复议。</w:t>
      </w:r>
    </w:p>
    <w:p>
      <w:pPr>
        <w:spacing w:line="600" w:lineRule="exact"/>
        <w:ind w:firstLine="640" w:firstLineChars="200"/>
        <w:rPr>
          <w:rFonts w:eastAsia="仿宋_GB2312"/>
          <w:color w:val="000000"/>
          <w:sz w:val="32"/>
          <w:szCs w:val="32"/>
        </w:rPr>
      </w:pPr>
    </w:p>
    <w:p>
      <w:pPr>
        <w:pStyle w:val="10"/>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numPr>
          <w:ilvl w:val="0"/>
          <w:numId w:val="0"/>
        </w:numPr>
        <w:ind w:firstLine="640" w:firstLineChars="200"/>
        <w:jc w:val="left"/>
        <w:rPr>
          <w:rFonts w:hint="eastAsia"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1.项目预算及自评工作不够精准，统筹协调不够，不能及时解决项目实施过程中存在的问题，不能确保项目实现预期目标，各相关科室对绩效评价工作的重要性认识有待进一步提高。</w:t>
      </w:r>
    </w:p>
    <w:p>
      <w:pPr>
        <w:numPr>
          <w:ilvl w:val="0"/>
          <w:numId w:val="0"/>
        </w:numPr>
        <w:ind w:firstLine="640" w:firstLineChars="200"/>
        <w:jc w:val="left"/>
        <w:rPr>
          <w:rFonts w:hint="eastAsia"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2.项目支出绩效评价指标体系不完善，项目台账资料不齐全，档案管理不规范，给考核评价及评分工作带来一定困难。</w:t>
      </w:r>
    </w:p>
    <w:p>
      <w:pPr>
        <w:numPr>
          <w:ilvl w:val="0"/>
          <w:numId w:val="0"/>
        </w:numPr>
        <w:ind w:firstLine="640" w:firstLineChars="200"/>
        <w:jc w:val="left"/>
        <w:rPr>
          <w:rFonts w:hint="eastAsia"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3.各项目相关制度不够完善，需要落实项目责任制，牵头科室及责任人要定期对项目进行追踪，对资金拨付及使用情况进行督促落实，确保项目落地见效。</w:t>
      </w:r>
    </w:p>
    <w:p>
      <w:pPr>
        <w:numPr>
          <w:ilvl w:val="0"/>
          <w:numId w:val="0"/>
        </w:numPr>
        <w:ind w:firstLine="640" w:firstLineChars="200"/>
        <w:jc w:val="left"/>
        <w:rPr>
          <w:rFonts w:hint="eastAsia"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4.希望财政部门能进一步对绩效管理进行培训，提高绩效工作水平。</w:t>
      </w:r>
    </w:p>
    <w:p>
      <w:pPr>
        <w:spacing w:line="600" w:lineRule="exact"/>
        <w:ind w:firstLine="640" w:firstLineChars="200"/>
        <w:rPr>
          <w:rFonts w:eastAsia="黑体"/>
          <w:sz w:val="32"/>
          <w:szCs w:val="32"/>
        </w:rPr>
      </w:pPr>
      <w:r>
        <w:rPr>
          <w:rFonts w:eastAsia="黑体"/>
          <w:sz w:val="32"/>
          <w:szCs w:val="32"/>
        </w:rPr>
        <w:t>八、下一步改进措施</w:t>
      </w:r>
    </w:p>
    <w:p>
      <w:pPr>
        <w:numPr>
          <w:ilvl w:val="0"/>
          <w:numId w:val="0"/>
        </w:numPr>
        <w:ind w:firstLine="640" w:firstLineChars="200"/>
        <w:jc w:val="left"/>
        <w:rPr>
          <w:rFonts w:hint="eastAsia"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1.加大对绩效评价相关知识的培训力度，结合实际制定更加规范的资金管理制度。</w:t>
      </w:r>
    </w:p>
    <w:p>
      <w:pPr>
        <w:numPr>
          <w:ilvl w:val="0"/>
          <w:numId w:val="0"/>
        </w:numPr>
        <w:ind w:firstLine="640" w:firstLineChars="200"/>
        <w:jc w:val="left"/>
        <w:rPr>
          <w:rFonts w:hint="eastAsia" w:ascii="仿宋_GB2312" w:hAnsi="仿宋_GB2312" w:cs="仿宋_GB2312"/>
          <w:bCs/>
          <w:kern w:val="0"/>
          <w:sz w:val="32"/>
          <w:szCs w:val="32"/>
          <w:lang w:val="en-US" w:eastAsia="zh-CN"/>
        </w:rPr>
      </w:pPr>
      <w:r>
        <w:rPr>
          <w:rFonts w:hint="eastAsia" w:ascii="仿宋_GB2312" w:hAnsi="仿宋_GB2312" w:cs="仿宋_GB2312"/>
          <w:bCs/>
          <w:kern w:val="0"/>
          <w:sz w:val="32"/>
          <w:szCs w:val="32"/>
          <w:lang w:val="en-US" w:eastAsia="zh-CN"/>
        </w:rPr>
        <w:t>2.调整充实绩效评价工作领导小组，明确职责，配备专人进行保管台账资料，定期或不定期召开单位绩效评价工作相关会议，研究解决绩效评价工作中的问题，确保高质量完成相关工作。</w:t>
      </w:r>
    </w:p>
    <w:p>
      <w:pPr>
        <w:numPr>
          <w:ilvl w:val="0"/>
          <w:numId w:val="0"/>
        </w:numPr>
        <w:ind w:firstLine="640" w:firstLineChars="200"/>
        <w:jc w:val="left"/>
        <w:rPr>
          <w:rFonts w:eastAsia="黑体"/>
          <w:sz w:val="32"/>
          <w:szCs w:val="32"/>
        </w:rPr>
      </w:pPr>
      <w:r>
        <w:rPr>
          <w:rFonts w:hint="eastAsia" w:ascii="仿宋_GB2312" w:hAnsi="仿宋_GB2312" w:cs="仿宋_GB2312"/>
          <w:bCs/>
          <w:kern w:val="0"/>
          <w:sz w:val="32"/>
          <w:szCs w:val="32"/>
          <w:lang w:val="en-US" w:eastAsia="zh-CN"/>
        </w:rPr>
        <w:t>3.提前谋划预算绩效评价工作，明确分工，形成合力，压实责任，确保完成单位年度考评目标任务。</w:t>
      </w:r>
    </w:p>
    <w:p>
      <w:pPr>
        <w:spacing w:line="600" w:lineRule="exact"/>
        <w:ind w:firstLine="640" w:firstLineChars="200"/>
        <w:rPr>
          <w:rFonts w:eastAsia="黑体"/>
          <w:sz w:val="32"/>
          <w:szCs w:val="32"/>
        </w:rPr>
      </w:pPr>
      <w:r>
        <w:rPr>
          <w:rFonts w:eastAsia="黑体"/>
          <w:sz w:val="32"/>
          <w:szCs w:val="32"/>
        </w:rPr>
        <w:t>九、绩效自评结果拟应用和公开情况</w:t>
      </w:r>
    </w:p>
    <w:p>
      <w:pPr>
        <w:numPr>
          <w:ilvl w:val="0"/>
          <w:numId w:val="0"/>
        </w:numPr>
        <w:ind w:firstLine="640" w:firstLineChars="200"/>
        <w:jc w:val="left"/>
        <w:rPr>
          <w:rFonts w:eastAsia="黑体"/>
          <w:sz w:val="32"/>
          <w:szCs w:val="32"/>
        </w:rPr>
      </w:pPr>
      <w:r>
        <w:rPr>
          <w:rFonts w:hint="eastAsia" w:ascii="仿宋_GB2312" w:hAnsi="仿宋_GB2312" w:cs="仿宋_GB2312"/>
          <w:bCs/>
          <w:kern w:val="0"/>
          <w:sz w:val="32"/>
          <w:szCs w:val="32"/>
          <w:lang w:val="en-US" w:eastAsia="zh-CN"/>
        </w:rPr>
        <w:t>绩效自评结果将在区财政局门户网站进行公开。</w:t>
      </w:r>
    </w:p>
    <w:p>
      <w:pPr>
        <w:spacing w:line="600" w:lineRule="exact"/>
        <w:ind w:firstLine="640" w:firstLineChars="200"/>
        <w:rPr>
          <w:rFonts w:eastAsia="黑体"/>
          <w:sz w:val="32"/>
          <w:szCs w:val="32"/>
        </w:rPr>
      </w:pPr>
      <w:r>
        <w:rPr>
          <w:rFonts w:hint="eastAsia" w:eastAsia="黑体"/>
          <w:sz w:val="32"/>
          <w:szCs w:val="32"/>
          <w:lang w:eastAsia="zh-CN"/>
        </w:rPr>
        <w:t>十、</w:t>
      </w:r>
      <w:r>
        <w:rPr>
          <w:rFonts w:eastAsia="黑体"/>
          <w:sz w:val="32"/>
          <w:szCs w:val="32"/>
        </w:rPr>
        <w:t>其他需要说明的情况</w:t>
      </w:r>
    </w:p>
    <w:p>
      <w:pPr>
        <w:spacing w:line="600" w:lineRule="exact"/>
        <w:ind w:firstLine="640" w:firstLineChars="200"/>
        <w:rPr>
          <w:rFonts w:hint="eastAsia" w:eastAsia="黑体"/>
          <w:sz w:val="32"/>
          <w:szCs w:val="32"/>
          <w:lang w:eastAsia="zh-CN"/>
        </w:rPr>
      </w:pPr>
      <w:r>
        <w:rPr>
          <w:rFonts w:hint="eastAsia" w:eastAsia="黑体"/>
          <w:sz w:val="32"/>
          <w:szCs w:val="32"/>
          <w:lang w:eastAsia="zh-CN"/>
        </w:rPr>
        <w:t>无</w:t>
      </w:r>
    </w:p>
    <w:p>
      <w:pPr>
        <w:spacing w:line="600" w:lineRule="exact"/>
        <w:ind w:firstLine="640" w:firstLineChars="200"/>
        <w:rPr>
          <w:rFonts w:eastAsia="黑体"/>
          <w:sz w:val="32"/>
          <w:szCs w:val="32"/>
        </w:rPr>
      </w:pPr>
    </w:p>
    <w:p>
      <w:pPr>
        <w:spacing w:line="600" w:lineRule="exact"/>
        <w:ind w:firstLine="640" w:firstLineChars="200"/>
        <w:rPr>
          <w:rFonts w:eastAsia="仿宋_GB2312"/>
          <w:sz w:val="32"/>
          <w:szCs w:val="32"/>
        </w:rPr>
      </w:pPr>
    </w:p>
    <w:p>
      <w:pPr>
        <w:jc w:val="left"/>
        <w:rPr>
          <w:rFonts w:hint="eastAsia" w:ascii="宋体" w:hAnsi="宋体" w:eastAsia="宋体" w:cs="宋体"/>
          <w:sz w:val="32"/>
          <w:szCs w:val="32"/>
          <w:lang w:val="en-US" w:eastAsia="zh-CN"/>
        </w:rPr>
      </w:pPr>
      <w:r>
        <w:rPr>
          <w:rFonts w:hint="eastAsia" w:eastAsia="黑体"/>
          <w:kern w:val="0"/>
          <w:sz w:val="32"/>
          <w:szCs w:val="32"/>
          <w:lang w:eastAsia="zh-CN"/>
        </w:rPr>
        <w:t>附件</w:t>
      </w:r>
      <w:r>
        <w:rPr>
          <w:rFonts w:hint="eastAsia" w:eastAsia="黑体"/>
          <w:kern w:val="0"/>
          <w:sz w:val="32"/>
          <w:szCs w:val="32"/>
          <w:lang w:val="en-US" w:eastAsia="zh-CN"/>
        </w:rPr>
        <w:t>4</w:t>
      </w:r>
      <w:r>
        <w:rPr>
          <w:rFonts w:hint="eastAsia" w:ascii="宋体" w:hAnsi="宋体" w:eastAsia="宋体" w:cs="宋体"/>
          <w:sz w:val="32"/>
          <w:szCs w:val="32"/>
          <w:lang w:val="en-US" w:eastAsia="zh-CN"/>
        </w:rPr>
        <w:t>：</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单位（部门）绩效自评公开网址统计表</w:t>
      </w:r>
    </w:p>
    <w:tbl>
      <w:tblPr>
        <w:tblStyle w:val="7"/>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684"/>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单位代码</w:t>
            </w: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 位 名 称</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自评报告公开是/否</w:t>
            </w: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公开网址</w:t>
            </w: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rPr>
          <w:rFonts w:hint="eastAsia"/>
        </w:rPr>
      </w:pPr>
    </w:p>
    <w:p>
      <w:pPr>
        <w:jc w:val="both"/>
        <w:rPr>
          <w:rFonts w:hint="eastAsia" w:ascii="仿宋" w:hAnsi="仿宋" w:eastAsia="仿宋"/>
          <w:sz w:val="32"/>
          <w:szCs w:val="32"/>
        </w:rPr>
      </w:pPr>
    </w:p>
    <w:p/>
    <w:sectPr>
      <w:footerReference r:id="rId3" w:type="default"/>
      <w:footerReference r:id="rId4" w:type="even"/>
      <w:pgSz w:w="11906" w:h="16838"/>
      <w:pgMar w:top="1531" w:right="1474" w:bottom="1383" w:left="164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8F9E4"/>
    <w:multiLevelType w:val="singleLevel"/>
    <w:tmpl w:val="C358F9E4"/>
    <w:lvl w:ilvl="0" w:tentative="0">
      <w:start w:val="2"/>
      <w:numFmt w:val="chineseCounting"/>
      <w:suff w:val="nothing"/>
      <w:lvlText w:val="（%1）"/>
      <w:lvlJc w:val="left"/>
      <w:rPr>
        <w:rFonts w:hint="eastAsia"/>
      </w:rPr>
    </w:lvl>
  </w:abstractNum>
  <w:abstractNum w:abstractNumId="1">
    <w:nsid w:val="C3A4FC8B"/>
    <w:multiLevelType w:val="singleLevel"/>
    <w:tmpl w:val="C3A4FC8B"/>
    <w:lvl w:ilvl="0" w:tentative="0">
      <w:start w:val="3"/>
      <w:numFmt w:val="chineseCounting"/>
      <w:suff w:val="nothing"/>
      <w:lvlText w:val="%1、"/>
      <w:lvlJc w:val="left"/>
      <w:rPr>
        <w:rFonts w:hint="eastAsia"/>
      </w:rPr>
    </w:lvl>
  </w:abstractNum>
  <w:abstractNum w:abstractNumId="2">
    <w:nsid w:val="C73D6E75"/>
    <w:multiLevelType w:val="singleLevel"/>
    <w:tmpl w:val="C73D6E7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2VmZDYxMzc3NWMzN2FiZGZiMzE0YjM5NjVmYzcifQ=="/>
  </w:docVars>
  <w:rsids>
    <w:rsidRoot w:val="18717831"/>
    <w:rsid w:val="00EA058C"/>
    <w:rsid w:val="03AF1619"/>
    <w:rsid w:val="09D27E0F"/>
    <w:rsid w:val="0A334D52"/>
    <w:rsid w:val="0C0D512F"/>
    <w:rsid w:val="118C687E"/>
    <w:rsid w:val="16D231FD"/>
    <w:rsid w:val="18717831"/>
    <w:rsid w:val="1B54090D"/>
    <w:rsid w:val="1D8D2573"/>
    <w:rsid w:val="265E0B67"/>
    <w:rsid w:val="39561614"/>
    <w:rsid w:val="3A160CB4"/>
    <w:rsid w:val="4033445D"/>
    <w:rsid w:val="42457173"/>
    <w:rsid w:val="42F02098"/>
    <w:rsid w:val="43346E69"/>
    <w:rsid w:val="48541414"/>
    <w:rsid w:val="49DF11B1"/>
    <w:rsid w:val="49EC0C47"/>
    <w:rsid w:val="4A1A61F8"/>
    <w:rsid w:val="5BC16969"/>
    <w:rsid w:val="61DE2022"/>
    <w:rsid w:val="65FE7137"/>
    <w:rsid w:val="6A8E035E"/>
    <w:rsid w:val="6E3A7D36"/>
    <w:rsid w:val="74B65081"/>
    <w:rsid w:val="79A951B4"/>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_Style 1"/>
    <w:basedOn w:val="1"/>
    <w:qFormat/>
    <w:uiPriority w:val="99"/>
    <w:pPr>
      <w:ind w:firstLine="420" w:firstLineChars="200"/>
    </w:pPr>
    <w:rPr>
      <w:rFonts w:ascii="Calibri" w:hAnsi="Calibri" w:eastAsia="宋体" w:cs="Times New Roman"/>
      <w:szCs w:val="22"/>
    </w:r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2023-02-23T01:29:00Z</dcterms:created>
  <dc:creator>方方土</dc:creator>
  <cp:lastModifiedBy>方方土</cp:lastModifiedBy>
  <dcterms:modified xsi:type="dcterms:W3CDTF">2023-09-10T05:16:48Z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807D7A47277A46C58B4488DFE92C68C4_12</vt:lpwstr>
  </property>
</Properties>
</file>