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2022</w:t>
      </w:r>
      <w:r>
        <w:rPr>
          <w:rFonts w:eastAsia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val="en-US" w:eastAsia="zh-CN"/>
        </w:rPr>
        <w:t>邮亭圩镇中心小学</w:t>
      </w:r>
      <w:r>
        <w:rPr>
          <w:rFonts w:eastAsia="方正小标宋_GBK"/>
          <w:sz w:val="44"/>
          <w:szCs w:val="44"/>
        </w:rPr>
        <w:t>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</w:t>
      </w:r>
      <w:r>
        <w:rPr>
          <w:rFonts w:hint="eastAsia" w:eastAsia="方正小标宋_GBK"/>
          <w:sz w:val="48"/>
          <w:szCs w:val="48"/>
          <w:lang w:val="en-US" w:eastAsia="zh-CN"/>
        </w:rPr>
        <w:t>评价</w:t>
      </w:r>
      <w:r>
        <w:rPr>
          <w:rFonts w:eastAsia="方正小标宋_GBK"/>
          <w:sz w:val="48"/>
          <w:szCs w:val="48"/>
        </w:rPr>
        <w:t>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邮亭圩镇中心小学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我校是一所义务教育阶段的小学，属于财政全额拨款的事业单位，隶属于零陵区教育局，编制人数28人，在职人员30人，退休人员45人。2022年单位由校长室、教导处、工会、办公室、总务室、政教处组成。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4"/>
          <w:szCs w:val="24"/>
        </w:rPr>
        <w:t>年度财政拨款基本支出4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万元，其中：人员经费3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77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4.31</w:t>
      </w:r>
      <w:r>
        <w:rPr>
          <w:rFonts w:hint="eastAsia" w:ascii="微软雅黑" w:hAnsi="微软雅黑" w:eastAsia="微软雅黑" w:cs="微软雅黑"/>
          <w:sz w:val="24"/>
          <w:szCs w:val="24"/>
        </w:rPr>
        <w:t>%,主要包括基本工资、津贴补贴、绩效工资、社会保险缴费、生活补助、对个人和家庭补助等；公用经费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sz w:val="24"/>
          <w:szCs w:val="24"/>
        </w:rPr>
        <w:t>.4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万元，占基本支出的1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5.69</w:t>
      </w:r>
      <w:r>
        <w:rPr>
          <w:rFonts w:hint="eastAsia" w:ascii="微软雅黑" w:hAnsi="微软雅黑" w:eastAsia="微软雅黑" w:cs="微软雅黑"/>
          <w:sz w:val="24"/>
          <w:szCs w:val="24"/>
        </w:rPr>
        <w:t>%，主要包括办公费、印刷费、水电费、差旅费、培训费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二）</w:t>
      </w: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60.73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主要用于学校基础设施维修及心理咨询室建设。项目资金的使用严格按照程序和执行规定，及时入账固定资产等相关系统。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。由于专业业务水平不高，对于固定资产的管理和入账不够规范合理。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邮亭圩镇中心小学2022年绩效自评结果98分，由零陵区政府门户网站统一公开。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</w:p>
    <w:p>
      <w:pPr>
        <w:pStyle w:val="2"/>
        <w:widowControl/>
        <w:shd w:val="clear" w:color="auto" w:fill="FFFFFF"/>
        <w:ind w:firstLine="640"/>
        <w:rPr>
          <w:rFonts w:ascii="Calibri" w:hAnsi="Calibri" w:cs="Calibri"/>
          <w:color w:val="535353"/>
          <w:sz w:val="21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邮亭圩镇中心小学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461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477.98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477.98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1.12</w:t>
            </w:r>
            <w:r>
              <w:rPr>
                <w:rFonts w:hint="eastAsia" w:eastAsia="仿宋_GB2312"/>
                <w:sz w:val="18"/>
                <w:szCs w:val="18"/>
              </w:rPr>
              <w:t>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466.16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417.25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60.73万元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11.82万元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邮亭圩镇中心小学</w:t>
      </w:r>
      <w:r>
        <w:rPr>
          <w:rFonts w:hint="eastAsia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学校基础设施维修及心理咨询室建设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  <w:t>邮亭圩镇中心小学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60.7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60.73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60.73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60.73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60.73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60.73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改善学校教学环境，提升学校整体形象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工程完工质量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hint="default" w:ascii="宋体" w:cs="宋体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改善学校教学环境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jRmYjUzYzJiNGViOWYyZTAxMzA5NGZkYzdkZDgifQ=="/>
  </w:docVars>
  <w:rsids>
    <w:rsidRoot w:val="03C83304"/>
    <w:rsid w:val="03C83304"/>
    <w:rsid w:val="140F6475"/>
    <w:rsid w:val="1F0D4DFF"/>
    <w:rsid w:val="2C023C45"/>
    <w:rsid w:val="45B7168C"/>
    <w:rsid w:val="588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2496</Words>
  <Characters>2798</Characters>
  <Lines>0</Lines>
  <Paragraphs>0</Paragraphs>
  <TotalTime>4</TotalTime>
  <ScaleCrop>false</ScaleCrop>
  <LinksUpToDate>false</LinksUpToDate>
  <CharactersWithSpaces>2930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2023-02-18T14:19:00Z</dcterms:created>
  <dc:creator>Administrator</dc:creator>
  <cp:lastModifiedBy>。。。</cp:lastModifiedBy>
  <dcterms:modified xsi:type="dcterms:W3CDTF">2023-09-06T13:00:18Z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C8B97B3F71FB4811885AD879FFDB915E_13</vt:lpwstr>
  </property>
</Properties>
</file>