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eastAsia="黑体"/>
          <w:sz w:val="32"/>
          <w:szCs w:val="32"/>
        </w:rPr>
      </w:pPr>
      <w:r>
        <w:rPr>
          <w:rFonts w:eastAsia="黑体"/>
          <w:sz w:val="32"/>
          <w:szCs w:val="32"/>
        </w:rPr>
        <w:t>附件</w:t>
      </w:r>
      <w:r>
        <w:rPr>
          <w:rFonts w:hint="eastAsia" w:eastAsia="黑体"/>
          <w:sz w:val="32"/>
          <w:szCs w:val="32"/>
          <w:lang w:val="en-US" w:eastAsia="zh-CN"/>
        </w:rPr>
        <w:t>1</w:t>
      </w:r>
    </w:p>
    <w:p>
      <w:pPr>
        <w:spacing w:line="600" w:lineRule="exact"/>
        <w:rPr>
          <w:rFonts w:eastAsia="黑体"/>
          <w:kern w:val="0"/>
          <w:sz w:val="32"/>
          <w:szCs w:val="32"/>
        </w:rPr>
      </w:pPr>
    </w:p>
    <w:p>
      <w:pPr>
        <w:pStyle w:val="2"/>
      </w:pPr>
    </w:p>
    <w:p>
      <w:pPr>
        <w:jc w:val="center"/>
        <w:rPr>
          <w:rFonts w:eastAsia="方正小标宋_GBK"/>
          <w:sz w:val="48"/>
          <w:szCs w:val="48"/>
        </w:rPr>
      </w:pPr>
      <w:r>
        <w:rPr>
          <w:rFonts w:hint="eastAsia" w:eastAsia="方正小标宋_GBK"/>
          <w:sz w:val="48"/>
          <w:szCs w:val="48"/>
          <w:lang w:val="en-US" w:eastAsia="zh-CN"/>
        </w:rPr>
        <w:t>2023</w:t>
      </w:r>
      <w:r>
        <w:rPr>
          <w:rFonts w:eastAsia="方正小标宋_GBK"/>
          <w:sz w:val="48"/>
          <w:szCs w:val="48"/>
        </w:rPr>
        <w:t>年度</w:t>
      </w:r>
      <w:r>
        <w:rPr>
          <w:rFonts w:hint="eastAsia" w:eastAsia="方正小标宋_GBK"/>
          <w:sz w:val="48"/>
          <w:szCs w:val="48"/>
          <w:lang w:eastAsia="zh-CN"/>
        </w:rPr>
        <w:t>零陵区</w:t>
      </w:r>
      <w:r>
        <w:rPr>
          <w:rFonts w:hint="eastAsia" w:eastAsia="方正小标宋_GBK"/>
          <w:sz w:val="48"/>
          <w:szCs w:val="48"/>
          <w:lang w:val="en-US" w:eastAsia="zh-CN"/>
        </w:rPr>
        <w:t>应急管理局部门</w:t>
      </w:r>
      <w:r>
        <w:rPr>
          <w:rFonts w:eastAsia="方正小标宋_GBK"/>
          <w:sz w:val="48"/>
          <w:szCs w:val="48"/>
        </w:rPr>
        <w:t>整体支出绩效自评报告</w:t>
      </w:r>
    </w:p>
    <w:p>
      <w:pPr>
        <w:jc w:val="cente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hint="default" w:eastAsia="黑体"/>
          <w:sz w:val="36"/>
          <w:szCs w:val="36"/>
          <w:lang w:val="en-US" w:eastAsia="zh-CN"/>
        </w:rPr>
      </w:pPr>
      <w:r>
        <w:rPr>
          <w:rFonts w:eastAsia="黑体"/>
          <w:sz w:val="36"/>
          <w:szCs w:val="36"/>
        </w:rPr>
        <w:t>单位名称（盖章）：</w:t>
      </w:r>
      <w:r>
        <w:rPr>
          <w:rFonts w:hint="eastAsia" w:eastAsia="黑体"/>
          <w:sz w:val="36"/>
          <w:szCs w:val="36"/>
          <w:lang w:val="en-US" w:eastAsia="zh-CN"/>
        </w:rPr>
        <w:t>永州市</w:t>
      </w:r>
      <w:r>
        <w:rPr>
          <w:rFonts w:hint="eastAsia" w:eastAsia="黑体"/>
          <w:sz w:val="36"/>
          <w:szCs w:val="36"/>
          <w:lang w:eastAsia="zh-CN"/>
        </w:rPr>
        <w:t>零陵区</w:t>
      </w:r>
      <w:r>
        <w:rPr>
          <w:rFonts w:hint="eastAsia" w:eastAsia="黑体"/>
          <w:sz w:val="36"/>
          <w:szCs w:val="36"/>
          <w:lang w:val="en-US" w:eastAsia="zh-CN"/>
        </w:rPr>
        <w:t>应急管理局</w:t>
      </w:r>
    </w:p>
    <w:p>
      <w:pPr>
        <w:jc w:val="center"/>
        <w:rPr>
          <w:rFonts w:hint="default" w:eastAsia="仿宋_GB2312"/>
          <w:b/>
          <w:bCs/>
          <w:sz w:val="32"/>
          <w:szCs w:val="32"/>
          <w:lang w:val="en-US" w:eastAsia="zh-CN"/>
        </w:rPr>
      </w:pPr>
      <w:r>
        <w:rPr>
          <w:rFonts w:hint="eastAsia" w:eastAsia="仿宋_GB2312"/>
          <w:b/>
          <w:bCs/>
          <w:sz w:val="32"/>
          <w:szCs w:val="32"/>
          <w:lang w:val="en-US" w:eastAsia="zh-CN"/>
        </w:rPr>
        <w:t>2024年5月10日</w:t>
      </w:r>
    </w:p>
    <w:p>
      <w:pPr>
        <w:jc w:val="center"/>
        <w:rPr>
          <w:rFonts w:eastAsia="仿宋_GB2312"/>
          <w:sz w:val="32"/>
          <w:szCs w:val="32"/>
        </w:rPr>
      </w:pPr>
    </w:p>
    <w:p>
      <w:pPr>
        <w:jc w:val="center"/>
        <w:rPr>
          <w:rFonts w:eastAsia="黑体"/>
          <w:sz w:val="36"/>
          <w:szCs w:val="36"/>
        </w:rPr>
      </w:pPr>
    </w:p>
    <w:p>
      <w:pPr>
        <w:pStyle w:val="2"/>
        <w:ind w:left="0" w:leftChars="0" w:firstLine="0" w:firstLineChars="0"/>
        <w:rPr>
          <w:rFonts w:hint="eastAsia"/>
          <w:lang w:val="en-US" w:eastAsia="zh-CN"/>
        </w:rPr>
        <w:sectPr>
          <w:pgSz w:w="11906" w:h="16838"/>
          <w:pgMar w:top="1440" w:right="1800" w:bottom="1440" w:left="1800" w:header="851" w:footer="992" w:gutter="0"/>
          <w:cols w:space="425" w:num="1"/>
          <w:docGrid w:type="linesAndChars" w:linePitch="312" w:charSpace="0"/>
        </w:sectPr>
      </w:pPr>
    </w:p>
    <w:p>
      <w:pPr>
        <w:jc w:val="left"/>
        <w:rPr>
          <w:rFonts w:cs="黑体" w:asciiTheme="minorEastAsia" w:hAnsiTheme="minorEastAsia"/>
          <w:color w:val="000000"/>
          <w:kern w:val="0"/>
          <w:sz w:val="32"/>
          <w:szCs w:val="32"/>
        </w:rPr>
      </w:pPr>
    </w:p>
    <w:p>
      <w:pPr>
        <w:pStyle w:val="16"/>
        <w:keepNext w:val="0"/>
        <w:keepLines w:val="0"/>
        <w:pageBreakBefore w:val="0"/>
        <w:numPr>
          <w:ilvl w:val="0"/>
          <w:numId w:val="1"/>
        </w:numPr>
        <w:kinsoku/>
        <w:wordWrap/>
        <w:overflowPunct/>
        <w:topLinePunct w:val="0"/>
        <w:autoSpaceDE/>
        <w:autoSpaceDN/>
        <w:bidi w:val="0"/>
        <w:adjustRightInd/>
        <w:snapToGrid/>
        <w:spacing w:line="440" w:lineRule="exact"/>
        <w:ind w:firstLineChars="0"/>
        <w:textAlignment w:val="auto"/>
        <w:rPr>
          <w:rFonts w:ascii="黑体" w:hAnsi="黑体" w:eastAsia="黑体"/>
          <w:sz w:val="32"/>
          <w:szCs w:val="32"/>
        </w:rPr>
      </w:pPr>
      <w:r>
        <w:rPr>
          <w:rFonts w:hint="eastAsia" w:ascii="黑体" w:hAnsi="黑体" w:eastAsia="黑体"/>
          <w:sz w:val="32"/>
          <w:szCs w:val="32"/>
        </w:rPr>
        <w:t>基本情况</w:t>
      </w:r>
    </w:p>
    <w:p>
      <w:pPr>
        <w:numPr>
          <w:ilvl w:val="0"/>
          <w:numId w:val="2"/>
        </w:numPr>
        <w:spacing w:line="600" w:lineRule="exact"/>
        <w:ind w:firstLine="640" w:firstLineChars="200"/>
        <w:rPr>
          <w:rFonts w:eastAsia="楷体_GB2312"/>
          <w:b/>
          <w:sz w:val="32"/>
          <w:szCs w:val="32"/>
        </w:rPr>
      </w:pPr>
      <w:r>
        <w:rPr>
          <w:rFonts w:eastAsia="楷体_GB2312"/>
          <w:b/>
          <w:sz w:val="32"/>
          <w:szCs w:val="32"/>
        </w:rPr>
        <w:t>单位基本情况</w:t>
      </w:r>
    </w:p>
    <w:p>
      <w:pPr>
        <w:numPr>
          <w:ilvl w:val="0"/>
          <w:numId w:val="0"/>
        </w:numPr>
        <w:bidi w:val="0"/>
        <w:rPr>
          <w:rFonts w:hint="eastAsia" w:eastAsia="楷体_GB2312"/>
          <w:b/>
          <w:sz w:val="32"/>
          <w:szCs w:val="32"/>
        </w:rPr>
      </w:pPr>
      <w:r>
        <w:rPr>
          <w:rFonts w:hint="eastAsia" w:eastAsia="楷体_GB2312"/>
          <w:b/>
          <w:sz w:val="32"/>
          <w:szCs w:val="32"/>
          <w:lang w:val="en-US" w:eastAsia="zh-CN"/>
        </w:rPr>
        <w:t xml:space="preserve"> </w:t>
      </w:r>
      <w:r>
        <w:rPr>
          <w:rFonts w:hint="eastAsia" w:ascii="宋体" w:hAnsi="宋体" w:eastAsia="宋体" w:cs="宋体"/>
          <w:b/>
          <w:sz w:val="32"/>
          <w:szCs w:val="32"/>
          <w:lang w:val="en-US" w:eastAsia="zh-CN"/>
        </w:rPr>
        <w:t xml:space="preserve">  </w:t>
      </w:r>
      <w:r>
        <w:rPr>
          <w:rFonts w:hint="eastAsia" w:ascii="仿宋" w:hAnsi="仿宋" w:eastAsia="仿宋" w:cs="仿宋"/>
          <w:b/>
          <w:sz w:val="32"/>
          <w:szCs w:val="32"/>
          <w:lang w:val="en-US" w:eastAsia="zh-CN"/>
        </w:rPr>
        <w:t>1、主要</w:t>
      </w:r>
      <w:r>
        <w:rPr>
          <w:rFonts w:hint="eastAsia" w:ascii="仿宋" w:hAnsi="仿宋" w:eastAsia="仿宋" w:cs="仿宋"/>
          <w:b/>
          <w:sz w:val="32"/>
          <w:szCs w:val="32"/>
        </w:rPr>
        <w:t>职能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（1）</w:t>
      </w:r>
      <w:r>
        <w:rPr>
          <w:rFonts w:hint="eastAsia" w:eastAsia="仿宋_GB2312"/>
          <w:sz w:val="32"/>
          <w:szCs w:val="32"/>
          <w:lang w:val="en-US" w:eastAsia="zh-CN"/>
        </w:rPr>
        <w:t>负责应急管理工作，指导全区各级各部门应对安全生产类、自然灾害类等突发事件和综合防灾减灾救灾工作。负责安全生产综合监督管理和工矿商贸行业安全生产监督管理工作。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（2）</w:t>
      </w:r>
      <w:r>
        <w:rPr>
          <w:rFonts w:hint="eastAsia" w:eastAsia="仿宋_GB2312"/>
          <w:sz w:val="32"/>
          <w:szCs w:val="32"/>
          <w:lang w:val="en-US" w:eastAsia="zh-CN"/>
        </w:rPr>
        <w:t>贯彻实施相关法律法规、部门规章、规程和标准，组织编制全区应急体系建设、安全生产和综合防灾减灾规划，拟制相关规范性文件草案，监督实施相关政策、规程和标准。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（3）</w:t>
      </w:r>
      <w:r>
        <w:rPr>
          <w:rFonts w:hint="eastAsia" w:eastAsia="仿宋_GB2312"/>
          <w:sz w:val="32"/>
          <w:szCs w:val="32"/>
          <w:lang w:val="en-US" w:eastAsia="zh-CN"/>
        </w:rPr>
        <w:t>指导应急预案体系建设，建立完善事故灾难和自然灾害分级应对制度，组织编制零陵区总体应急预案和安全生产类、自然灾害类专项预案，综合协调应急预案衔接工作，组织开展预案演练，推动应急避难设施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（4）</w:t>
      </w:r>
      <w:r>
        <w:rPr>
          <w:rFonts w:hint="eastAsia" w:eastAsia="仿宋_GB2312"/>
          <w:sz w:val="32"/>
          <w:szCs w:val="32"/>
          <w:lang w:val="en-US" w:eastAsia="zh-CN"/>
        </w:rPr>
        <w:t>牵头推进全区统一的应急管理信息系统建设，负责信息传输渠道的规划和布局，建立监测预警和灾情报告制度，健全自然灾害信息资源获取和共享机制，依法统一发布灾情。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（5）</w:t>
      </w:r>
      <w:r>
        <w:rPr>
          <w:rFonts w:hint="eastAsia" w:eastAsia="仿宋_GB2312"/>
          <w:sz w:val="32"/>
          <w:szCs w:val="32"/>
          <w:lang w:val="en-US" w:eastAsia="zh-CN"/>
        </w:rPr>
        <w:t>组织指导协调安全生产类、自然灾害类等突发事件应急救援，承担区应对灾害指挥部工作，综合研判突发事件发展态势并提出应对建议，协助区委、区政府指定的负责同志组织灾害应急处置工作。</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tabs>
          <w:tab w:val="left" w:pos="3074"/>
        </w:tabs>
        <w:bidi w:val="0"/>
        <w:jc w:val="left"/>
        <w:rPr>
          <w:rFonts w:hint="eastAsia"/>
          <w:lang w:val="en-US" w:eastAsia="zh-CN"/>
        </w:rPr>
      </w:pPr>
      <w:r>
        <w:rPr>
          <w:rFonts w:hint="eastAsia"/>
          <w:lang w:val="en-US" w:eastAsia="zh-CN"/>
        </w:rPr>
        <w:tab/>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（6）</w:t>
      </w:r>
      <w:r>
        <w:rPr>
          <w:rFonts w:hint="eastAsia" w:eastAsia="仿宋_GB2312"/>
          <w:sz w:val="32"/>
          <w:szCs w:val="32"/>
          <w:lang w:val="en-US" w:eastAsia="zh-CN"/>
        </w:rPr>
        <w:t>统一协调指挥各类应急专业队伍，建立应急协调联动机制，推进指挥平合对接，负责做好解放军和武警部队参与应急救援相关衔接工作。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（7）</w:t>
      </w:r>
      <w:r>
        <w:rPr>
          <w:rFonts w:hint="eastAsia" w:eastAsia="仿宋_GB2312"/>
          <w:sz w:val="32"/>
          <w:szCs w:val="32"/>
          <w:lang w:val="en-US" w:eastAsia="zh-CN"/>
        </w:rPr>
        <w:t>统筹全区应急救援力量建设，负责消防、森林和草原火灾扑救、抗洪抢险、地震和地质灾害救援、生产安全事故救援等专业应急救援力量建设，依权限做好驻永国家综合性应急救援队伍建设的相关工作，指导社会应急救援力量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（8）</w:t>
      </w:r>
      <w:r>
        <w:rPr>
          <w:rFonts w:hint="eastAsia" w:eastAsia="仿宋_GB2312"/>
          <w:sz w:val="32"/>
          <w:szCs w:val="32"/>
          <w:lang w:val="en-US" w:eastAsia="zh-CN"/>
        </w:rPr>
        <w:t>负责全区消防管理有关工作，指导全区消防监督、火灾预防、火灾扑救等工作。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（9）</w:t>
      </w:r>
      <w:r>
        <w:rPr>
          <w:rFonts w:hint="eastAsia" w:eastAsia="仿宋_GB2312"/>
          <w:sz w:val="32"/>
          <w:szCs w:val="32"/>
          <w:lang w:val="en-US" w:eastAsia="zh-CN"/>
        </w:rPr>
        <w:t>指导协调全区森林和草原火灾、水早灾害、地震和地质灾害等防治工作，负责自然灾害综合监测预警工作，指导开展自然灾害综合风险评估工作。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（10）</w:t>
      </w:r>
      <w:r>
        <w:rPr>
          <w:rFonts w:hint="eastAsia" w:eastAsia="仿宋_GB2312"/>
          <w:sz w:val="32"/>
          <w:szCs w:val="32"/>
          <w:lang w:val="en-US" w:eastAsia="zh-CN"/>
        </w:rPr>
        <w:t>组织协调灾害救助工作，组织指导灾情核查、损失评估、救灾捐赠工作，按权限管理、分配中央、省、市下达和区级救灾款物并监督使用。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（11）</w:t>
      </w:r>
      <w:r>
        <w:rPr>
          <w:rFonts w:hint="eastAsia" w:eastAsia="仿宋_GB2312"/>
          <w:sz w:val="32"/>
          <w:szCs w:val="32"/>
          <w:lang w:val="en-US" w:eastAsia="zh-CN"/>
        </w:rPr>
        <w:t>依法行使安全生产综合监督管理职权，指导协调、监督检査区政府有关部门和各乡镇(街道)安全生产工作，组织开展安全生产巡查、考核工作。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（12）</w:t>
      </w:r>
      <w:r>
        <w:rPr>
          <w:rFonts w:hint="eastAsia" w:eastAsia="仿宋_GB2312"/>
          <w:sz w:val="32"/>
          <w:szCs w:val="32"/>
          <w:lang w:val="en-US" w:eastAsia="zh-CN"/>
        </w:rPr>
        <w:t>按照分级、属地原则，依法监督检査工矿商贸生产经营单位贯彻执行安全生产法律法规情况及其安全生产条件和有关设备(特种设备除外)、材料、劳动防护用品的安全生产管理工作。负责监督管理工矿商贸行业区属企业安全生产工作。依法组织并指导监督实施安全生产准入制度。负责危险化学品安全监督管理综合工作和烟花爆竹安全生产监督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（13）</w:t>
      </w:r>
      <w:r>
        <w:rPr>
          <w:rFonts w:hint="eastAsia" w:eastAsia="仿宋_GB2312"/>
          <w:sz w:val="32"/>
          <w:szCs w:val="32"/>
          <w:lang w:val="en-US" w:eastAsia="zh-CN"/>
        </w:rPr>
        <w:t>依法组织指导生产安全事故调查处理，监督事故查处和责任追究落实情况。组织开展自然灾害类突发事件的调查评估工作。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（14）</w:t>
      </w:r>
      <w:r>
        <w:rPr>
          <w:rFonts w:hint="eastAsia" w:eastAsia="仿宋_GB2312"/>
          <w:sz w:val="32"/>
          <w:szCs w:val="32"/>
          <w:lang w:val="en-US" w:eastAsia="zh-CN"/>
        </w:rPr>
        <w:t>开展应急管理对外交流与合作，组织参与安全生产类、自然灾害类等突发事件的对外救援工作。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（15）</w:t>
      </w:r>
      <w:r>
        <w:rPr>
          <w:rFonts w:hint="eastAsia" w:eastAsia="仿宋_GB2312"/>
          <w:sz w:val="32"/>
          <w:szCs w:val="32"/>
          <w:lang w:val="en-US" w:eastAsia="zh-CN"/>
        </w:rPr>
        <w:t>拟制全区应急物资储备和应急救援装备规划并组织实施，会同区发展和改革局(区粮食和物资储备局)等部门建立健全应急物资信息平台和调拨制度，在救灾时统一调度。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（16）</w:t>
      </w:r>
      <w:r>
        <w:rPr>
          <w:rFonts w:hint="eastAsia" w:eastAsia="仿宋_GB2312"/>
          <w:sz w:val="32"/>
          <w:szCs w:val="32"/>
          <w:lang w:val="en-US" w:eastAsia="zh-CN"/>
        </w:rPr>
        <w:t>负责应急管理、安全生产宣传教育和培训工作，组织指导应急管理、安全生产的科学技术研究、推广应用和信息化建设工作。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（17）</w:t>
      </w:r>
      <w:r>
        <w:rPr>
          <w:rFonts w:hint="eastAsia" w:eastAsia="仿宋_GB2312"/>
          <w:sz w:val="32"/>
          <w:szCs w:val="32"/>
          <w:lang w:val="en-US" w:eastAsia="zh-CN"/>
        </w:rPr>
        <w:t>承担区防汛抗旱指挥部日常工作，协调区防汛抗旱指挥部成员单位的相关工作，组织执行上级防汛抗旱指挥部和区防汛抗旱指挥部的指示、命令。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仿宋_GB2312" w:eastAsia="仿宋_GB2312" w:cs="宋体"/>
          <w:sz w:val="32"/>
          <w:szCs w:val="32"/>
          <w:lang w:val="en-US" w:eastAsia="zh-CN" w:bidi="ar-SA"/>
        </w:rPr>
        <w:t>（18）</w:t>
      </w:r>
      <w:r>
        <w:rPr>
          <w:rFonts w:hint="eastAsia" w:eastAsia="仿宋_GB2312"/>
          <w:sz w:val="32"/>
          <w:szCs w:val="32"/>
          <w:lang w:val="en-US" w:eastAsia="zh-CN"/>
        </w:rPr>
        <w:t>完成区委、区政府交办的其他任务。</w:t>
      </w:r>
    </w:p>
    <w:p>
      <w:pPr>
        <w:spacing w:line="60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2、机</w:t>
      </w:r>
      <w:r>
        <w:rPr>
          <w:rFonts w:hint="eastAsia" w:ascii="仿宋" w:hAnsi="仿宋" w:eastAsia="仿宋" w:cs="仿宋"/>
          <w:b/>
          <w:sz w:val="32"/>
          <w:szCs w:val="32"/>
        </w:rPr>
        <w:t>构设置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零陵区应急管理局内设机构为七个：办公室(安全生产综合协调室)、应急救援指挥办公室(防汛抗旱指挥部办公室)、政策法规室(行政审批室、宣传教育室)、矿山和工贸行业安全监督管理室、烟花爆竹和危险化学品安全监督管理室、综合减灾救灾室(火灾防治管理室、森林防火指挥部办公室)、政工室。</w:t>
      </w:r>
    </w:p>
    <w:p>
      <w:pPr>
        <w:spacing w:line="600" w:lineRule="exact"/>
        <w:ind w:firstLine="640"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3、人员编制</w:t>
      </w:r>
    </w:p>
    <w:p>
      <w:pPr>
        <w:numPr>
          <w:ilvl w:val="0"/>
          <w:numId w:val="0"/>
        </w:numPr>
        <w:snapToGrid w:val="0"/>
        <w:spacing w:line="520" w:lineRule="exact"/>
        <w:rPr>
          <w:rFonts w:hint="eastAsia" w:ascii="仿宋_GB2312" w:eastAsia="仿宋_GB2312" w:cs="宋体"/>
          <w:sz w:val="32"/>
          <w:szCs w:val="32"/>
          <w:lang w:bidi="ar-SA"/>
        </w:rPr>
      </w:pPr>
      <w:r>
        <w:rPr>
          <w:rFonts w:hint="eastAsia" w:ascii="仿宋_GB2312" w:hAnsi="仿宋" w:eastAsia="仿宋_GB2312"/>
          <w:sz w:val="32"/>
          <w:szCs w:val="32"/>
          <w:lang w:val="en-US" w:eastAsia="zh-CN"/>
        </w:rPr>
        <w:t xml:space="preserve">  2023年区应急局</w:t>
      </w:r>
      <w:r>
        <w:rPr>
          <w:rFonts w:hint="eastAsia" w:eastAsia="仿宋_GB2312"/>
          <w:sz w:val="32"/>
          <w:szCs w:val="32"/>
          <w:lang w:val="en-US" w:eastAsia="zh-CN"/>
        </w:rPr>
        <w:t>核定</w:t>
      </w:r>
      <w:r>
        <w:rPr>
          <w:rFonts w:hint="eastAsia" w:ascii="仿宋_GB2312" w:eastAsia="仿宋_GB2312" w:cs="宋体"/>
          <w:sz w:val="32"/>
          <w:szCs w:val="32"/>
          <w:lang w:bidi="ar-SA"/>
        </w:rPr>
        <w:t>编制数</w:t>
      </w:r>
      <w:r>
        <w:rPr>
          <w:rFonts w:hint="eastAsia" w:ascii="仿宋_GB2312" w:eastAsia="仿宋_GB2312" w:cs="宋体"/>
          <w:sz w:val="32"/>
          <w:szCs w:val="32"/>
          <w:lang w:val="en-US" w:eastAsia="zh-CN" w:bidi="ar-SA"/>
        </w:rPr>
        <w:t>127</w:t>
      </w:r>
      <w:r>
        <w:rPr>
          <w:rFonts w:hint="eastAsia" w:ascii="仿宋_GB2312" w:eastAsia="仿宋_GB2312" w:cs="宋体"/>
          <w:sz w:val="32"/>
          <w:szCs w:val="32"/>
          <w:lang w:bidi="ar-SA"/>
        </w:rPr>
        <w:t>名，全额编制</w:t>
      </w:r>
      <w:r>
        <w:rPr>
          <w:rFonts w:hint="eastAsia" w:ascii="仿宋_GB2312" w:eastAsia="仿宋_GB2312" w:cs="宋体"/>
          <w:sz w:val="32"/>
          <w:szCs w:val="32"/>
          <w:lang w:val="en-US" w:eastAsia="zh-CN" w:bidi="ar-SA"/>
        </w:rPr>
        <w:t>127</w:t>
      </w:r>
      <w:r>
        <w:rPr>
          <w:rFonts w:hint="eastAsia" w:ascii="仿宋_GB2312" w:eastAsia="仿宋_GB2312" w:cs="宋体"/>
          <w:sz w:val="32"/>
          <w:szCs w:val="32"/>
          <w:lang w:bidi="ar-SA"/>
        </w:rPr>
        <w:t>人，实有人数</w:t>
      </w:r>
      <w:r>
        <w:rPr>
          <w:rFonts w:hint="eastAsia" w:ascii="仿宋_GB2312" w:eastAsia="仿宋_GB2312" w:cs="宋体"/>
          <w:sz w:val="32"/>
          <w:szCs w:val="32"/>
          <w:lang w:val="en-US" w:eastAsia="zh-CN" w:bidi="ar-SA"/>
        </w:rPr>
        <w:t>122</w:t>
      </w:r>
      <w:r>
        <w:rPr>
          <w:rFonts w:hint="eastAsia" w:ascii="仿宋_GB2312" w:eastAsia="仿宋_GB2312" w:cs="宋体"/>
          <w:sz w:val="32"/>
          <w:szCs w:val="32"/>
          <w:lang w:bidi="ar-SA"/>
        </w:rPr>
        <w:t>人，其中：在职人员</w:t>
      </w:r>
      <w:r>
        <w:rPr>
          <w:rFonts w:hint="eastAsia" w:ascii="仿宋_GB2312" w:eastAsia="仿宋_GB2312" w:cs="宋体"/>
          <w:sz w:val="32"/>
          <w:szCs w:val="32"/>
          <w:lang w:val="en-US" w:eastAsia="zh-CN" w:bidi="ar-SA"/>
        </w:rPr>
        <w:t>122</w:t>
      </w:r>
      <w:r>
        <w:rPr>
          <w:rFonts w:hint="eastAsia" w:ascii="仿宋_GB2312" w:eastAsia="仿宋_GB2312" w:cs="宋体"/>
          <w:sz w:val="32"/>
          <w:szCs w:val="32"/>
          <w:lang w:bidi="ar-SA"/>
        </w:rPr>
        <w:t>人，退休人员</w:t>
      </w:r>
      <w:r>
        <w:rPr>
          <w:rFonts w:hint="eastAsia" w:ascii="仿宋_GB2312" w:eastAsia="仿宋_GB2312" w:cs="宋体"/>
          <w:sz w:val="32"/>
          <w:szCs w:val="32"/>
          <w:lang w:val="en-US" w:eastAsia="zh-CN" w:bidi="ar-SA"/>
        </w:rPr>
        <w:t>8</w:t>
      </w:r>
      <w:r>
        <w:rPr>
          <w:rFonts w:hint="eastAsia" w:ascii="仿宋_GB2312" w:eastAsia="仿宋_GB2312" w:cs="宋体"/>
          <w:sz w:val="32"/>
          <w:szCs w:val="32"/>
          <w:lang w:bidi="ar-SA"/>
        </w:rPr>
        <w:t>人。</w:t>
      </w:r>
    </w:p>
    <w:p>
      <w:pPr>
        <w:snapToGrid w:val="0"/>
        <w:spacing w:line="520" w:lineRule="exact"/>
        <w:ind w:firstLine="640" w:firstLineChars="200"/>
        <w:rPr>
          <w:rFonts w:hint="default" w:ascii="Times New Roman" w:hAnsi="Times New Roman" w:eastAsia="楷体_GB2312"/>
          <w:b/>
          <w:sz w:val="32"/>
          <w:szCs w:val="32"/>
          <w:lang w:val="en-US" w:eastAsia="zh-CN"/>
        </w:rPr>
      </w:pPr>
      <w:r>
        <w:rPr>
          <w:rFonts w:ascii="Times New Roman" w:hAnsi="Times New Roman" w:eastAsia="楷体_GB2312"/>
          <w:b/>
          <w:sz w:val="32"/>
          <w:szCs w:val="32"/>
        </w:rPr>
        <w:t>（</w:t>
      </w:r>
      <w:r>
        <w:rPr>
          <w:rFonts w:hint="eastAsia" w:ascii="Times New Roman" w:hAnsi="Times New Roman" w:eastAsia="楷体_GB2312"/>
          <w:b/>
          <w:sz w:val="32"/>
          <w:szCs w:val="32"/>
          <w:lang w:val="en-US" w:eastAsia="zh-CN"/>
        </w:rPr>
        <w:t>二</w:t>
      </w:r>
      <w:r>
        <w:rPr>
          <w:rFonts w:ascii="Times New Roman" w:hAnsi="Times New Roman" w:eastAsia="楷体_GB2312"/>
          <w:b/>
          <w:sz w:val="32"/>
          <w:szCs w:val="32"/>
        </w:rPr>
        <w:t>）</w:t>
      </w:r>
      <w:r>
        <w:rPr>
          <w:rFonts w:hint="eastAsia" w:ascii="Times New Roman" w:hAnsi="Times New Roman" w:eastAsia="楷体_GB2312"/>
          <w:b/>
          <w:sz w:val="32"/>
          <w:szCs w:val="32"/>
          <w:lang w:val="en-US" w:eastAsia="zh-CN"/>
        </w:rPr>
        <w:t>单位整体支出规模</w:t>
      </w:r>
    </w:p>
    <w:p>
      <w:pPr>
        <w:snapToGrid w:val="0"/>
        <w:spacing w:line="520" w:lineRule="exact"/>
        <w:ind w:firstLine="640"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1、整体支出情况</w:t>
      </w:r>
    </w:p>
    <w:p>
      <w:pPr>
        <w:snapToGrid w:val="0"/>
        <w:spacing w:line="520" w:lineRule="exact"/>
        <w:ind w:firstLine="640" w:firstLineChars="200"/>
        <w:rPr>
          <w:rFonts w:hint="default" w:ascii="仿宋_GB2312" w:eastAsia="仿宋_GB2312" w:cs="宋体"/>
          <w:color w:val="auto"/>
          <w:sz w:val="32"/>
          <w:szCs w:val="32"/>
          <w:lang w:val="en-US" w:eastAsia="zh-CN" w:bidi="ar-SA"/>
        </w:rPr>
      </w:pPr>
      <w:r>
        <w:rPr>
          <w:rFonts w:hint="eastAsia" w:ascii="仿宋_GB2312" w:eastAsia="仿宋_GB2312" w:cs="宋体"/>
          <w:sz w:val="32"/>
          <w:szCs w:val="32"/>
          <w:lang w:val="en-US" w:eastAsia="zh-CN" w:bidi="ar-SA"/>
        </w:rPr>
        <w:t>20</w:t>
      </w:r>
      <w:r>
        <w:rPr>
          <w:rFonts w:hint="eastAsia" w:ascii="仿宋_GB2312" w:eastAsia="仿宋_GB2312" w:cs="宋体"/>
          <w:color w:val="auto"/>
          <w:sz w:val="32"/>
          <w:szCs w:val="32"/>
          <w:lang w:val="en-US" w:eastAsia="zh-CN" w:bidi="ar-SA"/>
        </w:rPr>
        <w:t>23年度支出</w:t>
      </w:r>
      <w:r>
        <w:rPr>
          <w:rFonts w:hint="eastAsia" w:ascii="仿宋_GB2312" w:eastAsia="仿宋_GB2312"/>
          <w:sz w:val="32"/>
          <w:szCs w:val="32"/>
          <w:lang w:val="en-US" w:eastAsia="zh-CN"/>
        </w:rPr>
        <w:t>1968.01</w:t>
      </w:r>
      <w:r>
        <w:rPr>
          <w:rFonts w:hint="eastAsia" w:ascii="仿宋_GB2312" w:eastAsia="仿宋_GB2312" w:cs="宋体"/>
          <w:color w:val="auto"/>
          <w:sz w:val="32"/>
          <w:szCs w:val="32"/>
          <w:lang w:eastAsia="zh-CN" w:bidi="ar-SA"/>
        </w:rPr>
        <w:t>万元</w:t>
      </w:r>
      <w:r>
        <w:rPr>
          <w:rFonts w:hint="eastAsia" w:ascii="仿宋_GB2312" w:eastAsia="仿宋_GB2312" w:cs="宋体"/>
          <w:color w:val="auto"/>
          <w:sz w:val="32"/>
          <w:szCs w:val="32"/>
          <w:lang w:val="en-US" w:eastAsia="zh-CN" w:bidi="ar-SA"/>
        </w:rPr>
        <w:t>,其中：安全监管支出948.06万元，占总支出48.17%；行政运行207.56万元，占总支出10.55%；其他科学技术支出36.94万元，占总支出1.88%；其他文化旅游体育与传媒支出6万元，占总支出0.3%；其他社会保障和就业支出2.81万元，占总支出0.14%；机关事业单位基本养老保险缴费支出99.75万元，占总支出5.07%；行政单位医疗支出44.64万元，占总支出2.27%；其他应急管理支出8万元，占总支出0.41%。森林草原防灾减灾367.96万元，占总支出18.7%。其他自然灾害防治支出17.2万元，占总支出0.87%。自然灾害救灾补助223万元，占总支出11.33%。其他灾害防治及应急管理支出4.8万元，占总支出0.24%。其他支出0.97万元 ，占总支出0.05%。其他一般公共服务支出0.32万元，占总支出0.02%。</w:t>
      </w:r>
    </w:p>
    <w:p>
      <w:pPr>
        <w:numPr>
          <w:ilvl w:val="0"/>
          <w:numId w:val="3"/>
        </w:numPr>
        <w:snapToGrid w:val="0"/>
        <w:spacing w:line="520" w:lineRule="exact"/>
        <w:ind w:firstLine="640"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预算收支决算情况</w:t>
      </w:r>
    </w:p>
    <w:p>
      <w:pPr>
        <w:snapToGrid w:val="0"/>
        <w:spacing w:line="520" w:lineRule="exact"/>
        <w:ind w:firstLine="640" w:firstLineChars="200"/>
        <w:rPr>
          <w:rFonts w:hint="eastAsia" w:ascii="楷体_GB2312" w:hAnsi="仿宋" w:eastAsia="楷体_GB2312"/>
          <w:b/>
          <w:sz w:val="32"/>
          <w:szCs w:val="32"/>
        </w:rPr>
      </w:pPr>
      <w:r>
        <w:rPr>
          <w:rFonts w:hint="eastAsia" w:ascii="楷体_GB2312" w:hAnsi="仿宋" w:eastAsia="楷体_GB2312"/>
          <w:b/>
          <w:sz w:val="32"/>
          <w:szCs w:val="32"/>
          <w:lang w:val="en-US" w:eastAsia="zh-CN"/>
        </w:rPr>
        <w:t>（1）</w:t>
      </w:r>
      <w:r>
        <w:rPr>
          <w:rFonts w:hint="eastAsia" w:ascii="楷体_GB2312" w:hAnsi="仿宋" w:eastAsia="楷体_GB2312"/>
          <w:b/>
          <w:sz w:val="32"/>
          <w:szCs w:val="32"/>
        </w:rPr>
        <w:t>收入支出预算情况</w:t>
      </w:r>
    </w:p>
    <w:p>
      <w:pPr>
        <w:snapToGrid w:val="0"/>
        <w:spacing w:line="520" w:lineRule="exact"/>
        <w:ind w:firstLine="640" w:firstLineChars="200"/>
        <w:rPr>
          <w:rFonts w:hint="eastAsia" w:ascii="仿宋_GB2312" w:eastAsia="仿宋_GB2312" w:cs="宋体"/>
          <w:color w:val="FF0000"/>
          <w:sz w:val="32"/>
          <w:szCs w:val="32"/>
          <w:lang w:val="en-US" w:eastAsia="zh-CN" w:bidi="ar-SA"/>
        </w:rPr>
      </w:pPr>
      <w:r>
        <w:rPr>
          <w:rFonts w:hint="eastAsia" w:ascii="仿宋_GB2312" w:eastAsia="仿宋_GB2312" w:cs="宋体"/>
          <w:sz w:val="32"/>
          <w:szCs w:val="32"/>
          <w:lang w:val="en-US" w:eastAsia="zh-CN" w:bidi="ar-SA"/>
        </w:rPr>
        <w:t>2023年</w:t>
      </w:r>
      <w:r>
        <w:rPr>
          <w:rFonts w:hint="eastAsia" w:ascii="仿宋_GB2312" w:eastAsia="仿宋_GB2312" w:cs="宋体"/>
          <w:sz w:val="32"/>
          <w:szCs w:val="32"/>
          <w:lang w:bidi="ar-SA"/>
        </w:rPr>
        <w:t>收入</w:t>
      </w:r>
      <w:r>
        <w:rPr>
          <w:rFonts w:hint="eastAsia" w:ascii="仿宋_GB2312" w:eastAsia="仿宋_GB2312" w:cs="宋体"/>
          <w:sz w:val="32"/>
          <w:szCs w:val="32"/>
          <w:lang w:val="en-US" w:eastAsia="zh-CN" w:bidi="ar-SA"/>
        </w:rPr>
        <w:t>年初预算</w:t>
      </w:r>
      <w:r>
        <w:rPr>
          <w:rFonts w:hint="eastAsia" w:ascii="仿宋_GB2312" w:eastAsia="仿宋_GB2312"/>
          <w:sz w:val="32"/>
          <w:szCs w:val="32"/>
          <w:lang w:val="en-US" w:eastAsia="zh-CN"/>
        </w:rPr>
        <w:t>1385.5</w:t>
      </w:r>
      <w:r>
        <w:rPr>
          <w:rFonts w:hint="eastAsia" w:ascii="仿宋_GB2312" w:eastAsia="仿宋_GB2312" w:cs="宋体"/>
          <w:sz w:val="32"/>
          <w:szCs w:val="32"/>
          <w:lang w:eastAsia="zh-CN" w:bidi="ar-SA"/>
        </w:rPr>
        <w:t>万元，</w:t>
      </w:r>
      <w:r>
        <w:rPr>
          <w:rFonts w:hint="eastAsia" w:ascii="仿宋_GB2312" w:eastAsia="仿宋_GB2312" w:cs="宋体"/>
          <w:sz w:val="32"/>
          <w:szCs w:val="32"/>
          <w:lang w:bidi="ar-SA"/>
        </w:rPr>
        <w:t>支出年初预算</w:t>
      </w:r>
      <w:r>
        <w:rPr>
          <w:rFonts w:hint="eastAsia" w:ascii="仿宋_GB2312" w:eastAsia="仿宋_GB2312"/>
          <w:sz w:val="32"/>
          <w:szCs w:val="32"/>
          <w:lang w:val="en-US" w:eastAsia="zh-CN"/>
        </w:rPr>
        <w:t>1385.5</w:t>
      </w:r>
      <w:r>
        <w:rPr>
          <w:rFonts w:hint="eastAsia" w:ascii="仿宋_GB2312" w:eastAsia="仿宋_GB2312" w:cs="宋体"/>
          <w:sz w:val="32"/>
          <w:szCs w:val="32"/>
          <w:lang w:eastAsia="zh-CN" w:bidi="ar-SA"/>
        </w:rPr>
        <w:t>万元；</w:t>
      </w:r>
      <w:r>
        <w:rPr>
          <w:rFonts w:hint="eastAsia" w:ascii="仿宋_GB2312" w:eastAsia="仿宋_GB2312" w:cs="宋体"/>
          <w:sz w:val="32"/>
          <w:szCs w:val="32"/>
          <w:lang w:val="en-US" w:eastAsia="zh-CN" w:bidi="ar-SA"/>
        </w:rPr>
        <w:t>2022年收入年初预算</w:t>
      </w:r>
      <w:r>
        <w:rPr>
          <w:rFonts w:hint="eastAsia" w:ascii="仿宋_GB2312" w:eastAsia="仿宋_GB2312"/>
          <w:sz w:val="32"/>
          <w:szCs w:val="32"/>
          <w:lang w:val="en-US" w:eastAsia="zh-CN"/>
        </w:rPr>
        <w:t>1446.95</w:t>
      </w:r>
      <w:r>
        <w:rPr>
          <w:rFonts w:hint="eastAsia" w:ascii="仿宋_GB2312" w:eastAsia="仿宋_GB2312" w:cs="宋体"/>
          <w:sz w:val="32"/>
          <w:szCs w:val="32"/>
          <w:lang w:val="en-US" w:eastAsia="zh-CN" w:bidi="ar-SA"/>
        </w:rPr>
        <w:t>万元，</w:t>
      </w:r>
      <w:r>
        <w:rPr>
          <w:rFonts w:hint="eastAsia" w:ascii="仿宋_GB2312" w:eastAsia="仿宋_GB2312" w:cs="宋体"/>
          <w:sz w:val="32"/>
          <w:szCs w:val="32"/>
          <w:lang w:bidi="ar-SA"/>
        </w:rPr>
        <w:t>支出年初预算</w:t>
      </w:r>
      <w:r>
        <w:rPr>
          <w:rFonts w:hint="eastAsia" w:ascii="仿宋_GB2312" w:eastAsia="仿宋_GB2312"/>
          <w:sz w:val="32"/>
          <w:szCs w:val="32"/>
          <w:lang w:val="en-US" w:eastAsia="zh-CN"/>
        </w:rPr>
        <w:t>1446.95</w:t>
      </w:r>
      <w:r>
        <w:rPr>
          <w:rFonts w:hint="eastAsia" w:ascii="仿宋_GB2312" w:eastAsia="仿宋_GB2312" w:cs="宋体"/>
          <w:sz w:val="32"/>
          <w:szCs w:val="32"/>
          <w:lang w:eastAsia="zh-CN" w:bidi="ar-SA"/>
        </w:rPr>
        <w:t>万元；</w:t>
      </w:r>
      <w:r>
        <w:rPr>
          <w:rFonts w:hint="eastAsia" w:ascii="仿宋_GB2312" w:eastAsia="仿宋_GB2312" w:cs="宋体"/>
          <w:sz w:val="32"/>
          <w:szCs w:val="32"/>
          <w:lang w:val="en-US" w:eastAsia="zh-CN" w:bidi="ar-SA"/>
        </w:rPr>
        <w:t>比上年减少</w:t>
      </w:r>
      <w:r>
        <w:rPr>
          <w:rFonts w:hint="eastAsia" w:ascii="仿宋_GB2312" w:eastAsia="仿宋_GB2312" w:cs="宋体"/>
          <w:sz w:val="32"/>
          <w:szCs w:val="32"/>
          <w:lang w:eastAsia="zh-CN" w:bidi="ar-SA"/>
        </w:rPr>
        <w:t>了</w:t>
      </w:r>
      <w:r>
        <w:rPr>
          <w:rFonts w:hint="eastAsia" w:ascii="仿宋_GB2312" w:eastAsia="仿宋_GB2312" w:cs="宋体"/>
          <w:sz w:val="32"/>
          <w:szCs w:val="32"/>
          <w:lang w:val="en-US" w:eastAsia="zh-CN" w:bidi="ar-SA"/>
        </w:rPr>
        <w:t>61.45</w:t>
      </w:r>
      <w:r>
        <w:rPr>
          <w:rFonts w:hint="eastAsia" w:ascii="仿宋_GB2312" w:eastAsia="仿宋_GB2312" w:cs="宋体"/>
          <w:sz w:val="32"/>
          <w:szCs w:val="32"/>
          <w:lang w:eastAsia="zh-CN" w:bidi="ar-SA"/>
        </w:rPr>
        <w:t>万元，</w:t>
      </w:r>
      <w:r>
        <w:rPr>
          <w:rFonts w:hint="eastAsia" w:ascii="仿宋_GB2312" w:eastAsia="仿宋_GB2312" w:cs="宋体"/>
          <w:sz w:val="32"/>
          <w:szCs w:val="32"/>
          <w:lang w:val="en-US" w:eastAsia="zh-CN" w:bidi="ar-SA"/>
        </w:rPr>
        <w:t>相比减少了4.25%，</w:t>
      </w:r>
      <w:r>
        <w:rPr>
          <w:rFonts w:hint="eastAsia" w:ascii="仿宋_GB2312" w:eastAsia="仿宋_GB2312" w:cs="宋体"/>
          <w:color w:val="auto"/>
          <w:sz w:val="32"/>
          <w:szCs w:val="32"/>
          <w:lang w:val="en-US" w:eastAsia="zh-CN" w:bidi="ar-SA"/>
        </w:rPr>
        <w:t>主要原因是预算项目经费缩减导致经费的减少。</w:t>
      </w:r>
    </w:p>
    <w:p>
      <w:pPr>
        <w:snapToGrid w:val="0"/>
        <w:spacing w:line="520" w:lineRule="exact"/>
        <w:ind w:firstLine="640" w:firstLineChars="200"/>
        <w:rPr>
          <w:rFonts w:hint="eastAsia" w:ascii="楷体_GB2312" w:hAnsi="仿宋" w:eastAsia="楷体_GB2312"/>
          <w:b/>
          <w:sz w:val="32"/>
          <w:szCs w:val="32"/>
        </w:rPr>
      </w:pPr>
      <w:r>
        <w:rPr>
          <w:rFonts w:hint="eastAsia" w:ascii="楷体_GB2312" w:hAnsi="仿宋" w:eastAsia="楷体_GB2312"/>
          <w:b/>
          <w:sz w:val="32"/>
          <w:szCs w:val="32"/>
          <w:lang w:val="en-US" w:eastAsia="zh-CN"/>
        </w:rPr>
        <w:t>（2）</w:t>
      </w:r>
      <w:r>
        <w:rPr>
          <w:rFonts w:hint="eastAsia" w:ascii="楷体_GB2312" w:hAnsi="仿宋" w:eastAsia="楷体_GB2312"/>
          <w:b/>
          <w:sz w:val="32"/>
          <w:szCs w:val="32"/>
        </w:rPr>
        <w:t>收入支出</w:t>
      </w:r>
      <w:r>
        <w:rPr>
          <w:rFonts w:hint="eastAsia" w:ascii="楷体_GB2312" w:hAnsi="仿宋" w:eastAsia="楷体_GB2312"/>
          <w:b/>
          <w:sz w:val="32"/>
          <w:szCs w:val="32"/>
          <w:lang w:val="en-US" w:eastAsia="zh-CN"/>
        </w:rPr>
        <w:t>决算</w:t>
      </w:r>
      <w:r>
        <w:rPr>
          <w:rFonts w:hint="eastAsia" w:ascii="楷体_GB2312" w:hAnsi="仿宋" w:eastAsia="楷体_GB2312"/>
          <w:b/>
          <w:sz w:val="32"/>
          <w:szCs w:val="32"/>
        </w:rPr>
        <w:t>情况</w:t>
      </w:r>
    </w:p>
    <w:p>
      <w:pPr>
        <w:snapToGrid w:val="0"/>
        <w:spacing w:line="520" w:lineRule="exact"/>
        <w:ind w:firstLine="640" w:firstLineChars="200"/>
        <w:rPr>
          <w:rFonts w:hint="eastAsia" w:ascii="仿宋_GB2312" w:eastAsia="仿宋_GB2312"/>
          <w:color w:val="FF0000"/>
          <w:sz w:val="32"/>
          <w:szCs w:val="32"/>
          <w:lang w:val="en-US" w:eastAsia="zh-CN"/>
        </w:rPr>
      </w:pPr>
      <w:r>
        <w:rPr>
          <w:rFonts w:hint="eastAsia" w:ascii="仿宋_GB2312" w:eastAsia="仿宋_GB2312" w:cs="宋体"/>
          <w:sz w:val="32"/>
          <w:szCs w:val="32"/>
          <w:lang w:val="en-US" w:eastAsia="zh-CN" w:bidi="ar-SA"/>
        </w:rPr>
        <w:t>2023年</w:t>
      </w:r>
      <w:r>
        <w:rPr>
          <w:rFonts w:hint="eastAsia" w:ascii="仿宋_GB2312" w:eastAsia="仿宋_GB2312" w:cs="宋体"/>
          <w:sz w:val="32"/>
          <w:szCs w:val="32"/>
          <w:lang w:bidi="ar-SA"/>
        </w:rPr>
        <w:t>收入</w:t>
      </w:r>
      <w:r>
        <w:rPr>
          <w:rFonts w:hint="eastAsia" w:ascii="仿宋_GB2312" w:eastAsia="仿宋_GB2312" w:cs="宋体"/>
          <w:sz w:val="32"/>
          <w:szCs w:val="32"/>
          <w:lang w:val="en-US" w:eastAsia="zh-CN" w:bidi="ar-SA"/>
        </w:rPr>
        <w:t>决算</w:t>
      </w:r>
      <w:r>
        <w:rPr>
          <w:rFonts w:hint="eastAsia" w:ascii="仿宋_GB2312" w:eastAsia="仿宋_GB2312"/>
          <w:sz w:val="32"/>
          <w:szCs w:val="32"/>
          <w:lang w:val="en-US" w:eastAsia="zh-CN"/>
        </w:rPr>
        <w:t>1968.01</w:t>
      </w:r>
      <w:r>
        <w:rPr>
          <w:rFonts w:hint="eastAsia" w:ascii="仿宋_GB2312" w:eastAsia="仿宋_GB2312" w:cs="宋体"/>
          <w:sz w:val="32"/>
          <w:szCs w:val="32"/>
          <w:lang w:eastAsia="zh-CN" w:bidi="ar-SA"/>
        </w:rPr>
        <w:t>万元，</w:t>
      </w:r>
      <w:r>
        <w:rPr>
          <w:rFonts w:hint="eastAsia" w:ascii="仿宋_GB2312" w:eastAsia="仿宋_GB2312" w:cs="宋体"/>
          <w:sz w:val="32"/>
          <w:szCs w:val="32"/>
          <w:lang w:val="en-US" w:eastAsia="zh-CN" w:bidi="ar-SA"/>
        </w:rPr>
        <w:t>其中：一般公共预算财政拨款收入1967.69万元，占总收入99.98%；其他收入0.32万元，占总收入0.02%。</w:t>
      </w:r>
      <w:r>
        <w:rPr>
          <w:rFonts w:hint="eastAsia" w:ascii="仿宋_GB2312" w:eastAsia="仿宋_GB2312" w:cs="宋体"/>
          <w:sz w:val="32"/>
          <w:szCs w:val="32"/>
          <w:lang w:bidi="ar-SA"/>
        </w:rPr>
        <w:t>支出</w:t>
      </w:r>
      <w:r>
        <w:rPr>
          <w:rFonts w:hint="eastAsia" w:ascii="仿宋_GB2312" w:eastAsia="仿宋_GB2312" w:cs="宋体"/>
          <w:sz w:val="32"/>
          <w:szCs w:val="32"/>
          <w:lang w:val="en-US" w:eastAsia="zh-CN" w:bidi="ar-SA"/>
        </w:rPr>
        <w:t>决算</w:t>
      </w:r>
      <w:r>
        <w:rPr>
          <w:rFonts w:hint="eastAsia" w:ascii="仿宋_GB2312" w:eastAsia="仿宋_GB2312"/>
          <w:sz w:val="32"/>
          <w:szCs w:val="32"/>
          <w:lang w:val="en-US" w:eastAsia="zh-CN"/>
        </w:rPr>
        <w:t>1968.01</w:t>
      </w:r>
      <w:r>
        <w:rPr>
          <w:rFonts w:hint="eastAsia" w:ascii="仿宋_GB2312" w:eastAsia="仿宋_GB2312" w:cs="宋体"/>
          <w:sz w:val="32"/>
          <w:szCs w:val="32"/>
          <w:lang w:eastAsia="zh-CN" w:bidi="ar-SA"/>
        </w:rPr>
        <w:t>万元；</w:t>
      </w:r>
      <w:r>
        <w:rPr>
          <w:rFonts w:hint="eastAsia" w:ascii="仿宋_GB2312" w:eastAsia="仿宋_GB2312" w:cs="宋体"/>
          <w:sz w:val="32"/>
          <w:szCs w:val="32"/>
          <w:lang w:val="en-US" w:eastAsia="zh-CN" w:bidi="ar-SA"/>
        </w:rPr>
        <w:t>2022年</w:t>
      </w:r>
      <w:r>
        <w:rPr>
          <w:rFonts w:hint="eastAsia" w:ascii="仿宋_GB2312" w:eastAsia="仿宋_GB2312" w:cs="宋体"/>
          <w:sz w:val="32"/>
          <w:szCs w:val="32"/>
          <w:lang w:bidi="ar-SA"/>
        </w:rPr>
        <w:t>收入</w:t>
      </w:r>
      <w:r>
        <w:rPr>
          <w:rFonts w:hint="eastAsia" w:ascii="仿宋_GB2312" w:eastAsia="仿宋_GB2312"/>
          <w:sz w:val="32"/>
          <w:szCs w:val="32"/>
          <w:lang w:val="en-US" w:eastAsia="zh-CN"/>
        </w:rPr>
        <w:t>1285.25</w:t>
      </w:r>
      <w:r>
        <w:rPr>
          <w:rFonts w:hint="eastAsia" w:ascii="仿宋_GB2312" w:eastAsia="仿宋_GB2312" w:cs="宋体"/>
          <w:sz w:val="32"/>
          <w:szCs w:val="32"/>
          <w:lang w:eastAsia="zh-CN" w:bidi="ar-SA"/>
        </w:rPr>
        <w:t>万元，</w:t>
      </w:r>
      <w:r>
        <w:rPr>
          <w:rFonts w:hint="eastAsia" w:ascii="仿宋_GB2312" w:eastAsia="仿宋_GB2312" w:cs="宋体"/>
          <w:sz w:val="32"/>
          <w:szCs w:val="32"/>
          <w:lang w:bidi="ar-SA"/>
        </w:rPr>
        <w:t>支出</w:t>
      </w:r>
      <w:r>
        <w:rPr>
          <w:rFonts w:hint="eastAsia" w:ascii="仿宋_GB2312" w:eastAsia="仿宋_GB2312"/>
          <w:sz w:val="32"/>
          <w:szCs w:val="32"/>
          <w:lang w:val="en-US" w:eastAsia="zh-CN"/>
        </w:rPr>
        <w:t>1285.25</w:t>
      </w:r>
      <w:r>
        <w:rPr>
          <w:rFonts w:hint="eastAsia" w:ascii="仿宋_GB2312" w:eastAsia="仿宋_GB2312" w:cs="宋体"/>
          <w:sz w:val="32"/>
          <w:szCs w:val="32"/>
          <w:lang w:eastAsia="zh-CN" w:bidi="ar-SA"/>
        </w:rPr>
        <w:t>万元；</w:t>
      </w:r>
      <w:r>
        <w:rPr>
          <w:rFonts w:hint="eastAsia" w:ascii="仿宋_GB2312" w:eastAsia="仿宋_GB2312" w:cs="宋体"/>
          <w:sz w:val="32"/>
          <w:szCs w:val="32"/>
          <w:lang w:val="en-US" w:eastAsia="zh-CN" w:bidi="ar-SA"/>
        </w:rPr>
        <w:t>比上年</w:t>
      </w:r>
      <w:r>
        <w:rPr>
          <w:rFonts w:hint="eastAsia" w:ascii="仿宋_GB2312" w:eastAsia="仿宋_GB2312" w:cs="宋体"/>
          <w:sz w:val="32"/>
          <w:szCs w:val="32"/>
          <w:lang w:eastAsia="zh-CN" w:bidi="ar-SA"/>
        </w:rPr>
        <w:t>增加</w:t>
      </w:r>
      <w:r>
        <w:rPr>
          <w:rFonts w:hint="eastAsia" w:ascii="仿宋_GB2312" w:eastAsia="仿宋_GB2312" w:cs="宋体"/>
          <w:sz w:val="32"/>
          <w:szCs w:val="32"/>
          <w:lang w:val="en-US" w:eastAsia="zh-CN" w:bidi="ar-SA"/>
        </w:rPr>
        <w:t>了682.76</w:t>
      </w:r>
      <w:r>
        <w:rPr>
          <w:rFonts w:hint="eastAsia" w:ascii="仿宋_GB2312" w:eastAsia="仿宋_GB2312" w:cs="宋体"/>
          <w:sz w:val="32"/>
          <w:szCs w:val="32"/>
          <w:lang w:eastAsia="zh-CN" w:bidi="ar-SA"/>
        </w:rPr>
        <w:t>万元，</w:t>
      </w:r>
      <w:r>
        <w:rPr>
          <w:rFonts w:hint="eastAsia" w:ascii="仿宋_GB2312" w:eastAsia="仿宋_GB2312" w:cs="宋体"/>
          <w:sz w:val="32"/>
          <w:szCs w:val="32"/>
          <w:lang w:val="en-US" w:eastAsia="zh-CN" w:bidi="ar-SA"/>
        </w:rPr>
        <w:t>相比</w:t>
      </w:r>
      <w:r>
        <w:rPr>
          <w:rFonts w:hint="eastAsia" w:ascii="仿宋_GB2312" w:eastAsia="仿宋_GB2312" w:cs="宋体"/>
          <w:sz w:val="32"/>
          <w:szCs w:val="32"/>
          <w:lang w:eastAsia="zh-CN" w:bidi="ar-SA"/>
        </w:rPr>
        <w:t>增加</w:t>
      </w:r>
      <w:r>
        <w:rPr>
          <w:rFonts w:hint="eastAsia" w:ascii="仿宋_GB2312" w:eastAsia="仿宋_GB2312" w:cs="宋体"/>
          <w:sz w:val="32"/>
          <w:szCs w:val="32"/>
          <w:lang w:val="en-US" w:eastAsia="zh-CN" w:bidi="ar-SA"/>
        </w:rPr>
        <w:t>了53.12%，</w:t>
      </w:r>
      <w:r>
        <w:rPr>
          <w:rFonts w:hint="eastAsia" w:ascii="仿宋_GB2312" w:eastAsia="仿宋_GB2312" w:cs="宋体"/>
          <w:color w:val="auto"/>
          <w:sz w:val="32"/>
          <w:szCs w:val="32"/>
          <w:lang w:val="en-US" w:eastAsia="zh-CN" w:bidi="ar-SA"/>
        </w:rPr>
        <w:t>主要原因是黄江源大火应急救灾资金及森林灭火设备物资购置等专项资金的增加导致经费增长。</w:t>
      </w:r>
    </w:p>
    <w:p>
      <w:pPr>
        <w:snapToGrid w:val="0"/>
        <w:spacing w:line="520" w:lineRule="exact"/>
        <w:ind w:firstLine="640" w:firstLineChars="200"/>
        <w:rPr>
          <w:rFonts w:hint="eastAsia" w:ascii="楷体_GB2312" w:hAnsi="仿宋" w:eastAsia="楷体_GB2312"/>
          <w:b/>
          <w:sz w:val="32"/>
          <w:szCs w:val="32"/>
        </w:rPr>
      </w:pPr>
      <w:r>
        <w:rPr>
          <w:rFonts w:hint="eastAsia" w:ascii="楷体_GB2312" w:hAnsi="仿宋" w:eastAsia="楷体_GB2312"/>
          <w:b/>
          <w:sz w:val="32"/>
          <w:szCs w:val="32"/>
          <w:lang w:val="en-US" w:eastAsia="zh-CN"/>
        </w:rPr>
        <w:t>（3）收入支出与预算对比分析。</w:t>
      </w:r>
    </w:p>
    <w:p>
      <w:pPr>
        <w:snapToGrid w:val="0"/>
        <w:spacing w:line="520" w:lineRule="exact"/>
        <w:ind w:firstLine="640" w:firstLineChars="200"/>
        <w:rPr>
          <w:rFonts w:hint="eastAsia"/>
          <w:lang w:val="en-US" w:eastAsia="zh-CN"/>
        </w:rPr>
      </w:pPr>
      <w:r>
        <w:rPr>
          <w:rFonts w:hint="eastAsia" w:ascii="仿宋_GB2312" w:eastAsia="仿宋_GB2312" w:cs="宋体"/>
          <w:sz w:val="32"/>
          <w:szCs w:val="32"/>
          <w:lang w:bidi="ar-SA"/>
        </w:rPr>
        <w:t>预、决算差异情况，20</w:t>
      </w:r>
      <w:r>
        <w:rPr>
          <w:rFonts w:hint="eastAsia" w:ascii="仿宋_GB2312" w:eastAsia="仿宋_GB2312" w:cs="宋体"/>
          <w:sz w:val="32"/>
          <w:szCs w:val="32"/>
          <w:lang w:val="en-US" w:eastAsia="zh-CN" w:bidi="ar-SA"/>
        </w:rPr>
        <w:t>23</w:t>
      </w:r>
      <w:r>
        <w:rPr>
          <w:rFonts w:hint="eastAsia" w:ascii="仿宋_GB2312" w:eastAsia="仿宋_GB2312" w:cs="宋体"/>
          <w:sz w:val="32"/>
          <w:szCs w:val="32"/>
          <w:lang w:bidi="ar-SA"/>
        </w:rPr>
        <w:t>年度决算</w:t>
      </w:r>
      <w:r>
        <w:rPr>
          <w:rFonts w:hint="eastAsia" w:ascii="仿宋_GB2312" w:eastAsia="仿宋_GB2312" w:cs="宋体"/>
          <w:sz w:val="32"/>
          <w:szCs w:val="32"/>
          <w:lang w:val="en-US" w:eastAsia="zh-CN" w:bidi="ar-SA"/>
        </w:rPr>
        <w:t>比年初预算增加了582.51万元，相比</w:t>
      </w:r>
      <w:r>
        <w:rPr>
          <w:rFonts w:hint="eastAsia" w:ascii="仿宋_GB2312" w:eastAsia="仿宋_GB2312" w:cs="宋体"/>
          <w:sz w:val="32"/>
          <w:szCs w:val="32"/>
          <w:lang w:eastAsia="zh-CN" w:bidi="ar-SA"/>
        </w:rPr>
        <w:t>增加</w:t>
      </w:r>
      <w:r>
        <w:rPr>
          <w:rFonts w:hint="eastAsia" w:ascii="仿宋_GB2312" w:eastAsia="仿宋_GB2312" w:cs="宋体"/>
          <w:sz w:val="32"/>
          <w:szCs w:val="32"/>
          <w:lang w:val="en-US" w:eastAsia="zh-CN" w:bidi="ar-SA"/>
        </w:rPr>
        <w:t>了42.04%</w:t>
      </w:r>
      <w:r>
        <w:rPr>
          <w:rFonts w:hint="eastAsia" w:ascii="仿宋_GB2312" w:eastAsia="仿宋_GB2312" w:cs="宋体"/>
          <w:sz w:val="32"/>
          <w:szCs w:val="32"/>
          <w:lang w:bidi="ar-SA"/>
        </w:rPr>
        <w:t>。</w:t>
      </w:r>
    </w:p>
    <w:p>
      <w:pPr>
        <w:snapToGrid w:val="0"/>
        <w:spacing w:line="520" w:lineRule="exact"/>
        <w:ind w:firstLine="640"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3、“三公经费”支出使用和管理情况</w:t>
      </w:r>
    </w:p>
    <w:p>
      <w:pPr>
        <w:snapToGrid w:val="0"/>
        <w:spacing w:line="520" w:lineRule="exact"/>
        <w:ind w:firstLine="640" w:firstLineChars="200"/>
        <w:rPr>
          <w:rFonts w:hint="default"/>
          <w:lang w:val="en-US" w:eastAsia="zh-CN"/>
        </w:rPr>
      </w:pPr>
      <w:r>
        <w:rPr>
          <w:rFonts w:hint="eastAsia" w:ascii="仿宋_GB2312" w:hAnsi="仿宋" w:eastAsia="仿宋_GB2312" w:cs="Times New Roman"/>
          <w:sz w:val="32"/>
          <w:szCs w:val="32"/>
        </w:rPr>
        <w:t>“三公”经费支出情况：</w:t>
      </w:r>
      <w:r>
        <w:rPr>
          <w:rFonts w:hint="default" w:ascii="仿宋_GB2312" w:hAnsi="仿宋" w:eastAsia="仿宋_GB2312" w:cs="仿宋"/>
          <w:color w:val="auto"/>
          <w:sz w:val="32"/>
          <w:szCs w:val="32"/>
          <w:highlight w:val="none"/>
        </w:rPr>
        <w:t>20</w:t>
      </w:r>
      <w:r>
        <w:rPr>
          <w:rFonts w:hint="eastAsia" w:ascii="仿宋_GB2312" w:hAnsi="仿宋" w:eastAsia="仿宋_GB2312" w:cs="仿宋"/>
          <w:color w:val="auto"/>
          <w:sz w:val="32"/>
          <w:szCs w:val="32"/>
          <w:highlight w:val="none"/>
          <w:lang w:val="en-US" w:eastAsia="zh-CN"/>
        </w:rPr>
        <w:t>22</w:t>
      </w:r>
      <w:r>
        <w:rPr>
          <w:rFonts w:hint="default" w:ascii="仿宋_GB2312" w:hAnsi="仿宋" w:eastAsia="仿宋_GB2312" w:cs="仿宋"/>
          <w:color w:val="auto"/>
          <w:sz w:val="32"/>
          <w:szCs w:val="32"/>
          <w:highlight w:val="none"/>
        </w:rPr>
        <w:t>年度“三公经费”决算支出：因公出国（境）费0元</w:t>
      </w:r>
      <w:r>
        <w:rPr>
          <w:rFonts w:hint="eastAsia" w:ascii="仿宋_GB2312" w:hAnsi="仿宋" w:eastAsia="仿宋_GB2312" w:cs="仿宋"/>
          <w:color w:val="auto"/>
          <w:sz w:val="32"/>
          <w:szCs w:val="32"/>
          <w:highlight w:val="none"/>
          <w:lang w:eastAsia="zh-CN"/>
        </w:rPr>
        <w:t>，</w:t>
      </w:r>
      <w:r>
        <w:rPr>
          <w:rFonts w:hint="default" w:ascii="仿宋_GB2312" w:hAnsi="仿宋" w:eastAsia="仿宋_GB2312" w:cs="仿宋"/>
          <w:color w:val="auto"/>
          <w:sz w:val="32"/>
          <w:szCs w:val="32"/>
          <w:highlight w:val="none"/>
        </w:rPr>
        <w:t>公务用车购置</w:t>
      </w:r>
      <w:r>
        <w:rPr>
          <w:rFonts w:hint="eastAsia" w:ascii="仿宋_GB2312" w:hAnsi="仿宋" w:eastAsia="仿宋_GB2312" w:cs="仿宋"/>
          <w:color w:val="auto"/>
          <w:sz w:val="32"/>
          <w:szCs w:val="32"/>
          <w:highlight w:val="none"/>
          <w:lang w:val="en-US" w:eastAsia="zh-CN"/>
        </w:rPr>
        <w:t>费0元，</w:t>
      </w:r>
      <w:r>
        <w:rPr>
          <w:rFonts w:hint="default" w:ascii="仿宋_GB2312" w:hAnsi="仿宋" w:eastAsia="仿宋_GB2312" w:cs="仿宋"/>
          <w:color w:val="auto"/>
          <w:sz w:val="32"/>
          <w:szCs w:val="32"/>
          <w:highlight w:val="none"/>
        </w:rPr>
        <w:t>公务用车运行</w:t>
      </w:r>
      <w:r>
        <w:rPr>
          <w:rFonts w:hint="eastAsia" w:ascii="仿宋_GB2312" w:hAnsi="仿宋" w:eastAsia="仿宋_GB2312" w:cs="仿宋"/>
          <w:color w:val="auto"/>
          <w:sz w:val="32"/>
          <w:szCs w:val="32"/>
          <w:highlight w:val="none"/>
          <w:lang w:val="en-US" w:eastAsia="zh-CN"/>
        </w:rPr>
        <w:t>维护</w:t>
      </w:r>
      <w:r>
        <w:rPr>
          <w:rFonts w:hint="default" w:ascii="仿宋_GB2312" w:hAnsi="仿宋" w:eastAsia="仿宋_GB2312" w:cs="仿宋"/>
          <w:color w:val="auto"/>
          <w:sz w:val="32"/>
          <w:szCs w:val="32"/>
          <w:highlight w:val="none"/>
        </w:rPr>
        <w:t>费</w:t>
      </w:r>
      <w:r>
        <w:rPr>
          <w:rFonts w:hint="eastAsia" w:ascii="仿宋_GB2312" w:hAnsi="仿宋" w:eastAsia="仿宋_GB2312" w:cs="仿宋"/>
          <w:color w:val="auto"/>
          <w:sz w:val="32"/>
          <w:szCs w:val="32"/>
          <w:highlight w:val="none"/>
          <w:lang w:val="en-US" w:eastAsia="zh-CN"/>
        </w:rPr>
        <w:t>50000</w:t>
      </w:r>
      <w:r>
        <w:rPr>
          <w:rFonts w:hint="default" w:ascii="仿宋_GB2312" w:hAnsi="仿宋" w:eastAsia="仿宋_GB2312" w:cs="仿宋"/>
          <w:color w:val="auto"/>
          <w:sz w:val="32"/>
          <w:szCs w:val="32"/>
          <w:highlight w:val="none"/>
        </w:rPr>
        <w:t>元</w:t>
      </w:r>
      <w:r>
        <w:rPr>
          <w:rFonts w:hint="eastAsia" w:ascii="仿宋_GB2312" w:hAnsi="仿宋" w:eastAsia="仿宋_GB2312" w:cs="仿宋"/>
          <w:color w:val="auto"/>
          <w:sz w:val="32"/>
          <w:szCs w:val="32"/>
          <w:highlight w:val="none"/>
          <w:lang w:eastAsia="zh-CN"/>
        </w:rPr>
        <w:t>，</w:t>
      </w:r>
      <w:r>
        <w:rPr>
          <w:rFonts w:hint="default" w:ascii="仿宋_GB2312" w:hAnsi="仿宋" w:eastAsia="仿宋_GB2312" w:cs="仿宋"/>
          <w:color w:val="auto"/>
          <w:sz w:val="32"/>
          <w:szCs w:val="32"/>
          <w:highlight w:val="none"/>
        </w:rPr>
        <w:t>公务接待费</w:t>
      </w:r>
      <w:r>
        <w:rPr>
          <w:rFonts w:hint="eastAsia" w:ascii="仿宋_GB2312" w:hAnsi="仿宋" w:eastAsia="仿宋_GB2312" w:cs="仿宋"/>
          <w:color w:val="auto"/>
          <w:sz w:val="32"/>
          <w:szCs w:val="32"/>
          <w:highlight w:val="none"/>
          <w:lang w:val="en-US" w:eastAsia="zh-CN"/>
        </w:rPr>
        <w:t>38986</w:t>
      </w:r>
      <w:r>
        <w:rPr>
          <w:rFonts w:hint="default" w:ascii="仿宋_GB2312" w:hAnsi="仿宋" w:eastAsia="仿宋_GB2312" w:cs="仿宋"/>
          <w:color w:val="auto"/>
          <w:sz w:val="32"/>
          <w:szCs w:val="32"/>
          <w:highlight w:val="none"/>
        </w:rPr>
        <w:t>元</w:t>
      </w:r>
      <w:r>
        <w:rPr>
          <w:rFonts w:hint="eastAsia" w:ascii="仿宋_GB2312" w:hAnsi="仿宋" w:eastAsia="仿宋_GB2312" w:cs="仿宋"/>
          <w:color w:val="auto"/>
          <w:sz w:val="32"/>
          <w:szCs w:val="32"/>
          <w:highlight w:val="none"/>
          <w:lang w:eastAsia="zh-CN"/>
        </w:rPr>
        <w:t>；</w:t>
      </w:r>
      <w:r>
        <w:rPr>
          <w:rFonts w:hint="default" w:ascii="仿宋_GB2312" w:hAnsi="仿宋" w:eastAsia="仿宋_GB2312" w:cs="仿宋"/>
          <w:color w:val="auto"/>
          <w:sz w:val="32"/>
          <w:szCs w:val="32"/>
          <w:highlight w:val="none"/>
        </w:rPr>
        <w:t>20</w:t>
      </w:r>
      <w:r>
        <w:rPr>
          <w:rFonts w:hint="eastAsia" w:ascii="仿宋_GB2312" w:hAnsi="仿宋" w:eastAsia="仿宋_GB2312" w:cs="仿宋"/>
          <w:color w:val="auto"/>
          <w:sz w:val="32"/>
          <w:szCs w:val="32"/>
          <w:highlight w:val="none"/>
          <w:lang w:val="en-US" w:eastAsia="zh-CN"/>
        </w:rPr>
        <w:t>23</w:t>
      </w:r>
      <w:r>
        <w:rPr>
          <w:rFonts w:hint="default" w:ascii="仿宋_GB2312" w:hAnsi="仿宋" w:eastAsia="仿宋_GB2312" w:cs="仿宋"/>
          <w:color w:val="auto"/>
          <w:sz w:val="32"/>
          <w:szCs w:val="32"/>
          <w:highlight w:val="none"/>
        </w:rPr>
        <w:t>年度“三公经费”决算支出：因公出国（境）费0元</w:t>
      </w:r>
      <w:r>
        <w:rPr>
          <w:rFonts w:hint="eastAsia" w:ascii="仿宋_GB2312" w:hAnsi="仿宋" w:eastAsia="仿宋_GB2312" w:cs="仿宋"/>
          <w:color w:val="auto"/>
          <w:sz w:val="32"/>
          <w:szCs w:val="32"/>
          <w:highlight w:val="none"/>
          <w:lang w:eastAsia="zh-CN"/>
        </w:rPr>
        <w:t>，</w:t>
      </w:r>
      <w:r>
        <w:rPr>
          <w:rFonts w:hint="default" w:ascii="仿宋_GB2312" w:hAnsi="仿宋" w:eastAsia="仿宋_GB2312" w:cs="仿宋"/>
          <w:color w:val="auto"/>
          <w:sz w:val="32"/>
          <w:szCs w:val="32"/>
          <w:highlight w:val="none"/>
        </w:rPr>
        <w:t>公务用车购置</w:t>
      </w:r>
      <w:r>
        <w:rPr>
          <w:rFonts w:hint="eastAsia" w:ascii="仿宋_GB2312" w:hAnsi="仿宋" w:eastAsia="仿宋_GB2312" w:cs="仿宋"/>
          <w:color w:val="auto"/>
          <w:sz w:val="32"/>
          <w:szCs w:val="32"/>
          <w:highlight w:val="none"/>
          <w:lang w:val="en-US" w:eastAsia="zh-CN"/>
        </w:rPr>
        <w:t>费0元，</w:t>
      </w:r>
      <w:r>
        <w:rPr>
          <w:rFonts w:hint="default" w:ascii="仿宋_GB2312" w:hAnsi="仿宋" w:eastAsia="仿宋_GB2312" w:cs="仿宋"/>
          <w:color w:val="auto"/>
          <w:sz w:val="32"/>
          <w:szCs w:val="32"/>
          <w:highlight w:val="none"/>
        </w:rPr>
        <w:t>公务用车运行</w:t>
      </w:r>
      <w:r>
        <w:rPr>
          <w:rFonts w:hint="eastAsia" w:ascii="仿宋_GB2312" w:hAnsi="仿宋" w:eastAsia="仿宋_GB2312" w:cs="仿宋"/>
          <w:color w:val="auto"/>
          <w:sz w:val="32"/>
          <w:szCs w:val="32"/>
          <w:highlight w:val="none"/>
          <w:lang w:val="en-US" w:eastAsia="zh-CN"/>
        </w:rPr>
        <w:t>维护</w:t>
      </w:r>
      <w:r>
        <w:rPr>
          <w:rFonts w:hint="default" w:ascii="仿宋_GB2312" w:hAnsi="仿宋" w:eastAsia="仿宋_GB2312" w:cs="仿宋"/>
          <w:color w:val="auto"/>
          <w:sz w:val="32"/>
          <w:szCs w:val="32"/>
          <w:highlight w:val="none"/>
        </w:rPr>
        <w:t>费</w:t>
      </w:r>
      <w:r>
        <w:rPr>
          <w:rFonts w:hint="eastAsia" w:ascii="仿宋_GB2312" w:hAnsi="仿宋" w:eastAsia="仿宋_GB2312" w:cs="仿宋"/>
          <w:color w:val="auto"/>
          <w:sz w:val="32"/>
          <w:szCs w:val="32"/>
          <w:highlight w:val="none"/>
          <w:lang w:val="en-US" w:eastAsia="zh-CN"/>
        </w:rPr>
        <w:t>0</w:t>
      </w:r>
      <w:r>
        <w:rPr>
          <w:rFonts w:hint="default" w:ascii="仿宋_GB2312" w:hAnsi="仿宋" w:eastAsia="仿宋_GB2312" w:cs="仿宋"/>
          <w:color w:val="auto"/>
          <w:sz w:val="32"/>
          <w:szCs w:val="32"/>
          <w:highlight w:val="none"/>
        </w:rPr>
        <w:t>元</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比上年减少50000元，相比减少100%</w:t>
      </w:r>
      <w:r>
        <w:rPr>
          <w:rFonts w:hint="eastAsia" w:ascii="仿宋_GB2312" w:hAnsi="仿宋" w:eastAsia="仿宋_GB2312" w:cs="仿宋"/>
          <w:color w:val="auto"/>
          <w:sz w:val="32"/>
          <w:szCs w:val="32"/>
          <w:highlight w:val="none"/>
          <w:lang w:eastAsia="zh-CN"/>
        </w:rPr>
        <w:t>，</w:t>
      </w:r>
      <w:r>
        <w:rPr>
          <w:rFonts w:hint="default" w:ascii="仿宋_GB2312" w:hAnsi="仿宋" w:eastAsia="仿宋_GB2312" w:cs="仿宋"/>
          <w:color w:val="auto"/>
          <w:sz w:val="32"/>
          <w:szCs w:val="32"/>
          <w:highlight w:val="none"/>
        </w:rPr>
        <w:t>主要原因</w:t>
      </w:r>
      <w:r>
        <w:rPr>
          <w:rFonts w:hint="eastAsia" w:ascii="仿宋_GB2312" w:hAnsi="仿宋" w:eastAsia="仿宋_GB2312" w:cs="仿宋"/>
          <w:color w:val="auto"/>
          <w:sz w:val="32"/>
          <w:szCs w:val="32"/>
          <w:highlight w:val="none"/>
          <w:lang w:val="en-US" w:eastAsia="zh-CN"/>
        </w:rPr>
        <w:t>是上年度记账方式有误导致上年度公务用车运行维护费有数据。</w:t>
      </w:r>
      <w:r>
        <w:rPr>
          <w:rFonts w:hint="default" w:ascii="仿宋_GB2312" w:hAnsi="仿宋" w:eastAsia="仿宋_GB2312" w:cs="仿宋"/>
          <w:color w:val="auto"/>
          <w:sz w:val="32"/>
          <w:szCs w:val="32"/>
          <w:highlight w:val="none"/>
        </w:rPr>
        <w:t>公务接待费</w:t>
      </w:r>
      <w:r>
        <w:rPr>
          <w:rFonts w:hint="eastAsia" w:ascii="仿宋_GB2312" w:hAnsi="仿宋" w:eastAsia="仿宋_GB2312" w:cs="仿宋"/>
          <w:color w:val="auto"/>
          <w:sz w:val="32"/>
          <w:szCs w:val="32"/>
          <w:highlight w:val="none"/>
          <w:lang w:val="en-US" w:eastAsia="zh-CN"/>
        </w:rPr>
        <w:t>91423</w:t>
      </w:r>
      <w:r>
        <w:rPr>
          <w:rFonts w:hint="default" w:ascii="仿宋_GB2312" w:hAnsi="仿宋" w:eastAsia="仿宋_GB2312" w:cs="仿宋"/>
          <w:color w:val="auto"/>
          <w:sz w:val="32"/>
          <w:szCs w:val="32"/>
          <w:highlight w:val="none"/>
        </w:rPr>
        <w:t>元</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比上年增加52437元，相比增加134.5%</w:t>
      </w:r>
      <w:r>
        <w:rPr>
          <w:rFonts w:hint="default" w:ascii="仿宋_GB2312" w:hAnsi="仿宋" w:eastAsia="仿宋_GB2312" w:cs="仿宋"/>
          <w:color w:val="auto"/>
          <w:sz w:val="32"/>
          <w:szCs w:val="32"/>
          <w:highlight w:val="none"/>
        </w:rPr>
        <w:t>。主要原因</w:t>
      </w:r>
      <w:r>
        <w:rPr>
          <w:rFonts w:hint="eastAsia" w:ascii="仿宋_GB2312" w:hAnsi="仿宋" w:eastAsia="仿宋_GB2312" w:cs="仿宋"/>
          <w:color w:val="auto"/>
          <w:sz w:val="32"/>
          <w:szCs w:val="32"/>
          <w:highlight w:val="none"/>
          <w:lang w:val="en-US" w:eastAsia="zh-CN"/>
        </w:rPr>
        <w:t>在于因公务活动增加，公务接待批次增多导致公务接待费用增多。</w:t>
      </w:r>
    </w:p>
    <w:p>
      <w:pPr>
        <w:pStyle w:val="18"/>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18"/>
        <w:spacing w:line="600" w:lineRule="exact"/>
        <w:ind w:firstLine="640"/>
        <w:rPr>
          <w:rFonts w:ascii="Times New Roman" w:hAnsi="Times New Roman" w:eastAsia="楷体_GB2312"/>
          <w:b/>
          <w:sz w:val="32"/>
          <w:szCs w:val="32"/>
        </w:rPr>
      </w:pPr>
      <w:r>
        <w:rPr>
          <w:rFonts w:ascii="Times New Roman" w:hAnsi="Times New Roman" w:eastAsia="楷体_GB2312"/>
          <w:b/>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2023年度预算总支出1385.5万元，其中：基本支出900万元，项目支出</w:t>
      </w:r>
      <w:r>
        <w:rPr>
          <w:rFonts w:hint="eastAsia" w:ascii="仿宋_GB2312" w:eastAsia="仿宋_GB2312" w:cs="宋体"/>
          <w:color w:val="auto"/>
          <w:sz w:val="32"/>
          <w:szCs w:val="32"/>
          <w:lang w:val="en-US" w:eastAsia="zh-CN" w:bidi="ar-SA"/>
        </w:rPr>
        <w:t>485.5</w:t>
      </w:r>
      <w:r>
        <w:rPr>
          <w:rFonts w:hint="eastAsia" w:ascii="仿宋_GB2312" w:hAnsi="仿宋_GB2312" w:eastAsia="仿宋_GB2312" w:cs="仿宋_GB2312"/>
          <w:b w:val="0"/>
          <w:bCs w:val="0"/>
          <w:color w:val="000000"/>
          <w:sz w:val="32"/>
          <w:szCs w:val="32"/>
          <w:lang w:val="en-US" w:eastAsia="zh-CN"/>
        </w:rPr>
        <w:t>万元。2023年实际</w:t>
      </w:r>
      <w:r>
        <w:rPr>
          <w:rFonts w:hint="eastAsia" w:ascii="仿宋_GB2312" w:hAnsi="仿宋_GB2312" w:eastAsia="仿宋_GB2312" w:cs="仿宋_GB2312"/>
          <w:b w:val="0"/>
          <w:bCs w:val="0"/>
          <w:color w:val="000000"/>
          <w:sz w:val="32"/>
          <w:szCs w:val="32"/>
          <w:lang w:val="zh-TW" w:eastAsia="zh-TW"/>
        </w:rPr>
        <w:t>财政拨款</w:t>
      </w:r>
      <w:r>
        <w:rPr>
          <w:rFonts w:hint="eastAsia" w:ascii="仿宋_GB2312" w:hAnsi="仿宋_GB2312" w:eastAsia="仿宋_GB2312" w:cs="仿宋_GB2312"/>
          <w:b w:val="0"/>
          <w:bCs w:val="0"/>
          <w:color w:val="000000"/>
          <w:sz w:val="32"/>
          <w:szCs w:val="32"/>
          <w:lang w:val="en-US" w:eastAsia="zh-CN"/>
        </w:rPr>
        <w:t>支出1967.69</w:t>
      </w:r>
      <w:r>
        <w:rPr>
          <w:rFonts w:hint="eastAsia" w:ascii="仿宋_GB2312" w:hAnsi="仿宋_GB2312" w:eastAsia="仿宋_GB2312" w:cs="仿宋_GB2312"/>
          <w:b w:val="0"/>
          <w:bCs w:val="0"/>
          <w:color w:val="000000"/>
          <w:sz w:val="32"/>
          <w:szCs w:val="32"/>
          <w:lang w:val="zh-TW" w:eastAsia="zh-TW"/>
        </w:rPr>
        <w:t>万元，</w:t>
      </w:r>
      <w:r>
        <w:rPr>
          <w:rFonts w:hint="eastAsia" w:ascii="仿宋_GB2312" w:hAnsi="仿宋_GB2312" w:eastAsia="仿宋_GB2312" w:cs="仿宋_GB2312"/>
          <w:b w:val="0"/>
          <w:bCs w:val="0"/>
          <w:color w:val="000000"/>
          <w:sz w:val="32"/>
          <w:szCs w:val="32"/>
          <w:lang w:val="en-US" w:eastAsia="zh-CN"/>
        </w:rPr>
        <w:t>财政拨款</w:t>
      </w:r>
      <w:r>
        <w:rPr>
          <w:rFonts w:hint="eastAsia" w:ascii="仿宋_GB2312" w:hAnsi="仿宋_GB2312" w:eastAsia="仿宋_GB2312" w:cs="仿宋_GB2312"/>
          <w:b w:val="0"/>
          <w:bCs w:val="0"/>
          <w:color w:val="000000"/>
          <w:sz w:val="32"/>
          <w:szCs w:val="32"/>
          <w:lang w:val="zh-TW" w:eastAsia="zh-TW"/>
        </w:rPr>
        <w:t>基本支出</w:t>
      </w:r>
      <w:r>
        <w:rPr>
          <w:rFonts w:hint="eastAsia" w:ascii="仿宋_GB2312" w:eastAsia="仿宋_GB2312"/>
          <w:sz w:val="32"/>
          <w:szCs w:val="32"/>
          <w:lang w:val="en-US" w:eastAsia="zh-CN"/>
        </w:rPr>
        <w:t>1726.32</w:t>
      </w:r>
      <w:r>
        <w:rPr>
          <w:rFonts w:hint="eastAsia" w:ascii="仿宋_GB2312" w:hAnsi="仿宋_GB2312" w:eastAsia="仿宋_GB2312" w:cs="仿宋_GB2312"/>
          <w:b w:val="0"/>
          <w:bCs w:val="0"/>
          <w:color w:val="000000"/>
          <w:sz w:val="32"/>
          <w:szCs w:val="32"/>
          <w:lang w:val="zh-TW" w:eastAsia="zh-TW"/>
        </w:rPr>
        <w:t>万元，其中：人员经费</w:t>
      </w:r>
      <w:r>
        <w:rPr>
          <w:rFonts w:hint="eastAsia" w:ascii="仿宋_GB2312" w:eastAsia="仿宋_GB2312" w:cs="宋体"/>
          <w:sz w:val="32"/>
          <w:szCs w:val="32"/>
          <w:lang w:val="en-US" w:eastAsia="zh-CN" w:bidi="ar-SA"/>
        </w:rPr>
        <w:t>1030.52</w:t>
      </w:r>
      <w:r>
        <w:rPr>
          <w:rFonts w:hint="eastAsia" w:ascii="仿宋_GB2312" w:hAnsi="仿宋_GB2312" w:eastAsia="仿宋_GB2312" w:cs="仿宋_GB2312"/>
          <w:b w:val="0"/>
          <w:bCs w:val="0"/>
          <w:color w:val="000000"/>
          <w:sz w:val="32"/>
          <w:szCs w:val="32"/>
          <w:lang w:val="en-US" w:eastAsia="zh-CN"/>
        </w:rPr>
        <w:t>万元</w:t>
      </w:r>
      <w:r>
        <w:rPr>
          <w:rFonts w:hint="eastAsia" w:ascii="仿宋_GB2312" w:hAnsi="仿宋_GB2312" w:eastAsia="仿宋_GB2312" w:cs="仿宋_GB2312"/>
          <w:b w:val="0"/>
          <w:bCs w:val="0"/>
          <w:color w:val="000000"/>
          <w:sz w:val="32"/>
          <w:szCs w:val="32"/>
          <w:lang w:val="zh-TW" w:eastAsia="zh-TW"/>
        </w:rPr>
        <w:t>，包括：基本工资、津贴补贴、奖金、社会保险缴费、其他工资福利支出、生活补助、奖励金、其他对个人和家庭的补助支出；公用经费</w:t>
      </w:r>
      <w:r>
        <w:rPr>
          <w:rFonts w:hint="eastAsia" w:ascii="仿宋_GB2312" w:eastAsia="仿宋_GB2312" w:cs="宋体"/>
          <w:sz w:val="32"/>
          <w:szCs w:val="32"/>
          <w:lang w:val="en-US" w:eastAsia="zh-CN" w:bidi="ar-SA"/>
        </w:rPr>
        <w:t>695.80</w:t>
      </w:r>
      <w:r>
        <w:rPr>
          <w:rFonts w:hint="eastAsia" w:ascii="仿宋_GB2312" w:hAnsi="仿宋_GB2312" w:eastAsia="仿宋_GB2312" w:cs="仿宋_GB2312"/>
          <w:b w:val="0"/>
          <w:bCs w:val="0"/>
          <w:color w:val="000000"/>
          <w:sz w:val="32"/>
          <w:szCs w:val="32"/>
          <w:lang w:val="en-US" w:eastAsia="zh-CN"/>
        </w:rPr>
        <w:t>万元</w:t>
      </w:r>
      <w:r>
        <w:rPr>
          <w:rFonts w:hint="eastAsia" w:ascii="仿宋_GB2312" w:hAnsi="仿宋_GB2312" w:eastAsia="仿宋_GB2312" w:cs="仿宋_GB2312"/>
          <w:b w:val="0"/>
          <w:bCs w:val="0"/>
          <w:color w:val="000000"/>
          <w:sz w:val="32"/>
          <w:szCs w:val="32"/>
          <w:lang w:val="zh-TW" w:eastAsia="zh-TW"/>
        </w:rPr>
        <w:t>，主要包括：办公费、印刷费、手续费、邮电费、差旅费、维修（护）费、会议费、培训费、公务接待费、劳务费、工会经费、其他商品和服务支出、办公设备购置、信息网络及软件购置更新。</w:t>
      </w:r>
    </w:p>
    <w:p>
      <w:pPr>
        <w:pStyle w:val="18"/>
        <w:spacing w:line="600" w:lineRule="exact"/>
        <w:ind w:firstLine="640"/>
        <w:rPr>
          <w:rFonts w:hint="eastAsia" w:eastAsia="楷体_GB2312"/>
          <w:b/>
          <w:sz w:val="32"/>
          <w:szCs w:val="32"/>
          <w:lang w:val="en-US" w:eastAsia="zh-CN"/>
        </w:rPr>
      </w:pPr>
      <w:r>
        <w:rPr>
          <w:rFonts w:ascii="Times New Roman" w:hAnsi="Times New Roman" w:eastAsia="楷体_GB2312"/>
          <w:b/>
          <w:sz w:val="32"/>
          <w:szCs w:val="32"/>
        </w:rPr>
        <w:t>（二）</w:t>
      </w:r>
      <w:r>
        <w:rPr>
          <w:rFonts w:hint="eastAsia" w:eastAsia="楷体_GB2312"/>
          <w:b/>
          <w:sz w:val="32"/>
          <w:szCs w:val="32"/>
          <w:lang w:val="en-US" w:eastAsia="zh-CN"/>
        </w:rPr>
        <w:t>项目支出情况</w:t>
      </w:r>
    </w:p>
    <w:p>
      <w:pPr>
        <w:snapToGrid w:val="0"/>
        <w:spacing w:line="520" w:lineRule="exact"/>
        <w:ind w:firstLine="640" w:firstLineChars="200"/>
        <w:rPr>
          <w:rFonts w:hint="default" w:asciiTheme="minorEastAsia" w:hAnsiTheme="minorEastAsia"/>
          <w:bCs/>
          <w:kern w:val="0"/>
          <w:sz w:val="32"/>
          <w:szCs w:val="32"/>
          <w:lang w:val="en-US" w:eastAsia="zh-CN"/>
        </w:rPr>
      </w:pPr>
      <w:r>
        <w:rPr>
          <w:rFonts w:hint="eastAsia" w:ascii="仿宋_GB2312" w:hAnsi="仿宋_GB2312" w:eastAsia="仿宋_GB2312" w:cs="仿宋_GB2312"/>
          <w:b w:val="0"/>
          <w:bCs w:val="0"/>
          <w:color w:val="000000"/>
          <w:sz w:val="32"/>
          <w:szCs w:val="32"/>
          <w:lang w:val="en-US" w:eastAsia="zh-CN"/>
        </w:rPr>
        <w:t>2023年项目支出年初批复预算总数485.5万元，</w:t>
      </w:r>
      <w:r>
        <w:rPr>
          <w:rFonts w:hint="eastAsia" w:ascii="仿宋_GB2312" w:eastAsia="仿宋_GB2312" w:cs="宋体"/>
          <w:color w:val="auto"/>
          <w:sz w:val="32"/>
          <w:szCs w:val="32"/>
          <w:lang w:val="en-US" w:eastAsia="zh-CN" w:bidi="ar-SA"/>
        </w:rPr>
        <w:t>项目实际支出241.37万元，</w:t>
      </w:r>
      <w:r>
        <w:rPr>
          <w:rFonts w:hint="eastAsia" w:ascii="仿宋_GB2312" w:eastAsia="仿宋_GB2312" w:cs="宋体"/>
          <w:sz w:val="32"/>
          <w:szCs w:val="32"/>
          <w:lang w:val="zh-TW" w:eastAsia="zh-TW" w:bidi="ar-SA"/>
        </w:rPr>
        <w:t>主要包括：</w:t>
      </w:r>
      <w:r>
        <w:rPr>
          <w:rFonts w:hint="eastAsia" w:ascii="仿宋_GB2312" w:eastAsia="仿宋_GB2312" w:cs="宋体"/>
          <w:color w:val="auto"/>
          <w:sz w:val="32"/>
          <w:szCs w:val="32"/>
          <w:lang w:val="en-US" w:eastAsia="zh-CN" w:bidi="ar-SA"/>
        </w:rPr>
        <w:t>市统筹划缴森林消防直升飞机众筹资金</w:t>
      </w:r>
      <w:r>
        <w:rPr>
          <w:rFonts w:hint="eastAsia" w:ascii="仿宋_GB2312" w:eastAsia="仿宋_GB2312"/>
          <w:color w:val="auto"/>
          <w:sz w:val="32"/>
          <w:szCs w:val="32"/>
          <w:lang w:val="en-US" w:eastAsia="zh-CN"/>
        </w:rPr>
        <w:t>、安全生产月经费、矿山管理工资、应急管理和安全生产专项资金、乡镇应急平台建设资金、应急执法值班用车经费、安监津贴、应急指挥平台建设经费、森林灭火装备及物资采购经费、省级自然灾害风险普查经费，存在未下达项目经费。</w:t>
      </w:r>
    </w:p>
    <w:p>
      <w:pPr>
        <w:spacing w:line="600" w:lineRule="exact"/>
        <w:ind w:firstLine="640" w:firstLineChars="200"/>
        <w:rPr>
          <w:rFonts w:eastAsia="黑体"/>
          <w:sz w:val="32"/>
          <w:szCs w:val="32"/>
        </w:rPr>
      </w:pPr>
      <w:r>
        <w:rPr>
          <w:rFonts w:eastAsia="黑体"/>
          <w:sz w:val="32"/>
          <w:szCs w:val="32"/>
        </w:rPr>
        <w:t>三、政府性基金预算支出情况</w:t>
      </w:r>
    </w:p>
    <w:p>
      <w:pPr>
        <w:ind w:firstLine="640" w:firstLineChars="200"/>
        <w:rPr>
          <w:rFonts w:hint="eastAsia" w:ascii="Arial" w:hAnsi="Arial" w:eastAsia="仿宋_GB2312" w:cs="Arial"/>
          <w:color w:val="333333"/>
          <w:kern w:val="0"/>
          <w:sz w:val="32"/>
          <w:szCs w:val="32"/>
          <w:shd w:val="clear" w:color="auto" w:fill="FFFFFF"/>
          <w:lang w:eastAsia="zh-CN"/>
        </w:rPr>
      </w:pPr>
      <w:r>
        <w:rPr>
          <w:rFonts w:hint="eastAsia" w:ascii="仿宋_GB2312" w:eastAsia="仿宋_GB2312"/>
          <w:sz w:val="32"/>
          <w:szCs w:val="32"/>
          <w:lang w:val="en-US" w:eastAsia="zh-CN"/>
        </w:rPr>
        <w:t>我单位</w:t>
      </w:r>
      <w:r>
        <w:rPr>
          <w:rFonts w:hint="eastAsia" w:ascii="仿宋_GB2312" w:eastAsia="仿宋_GB2312"/>
          <w:sz w:val="32"/>
          <w:szCs w:val="32"/>
        </w:rPr>
        <w:t>无政府性基金预算支出情况</w:t>
      </w:r>
      <w:r>
        <w:rPr>
          <w:rFonts w:hint="eastAsia" w:ascii="仿宋_GB2312" w:eastAsia="仿宋_GB2312"/>
          <w:sz w:val="32"/>
          <w:szCs w:val="32"/>
          <w:lang w:eastAsia="zh-CN"/>
        </w:rPr>
        <w:t>。</w:t>
      </w:r>
    </w:p>
    <w:p>
      <w:pPr>
        <w:pStyle w:val="18"/>
        <w:spacing w:line="600" w:lineRule="exact"/>
        <w:ind w:firstLine="640"/>
        <w:rPr>
          <w:rFonts w:ascii="Times New Roman" w:hAnsi="Times New Roman" w:eastAsia="黑体"/>
          <w:sz w:val="32"/>
          <w:szCs w:val="32"/>
        </w:rPr>
      </w:pPr>
      <w:r>
        <w:rPr>
          <w:rFonts w:ascii="Times New Roman" w:hAnsi="Times New Roman" w:eastAsia="黑体"/>
          <w:sz w:val="32"/>
          <w:szCs w:val="32"/>
        </w:rPr>
        <w:t>四、国有资本经营预算支出情况</w:t>
      </w:r>
    </w:p>
    <w:p>
      <w:pPr>
        <w:ind w:firstLine="640" w:firstLineChars="200"/>
        <w:rPr>
          <w:rFonts w:ascii="Arial" w:hAnsi="Arial" w:cs="Arial"/>
          <w:color w:val="333333"/>
          <w:kern w:val="0"/>
          <w:sz w:val="32"/>
          <w:szCs w:val="32"/>
          <w:shd w:val="clear" w:color="auto" w:fill="FFFFFF"/>
        </w:rPr>
      </w:pPr>
      <w:r>
        <w:rPr>
          <w:rFonts w:hint="eastAsia" w:ascii="仿宋_GB2312" w:eastAsia="仿宋_GB2312"/>
          <w:sz w:val="32"/>
          <w:szCs w:val="32"/>
          <w:lang w:val="en-US" w:eastAsia="zh-CN"/>
        </w:rPr>
        <w:t>我单位</w:t>
      </w:r>
      <w:r>
        <w:rPr>
          <w:rFonts w:hint="eastAsia" w:ascii="仿宋_GB2312" w:eastAsia="仿宋_GB2312"/>
          <w:sz w:val="32"/>
          <w:szCs w:val="32"/>
        </w:rPr>
        <w:t>无国有资本经营预算支出情况</w:t>
      </w:r>
      <w:r>
        <w:rPr>
          <w:rFonts w:hint="eastAsia" w:ascii="仿宋_GB2312" w:eastAsia="仿宋_GB2312"/>
          <w:sz w:val="32"/>
          <w:szCs w:val="32"/>
          <w:lang w:eastAsia="zh-CN"/>
        </w:rPr>
        <w:t>。</w:t>
      </w:r>
    </w:p>
    <w:p>
      <w:pPr>
        <w:pStyle w:val="18"/>
        <w:spacing w:line="600" w:lineRule="exact"/>
        <w:ind w:firstLine="640"/>
        <w:rPr>
          <w:rFonts w:ascii="Times New Roman" w:hAnsi="Times New Roman" w:eastAsia="黑体"/>
          <w:sz w:val="32"/>
          <w:szCs w:val="32"/>
        </w:rPr>
      </w:pPr>
      <w:r>
        <w:rPr>
          <w:rFonts w:ascii="Times New Roman" w:hAnsi="Times New Roman" w:eastAsia="黑体"/>
          <w:sz w:val="32"/>
          <w:szCs w:val="32"/>
        </w:rPr>
        <w:t>五、社会保险基金预算支出情况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我单位</w:t>
      </w:r>
      <w:r>
        <w:rPr>
          <w:rFonts w:hint="eastAsia" w:ascii="仿宋_GB2312" w:eastAsia="仿宋_GB2312"/>
          <w:sz w:val="32"/>
          <w:szCs w:val="32"/>
        </w:rPr>
        <w:t>无社会保险基金预算支出情况</w:t>
      </w:r>
      <w:r>
        <w:rPr>
          <w:rFonts w:hint="eastAsia" w:ascii="仿宋_GB2312" w:eastAsia="仿宋_GB2312"/>
          <w:sz w:val="32"/>
          <w:szCs w:val="32"/>
          <w:lang w:eastAsia="zh-CN"/>
        </w:rPr>
        <w:t>。</w:t>
      </w:r>
    </w:p>
    <w:p>
      <w:pPr>
        <w:spacing w:line="600" w:lineRule="exact"/>
        <w:ind w:firstLine="640" w:firstLineChars="200"/>
        <w:rPr>
          <w:rFonts w:eastAsia="黑体"/>
          <w:sz w:val="32"/>
          <w:szCs w:val="32"/>
        </w:rPr>
      </w:pPr>
      <w:r>
        <w:rPr>
          <w:rFonts w:eastAsia="黑体"/>
          <w:sz w:val="32"/>
          <w:szCs w:val="32"/>
        </w:rPr>
        <w:t>六、部门整体支出绩效情况</w:t>
      </w:r>
    </w:p>
    <w:p>
      <w:pPr>
        <w:pStyle w:val="19"/>
        <w:widowControl w:val="0"/>
        <w:shd w:val="clear" w:color="auto" w:fill="FFFFFF"/>
        <w:spacing w:before="0" w:beforeAutospacing="0" w:after="0" w:afterAutospacing="0" w:line="540" w:lineRule="exact"/>
        <w:ind w:firstLine="640" w:firstLineChars="200"/>
        <w:jc w:val="both"/>
        <w:rPr>
          <w:rFonts w:ascii="楷体" w:hAnsi="楷体" w:eastAsia="楷体"/>
          <w:b/>
          <w:sz w:val="32"/>
          <w:szCs w:val="32"/>
        </w:rPr>
      </w:pPr>
      <w:r>
        <w:rPr>
          <w:rFonts w:hint="eastAsia" w:ascii="仿宋_GB2312" w:hAnsi="仿宋_GB2312" w:eastAsia="仿宋_GB2312" w:cs="仿宋_GB2312"/>
          <w:sz w:val="32"/>
          <w:szCs w:val="32"/>
        </w:rPr>
        <w:t>2023年，我局紧紧围绕贯彻落实打好安全生产翻身仗这条主线，强入</w:t>
      </w:r>
      <w:r>
        <w:rPr>
          <w:rFonts w:hint="eastAsia" w:ascii="仿宋_GB2312" w:eastAsia="仿宋_GB2312" w:cs="宋体" w:hAnsiTheme="minorHAnsi"/>
          <w:kern w:val="2"/>
          <w:sz w:val="32"/>
          <w:szCs w:val="32"/>
          <w:lang w:val="zh-TW" w:eastAsia="zh-TW" w:bidi="ar-SA"/>
        </w:rPr>
        <w:t>推进十</w:t>
      </w:r>
      <w:r>
        <w:rPr>
          <w:rFonts w:hint="eastAsia" w:ascii="仿宋_GB2312" w:hAnsi="仿宋_GB2312" w:eastAsia="仿宋_GB2312" w:cs="仿宋_GB2312"/>
          <w:sz w:val="32"/>
          <w:szCs w:val="32"/>
        </w:rPr>
        <w:t>五条硬措施落实、重大事故隐患排查整治、打非治违等重点工作，取得显著成效。直管行业领域实现零事故，全区安全生产工作实现“三降一为零一杜绝”，即生产</w:t>
      </w:r>
      <w:r>
        <w:rPr>
          <w:rFonts w:hint="eastAsia" w:ascii="仿宋_GB2312" w:hAnsi="微软雅黑" w:eastAsia="仿宋_GB2312"/>
          <w:sz w:val="32"/>
          <w:szCs w:val="32"/>
        </w:rPr>
        <w:t>生产安全事故“双下降”（全区共发生生产安全事故2起、死亡2人，同比均下降60%）、道路交通事故“双下降”（全区共发生亡人道路交通事故21起、死亡21人，</w:t>
      </w:r>
      <w:r>
        <w:rPr>
          <w:rFonts w:hint="eastAsia" w:ascii="仿宋_GB2312" w:hAnsi="微软雅黑" w:eastAsia="仿宋_GB2312"/>
          <w:color w:val="000000"/>
          <w:sz w:val="32"/>
          <w:szCs w:val="32"/>
        </w:rPr>
        <w:t>同比均下降19.2%）、消防</w:t>
      </w:r>
      <w:r>
        <w:rPr>
          <w:rFonts w:hint="eastAsia" w:ascii="仿宋_GB2312" w:hAnsi="仿宋_GB2312" w:eastAsia="仿宋_GB2312" w:cs="仿宋_GB2312"/>
          <w:color w:val="000000"/>
          <w:sz w:val="32"/>
          <w:szCs w:val="32"/>
        </w:rPr>
        <w:t>火警数持续下降（共</w:t>
      </w:r>
      <w:r>
        <w:rPr>
          <w:rFonts w:hint="eastAsia" w:ascii="仿宋_GB2312" w:hAnsi="仿宋_GB2312" w:eastAsia="仿宋_GB2312" w:cs="仿宋_GB2312"/>
          <w:sz w:val="32"/>
          <w:szCs w:val="32"/>
        </w:rPr>
        <w:t>接处消防火警</w:t>
      </w:r>
      <w:r>
        <w:rPr>
          <w:rFonts w:hint="eastAsia" w:ascii="仿宋_GB2312" w:hAnsi="仿宋_GB2312" w:eastAsia="仿宋_GB2312" w:cs="仿宋_GB2312"/>
          <w:spacing w:val="6"/>
          <w:sz w:val="32"/>
          <w:szCs w:val="32"/>
        </w:rPr>
        <w:t>254</w:t>
      </w:r>
      <w:r>
        <w:rPr>
          <w:rFonts w:hint="eastAsia" w:ascii="仿宋_GB2312" w:hAnsi="仿宋_GB2312" w:eastAsia="仿宋_GB2312" w:cs="仿宋_GB2312"/>
          <w:sz w:val="32"/>
          <w:szCs w:val="32"/>
        </w:rPr>
        <w:t>起，同比下降率28.45%）；</w:t>
      </w:r>
      <w:r>
        <w:rPr>
          <w:rFonts w:hint="eastAsia" w:ascii="仿宋_GB2312" w:hAnsi="微软雅黑" w:eastAsia="仿宋_GB2312"/>
          <w:sz w:val="32"/>
          <w:szCs w:val="32"/>
        </w:rPr>
        <w:t>道路交通领域外行业领域生产安全事故为零；杜绝了较大及以上安全事故。</w:t>
      </w:r>
    </w:p>
    <w:p>
      <w:pPr>
        <w:pStyle w:val="19"/>
        <w:widowControl w:val="0"/>
        <w:shd w:val="clear" w:color="auto" w:fill="FFFFFF"/>
        <w:spacing w:before="0" w:beforeAutospacing="0" w:after="0" w:afterAutospacing="0" w:line="540" w:lineRule="exact"/>
        <w:ind w:firstLine="640" w:firstLineChars="200"/>
        <w:jc w:val="both"/>
        <w:rPr>
          <w:rFonts w:hint="eastAsia" w:ascii="楷体" w:hAnsi="楷体" w:eastAsia="楷体"/>
          <w:b/>
          <w:bCs/>
          <w:sz w:val="32"/>
          <w:szCs w:val="32"/>
        </w:rPr>
      </w:pPr>
      <w:r>
        <w:rPr>
          <w:rFonts w:hint="eastAsia" w:ascii="楷体" w:hAnsi="楷体" w:eastAsia="楷体"/>
          <w:b/>
          <w:sz w:val="32"/>
          <w:szCs w:val="32"/>
        </w:rPr>
        <w:t>（一）</w:t>
      </w:r>
      <w:r>
        <w:rPr>
          <w:rFonts w:hint="eastAsia" w:ascii="楷体" w:hAnsi="楷体" w:eastAsia="楷体"/>
          <w:b/>
          <w:bCs/>
          <w:sz w:val="32"/>
          <w:szCs w:val="32"/>
        </w:rPr>
        <w:t>抓紧安全生产，严密防控措施，全区安全保障水平全面提升。</w:t>
      </w:r>
    </w:p>
    <w:p>
      <w:pPr>
        <w:pStyle w:val="19"/>
        <w:widowControl w:val="0"/>
        <w:shd w:val="clear" w:color="auto" w:fill="FFFFFF"/>
        <w:spacing w:before="0" w:beforeAutospacing="0" w:after="0" w:afterAutospacing="0" w:line="540" w:lineRule="exact"/>
        <w:ind w:firstLine="640" w:firstLineChars="200"/>
        <w:jc w:val="both"/>
        <w:rPr>
          <w:rFonts w:ascii="仿宋" w:hAnsi="仿宋" w:eastAsia="仿宋"/>
          <w:sz w:val="32"/>
          <w:szCs w:val="32"/>
        </w:rPr>
      </w:pPr>
      <w:r>
        <w:rPr>
          <w:rStyle w:val="11"/>
          <w:rFonts w:hint="eastAsia" w:ascii="仿宋" w:hAnsi="仿宋" w:eastAsia="仿宋"/>
          <w:sz w:val="32"/>
          <w:szCs w:val="32"/>
        </w:rPr>
        <w:t>一是强化顶层设计，压实安全责任。</w:t>
      </w:r>
      <w:r>
        <w:rPr>
          <w:rFonts w:hint="eastAsia" w:ascii="仿宋_GB2312" w:eastAsia="仿宋_GB2312"/>
          <w:sz w:val="32"/>
          <w:szCs w:val="32"/>
        </w:rPr>
        <w:t>制定《区委区政府领导班子成员安全生产工作职责清单》《零陵区安全生产委员会成员单位安全生产工作任务分工》《零陵区坚决打好安全生产翻身仗十项措施》《关于全区森林防灭火工作实行十严措施的通知》</w:t>
      </w:r>
      <w:r>
        <w:rPr>
          <w:rFonts w:hint="eastAsia" w:ascii="仿宋_GB2312" w:eastAsia="仿宋_GB2312"/>
          <w:color w:val="000000"/>
          <w:sz w:val="32"/>
          <w:szCs w:val="32"/>
        </w:rPr>
        <w:t>《零陵区安全生产专业委员会实体化运行方案》</w:t>
      </w:r>
      <w:r>
        <w:rPr>
          <w:rFonts w:hint="eastAsia" w:ascii="仿宋" w:hAnsi="仿宋" w:eastAsia="仿宋"/>
          <w:color w:val="000000"/>
          <w:sz w:val="32"/>
          <w:szCs w:val="32"/>
        </w:rPr>
        <w:t>《关于推行乡镇街道安委会实体化运行“2614”工作法实施方案（试行）》</w:t>
      </w:r>
      <w:r>
        <w:rPr>
          <w:rFonts w:hint="eastAsia" w:ascii="仿宋_GB2312" w:eastAsia="仿宋_GB2312"/>
          <w:color w:val="000000"/>
          <w:sz w:val="32"/>
          <w:szCs w:val="32"/>
        </w:rPr>
        <w:t>等系列文件</w:t>
      </w:r>
      <w:r>
        <w:rPr>
          <w:rFonts w:hint="eastAsia" w:ascii="仿宋_GB2312" w:eastAsia="仿宋_GB2312"/>
          <w:sz w:val="32"/>
          <w:szCs w:val="32"/>
        </w:rPr>
        <w:t>，并提交区委常委会、区政府常务会议讨论通过，进一步健全完善工作机制。坚持落实重要事项及时报告，今年提请区委常委会、区政府常务会议研究安全生产工作8次，推动朝阳二标道路交通隐患、梳子铺小学操场电杆隐患、彩虹燃气隐患、柳子街消防隐患等市级挂牌重大隐患整治，确保市级挂牌重大隐患整改率达100%。建立区安委办与专委办班子成员协助区级领导抓好安全生产工作制度，陪同区级领导带队督导检查安全生产工作300余人次，即压实了区级领导“一岗双责”的安全责任，又压实乡镇街道、区直部门及企业的安全责任。</w:t>
      </w:r>
      <w:r>
        <w:rPr>
          <w:rStyle w:val="11"/>
          <w:rFonts w:hint="eastAsia" w:ascii="仿宋" w:hAnsi="仿宋" w:eastAsia="仿宋"/>
          <w:sz w:val="32"/>
          <w:szCs w:val="32"/>
        </w:rPr>
        <w:t>二是强化隐患查治，夯实安全基础。</w:t>
      </w:r>
      <w:r>
        <w:rPr>
          <w:rFonts w:hint="eastAsia" w:ascii="仿宋" w:hAnsi="仿宋" w:eastAsia="仿宋"/>
          <w:sz w:val="32"/>
          <w:szCs w:val="32"/>
        </w:rPr>
        <w:t>盯紧城镇燃气、道路交通、非煤矿山、危险化学品、烟花爆竹、工贸行业、建筑施工、消防等重点行业领域，全面推进安全生产打非治违每日有巡查、每周有行动，统筹做好安全生产翻身仗、重大事故隐患排查整治，进一步夯实安全基础。今年以来，</w:t>
      </w:r>
      <w:r>
        <w:rPr>
          <w:rFonts w:hint="eastAsia" w:ascii="仿宋" w:hAnsi="仿宋" w:eastAsia="仿宋" w:cs="仿宋"/>
          <w:sz w:val="32"/>
          <w:szCs w:val="32"/>
        </w:rPr>
        <w:t>组织开展专项执法行动1315次，立案调查2456起，</w:t>
      </w:r>
      <w:r>
        <w:rPr>
          <w:rFonts w:hint="eastAsia" w:ascii="仿宋_GB2312" w:hAnsi="仿宋_GB2312" w:eastAsia="仿宋_GB2312" w:cs="仿宋_GB2312"/>
          <w:sz w:val="32"/>
          <w:szCs w:val="32"/>
        </w:rPr>
        <w:t>临时查封单位21家，责令三停单位12家，挂牌督办重大火灾隐患44家域</w:t>
      </w:r>
      <w:r>
        <w:rPr>
          <w:rFonts w:hint="eastAsia" w:ascii="仿宋" w:hAnsi="仿宋" w:eastAsia="仿宋" w:cs="仿宋"/>
          <w:sz w:val="32"/>
          <w:szCs w:val="32"/>
        </w:rPr>
        <w:t>。</w:t>
      </w:r>
      <w:r>
        <w:rPr>
          <w:rFonts w:hint="eastAsia" w:ascii="仿宋" w:hAnsi="仿宋" w:eastAsia="仿宋"/>
          <w:sz w:val="32"/>
          <w:szCs w:val="32"/>
        </w:rPr>
        <w:t>直管行业领域排查隐患215个，整改到位215个，隐患整改率100%；区安委办累计交办隐患4887个，整改到位4842个，隐患整改率99%。</w:t>
      </w:r>
      <w:r>
        <w:rPr>
          <w:rStyle w:val="11"/>
          <w:rFonts w:hint="eastAsia" w:ascii="仿宋" w:hAnsi="仿宋" w:eastAsia="仿宋"/>
          <w:sz w:val="32"/>
          <w:szCs w:val="32"/>
        </w:rPr>
        <w:t>四是强化安全宣传，提升防范能力</w:t>
      </w:r>
      <w:r>
        <w:rPr>
          <w:rFonts w:hint="eastAsia" w:ascii="仿宋" w:hAnsi="仿宋" w:eastAsia="仿宋"/>
          <w:sz w:val="32"/>
          <w:szCs w:val="32"/>
        </w:rPr>
        <w:t>。</w:t>
      </w:r>
      <w:r>
        <w:rPr>
          <w:rFonts w:hint="eastAsia" w:ascii="仿宋" w:hAnsi="仿宋" w:eastAsia="仿宋" w:cs="仿宋"/>
          <w:sz w:val="32"/>
          <w:szCs w:val="32"/>
        </w:rPr>
        <w:t>大力推进</w:t>
      </w:r>
      <w:r>
        <w:rPr>
          <w:rFonts w:hint="eastAsia" w:ascii="仿宋" w:hAnsi="仿宋" w:eastAsia="仿宋" w:cs="楷体"/>
          <w:sz w:val="32"/>
          <w:szCs w:val="32"/>
        </w:rPr>
        <w:t>全国防灾减灾日、安全生产月等系列大型宣传活动，</w:t>
      </w:r>
      <w:r>
        <w:rPr>
          <w:rFonts w:hint="eastAsia" w:ascii="仿宋" w:hAnsi="仿宋" w:eastAsia="仿宋" w:cs="仿宋"/>
          <w:sz w:val="32"/>
          <w:szCs w:val="32"/>
        </w:rPr>
        <w:t>利用新闻网、红网、微信公众号、LED显示屏等媒介</w:t>
      </w:r>
      <w:r>
        <w:rPr>
          <w:rFonts w:hint="eastAsia" w:ascii="仿宋" w:hAnsi="仿宋" w:eastAsia="仿宋" w:cs="楷体"/>
          <w:sz w:val="32"/>
          <w:szCs w:val="32"/>
        </w:rPr>
        <w:t>广泛宣传安全生产、消防相关知识，进一步营造全社会安全防范意识。今年以来，共发放安全生产法及安全知识宣传手册20万余份，</w:t>
      </w:r>
      <w:r>
        <w:rPr>
          <w:rFonts w:hint="eastAsia" w:ascii="仿宋" w:hAnsi="仿宋" w:eastAsia="仿宋" w:cs="仿宋_GB2312"/>
          <w:sz w:val="32"/>
          <w:szCs w:val="32"/>
        </w:rPr>
        <w:t>组织开展“一把手谈安全”活动129场、“安全生产大家谈”“班前会”“以案说法”等活动106场、企业主要负责人“安全承诺践诺”活动125场，</w:t>
      </w:r>
      <w:r>
        <w:rPr>
          <w:rFonts w:hint="eastAsia" w:ascii="仿宋" w:hAnsi="仿宋" w:eastAsia="仿宋" w:cs="楷体"/>
          <w:sz w:val="32"/>
          <w:szCs w:val="32"/>
        </w:rPr>
        <w:t>悬挂宣传横幅2000余条、公共场所电子显示屏播放标语648条，设置宣传专栏176块。</w:t>
      </w:r>
    </w:p>
    <w:p>
      <w:pPr>
        <w:pStyle w:val="19"/>
        <w:widowControl w:val="0"/>
        <w:shd w:val="clear" w:color="auto" w:fill="FFFFFF"/>
        <w:spacing w:before="0" w:beforeAutospacing="0" w:after="0" w:afterAutospacing="0" w:line="540" w:lineRule="exact"/>
        <w:ind w:firstLine="640" w:firstLineChars="200"/>
        <w:jc w:val="both"/>
        <w:rPr>
          <w:rFonts w:hint="eastAsia" w:ascii="楷体" w:hAnsi="楷体" w:eastAsia="楷体"/>
          <w:b/>
          <w:bCs/>
          <w:sz w:val="32"/>
          <w:szCs w:val="32"/>
        </w:rPr>
      </w:pPr>
      <w:r>
        <w:rPr>
          <w:rFonts w:hint="eastAsia" w:ascii="楷体" w:hAnsi="楷体" w:eastAsia="楷体"/>
          <w:b/>
          <w:sz w:val="32"/>
          <w:szCs w:val="32"/>
        </w:rPr>
        <w:t>（二）</w:t>
      </w:r>
      <w:r>
        <w:rPr>
          <w:rFonts w:hint="eastAsia" w:ascii="楷体" w:hAnsi="楷体" w:eastAsia="楷体"/>
          <w:b/>
          <w:bCs/>
          <w:sz w:val="32"/>
          <w:szCs w:val="32"/>
        </w:rPr>
        <w:t>抓实综合协调，主动担当作为，防灾减灾工作成效明显。</w:t>
      </w:r>
    </w:p>
    <w:p>
      <w:pPr>
        <w:pStyle w:val="19"/>
        <w:widowControl w:val="0"/>
        <w:shd w:val="clear" w:color="auto" w:fill="FFFFFF"/>
        <w:spacing w:before="0" w:beforeAutospacing="0" w:after="0" w:afterAutospacing="0" w:line="540" w:lineRule="exact"/>
        <w:ind w:firstLine="640" w:firstLineChars="200"/>
        <w:jc w:val="both"/>
        <w:rPr>
          <w:rFonts w:hint="eastAsia" w:ascii="仿宋" w:hAnsi="仿宋" w:eastAsia="仿宋"/>
          <w:sz w:val="32"/>
          <w:szCs w:val="32"/>
        </w:rPr>
      </w:pPr>
      <w:r>
        <w:rPr>
          <w:rFonts w:hint="eastAsia" w:ascii="仿宋" w:hAnsi="仿宋" w:eastAsia="仿宋" w:cs="楷体"/>
          <w:b/>
          <w:bCs/>
          <w:sz w:val="32"/>
          <w:szCs w:val="32"/>
        </w:rPr>
        <w:t>一是抓实防汛抗旱工作。</w:t>
      </w:r>
      <w:r>
        <w:rPr>
          <w:rFonts w:hint="eastAsia" w:ascii="仿宋" w:hAnsi="仿宋" w:eastAsia="仿宋"/>
          <w:sz w:val="32"/>
          <w:szCs w:val="32"/>
        </w:rPr>
        <w:t>建立防汛抗旱四级负责人包保责任制，推动防汛抗旱准备工作“十个到位”，督促落实山洪灾害防御“六个百分之百”和防汛抗灾“四个一”转移机制。按照防汛“八巡”要求，强化汛前、汛期安全大检查大整治，做好83处地质灾害隐患点、13处城市内涝点、10处山洪易发区安全监控，及时消除隐患问题。加强预报预警设备设施维护，全区21处雨量水位一体站、87处预警广播主站、83处预警广播分站全部运行良好。</w:t>
      </w:r>
      <w:r>
        <w:rPr>
          <w:rFonts w:hint="eastAsia" w:ascii="仿宋" w:hAnsi="仿宋" w:eastAsia="仿宋"/>
          <w:color w:val="000000"/>
          <w:sz w:val="32"/>
          <w:szCs w:val="32"/>
        </w:rPr>
        <w:t>2022年历经9轮强降雨，老埠头水文站6次超警戒水位，区级层面9次启动防汛Ⅳ级应急响应，</w:t>
      </w:r>
      <w:r>
        <w:rPr>
          <w:rFonts w:hint="eastAsia" w:ascii="仿宋" w:hAnsi="仿宋" w:eastAsia="仿宋"/>
          <w:sz w:val="32"/>
          <w:szCs w:val="32"/>
        </w:rPr>
        <w:t>没有因汛因灾亡人事件发生。</w:t>
      </w:r>
      <w:r>
        <w:rPr>
          <w:rFonts w:hint="eastAsia" w:ascii="仿宋" w:hAnsi="仿宋" w:eastAsia="仿宋" w:cs="楷体"/>
          <w:b/>
          <w:bCs/>
          <w:sz w:val="32"/>
          <w:szCs w:val="32"/>
        </w:rPr>
        <w:t>二是抓实森林防灭火工作。</w:t>
      </w:r>
      <w:r>
        <w:rPr>
          <w:rFonts w:hint="eastAsia" w:ascii="仿宋" w:hAnsi="仿宋" w:eastAsia="仿宋" w:cs="仿宋"/>
          <w:sz w:val="32"/>
          <w:szCs w:val="32"/>
        </w:rPr>
        <w:t>推动实施森林防灭火体系建设，</w:t>
      </w:r>
      <w:r>
        <w:rPr>
          <w:rFonts w:hint="eastAsia" w:ascii="仿宋" w:hAnsi="仿宋" w:eastAsia="仿宋"/>
          <w:sz w:val="32"/>
          <w:szCs w:val="32"/>
        </w:rPr>
        <w:t>建成3支合计126人的区级森林消防队伍、18支30人以上的乡镇扑火队伍以及332支10人以上的村居群众森林火灾扑救队伍，配备5辆消防水车、15台高扬程接力消防水泵、1台工具车、72台高压细水雾、3台无人机等设施设备。</w:t>
      </w:r>
      <w:r>
        <w:rPr>
          <w:rFonts w:hint="eastAsia" w:ascii="仿宋" w:hAnsi="仿宋" w:eastAsia="仿宋" w:cs="仿宋"/>
          <w:sz w:val="32"/>
          <w:szCs w:val="32"/>
        </w:rPr>
        <w:t>强化重点林区、重点区域、敏感地带防灭火治理、野外火源综合治理和护林网格化管理，严格生产用火、祭祀用火审批，严肃森林防灭火责任追究，森林防灭火形势总体稳定，全年有效处置森林火情165起、森林火灾1起（黄江源火灾）。</w:t>
      </w:r>
      <w:r>
        <w:rPr>
          <w:rFonts w:hint="eastAsia" w:ascii="仿宋" w:hAnsi="仿宋" w:eastAsia="仿宋" w:cs="楷体"/>
          <w:b/>
          <w:bCs/>
          <w:sz w:val="32"/>
          <w:szCs w:val="32"/>
        </w:rPr>
        <w:t>三是抓实防灾救灾工作。</w:t>
      </w:r>
      <w:r>
        <w:rPr>
          <w:rFonts w:hint="eastAsia" w:ascii="仿宋" w:hAnsi="仿宋" w:eastAsia="仿宋"/>
          <w:sz w:val="32"/>
          <w:szCs w:val="32"/>
        </w:rPr>
        <w:t>争取中央和省救灾救助资金513万元，救助受灾群众7785人，有效确保社会大局稳定。</w:t>
      </w:r>
    </w:p>
    <w:p>
      <w:pPr>
        <w:pStyle w:val="19"/>
        <w:widowControl w:val="0"/>
        <w:shd w:val="clear" w:color="auto" w:fill="FFFFFF"/>
        <w:spacing w:before="0" w:beforeAutospacing="0" w:after="0" w:afterAutospacing="0" w:line="540" w:lineRule="exact"/>
        <w:ind w:firstLine="640" w:firstLineChars="200"/>
        <w:jc w:val="both"/>
        <w:rPr>
          <w:rFonts w:ascii="楷体" w:hAnsi="楷体" w:eastAsia="楷体"/>
          <w:b/>
          <w:sz w:val="32"/>
          <w:szCs w:val="32"/>
        </w:rPr>
      </w:pPr>
      <w:r>
        <w:rPr>
          <w:rFonts w:hint="eastAsia" w:ascii="楷体" w:hAnsi="楷体" w:eastAsia="楷体"/>
          <w:b/>
          <w:sz w:val="32"/>
          <w:szCs w:val="32"/>
        </w:rPr>
        <w:t>（三）</w:t>
      </w:r>
      <w:r>
        <w:rPr>
          <w:rFonts w:hint="eastAsia" w:ascii="楷体" w:hAnsi="楷体" w:eastAsia="楷体"/>
          <w:b/>
          <w:bCs/>
          <w:sz w:val="32"/>
          <w:szCs w:val="32"/>
        </w:rPr>
        <w:t>抓好应急管理，着力基层基础建设，全区应急能力水平攀上新高度。</w:t>
      </w:r>
    </w:p>
    <w:p>
      <w:pPr>
        <w:pStyle w:val="19"/>
        <w:widowControl w:val="0"/>
        <w:shd w:val="clear" w:color="auto" w:fill="FFFFFF"/>
        <w:spacing w:before="0" w:beforeAutospacing="0" w:after="0" w:afterAutospacing="0" w:line="540" w:lineRule="exact"/>
        <w:ind w:firstLine="640" w:firstLineChars="200"/>
        <w:rPr>
          <w:rFonts w:ascii="仿宋" w:hAnsi="仿宋" w:eastAsia="仿宋" w:cs="仿宋_GB2312"/>
          <w:sz w:val="32"/>
          <w:szCs w:val="32"/>
        </w:rPr>
      </w:pPr>
      <w:r>
        <w:rPr>
          <w:rFonts w:hint="eastAsia" w:ascii="仿宋" w:hAnsi="仿宋" w:eastAsia="仿宋" w:cs="仿宋_GB2312"/>
          <w:b/>
          <w:sz w:val="32"/>
          <w:szCs w:val="32"/>
        </w:rPr>
        <w:t>一是指挥调度实现上下联动</w:t>
      </w:r>
      <w:r>
        <w:rPr>
          <w:rFonts w:hint="eastAsia" w:ascii="仿宋" w:hAnsi="仿宋" w:eastAsia="仿宋" w:cs="仿宋_GB2312"/>
          <w:sz w:val="32"/>
          <w:szCs w:val="32"/>
        </w:rPr>
        <w:t>。基于全省推进的五级联通和钉钉系统，建设应急指挥视频调度系统，实现与部、省、市、县、乡五级联通，16个乡镇街道与334个村（社区）建成一线应急站，既能召开视频会议实现远程会商、在线研判，又能通过手机APP实现现场调度、远程指挥。</w:t>
      </w:r>
      <w:r>
        <w:rPr>
          <w:rFonts w:hint="eastAsia" w:ascii="仿宋" w:hAnsi="仿宋" w:eastAsia="仿宋" w:cs="仿宋_GB2312"/>
          <w:b/>
          <w:sz w:val="32"/>
          <w:szCs w:val="32"/>
        </w:rPr>
        <w:t>二是信息数据实现整合共享</w:t>
      </w:r>
      <w:r>
        <w:rPr>
          <w:rFonts w:hint="eastAsia" w:ascii="仿宋" w:hAnsi="仿宋" w:eastAsia="仿宋" w:cs="仿宋_GB2312"/>
          <w:sz w:val="32"/>
          <w:szCs w:val="32"/>
        </w:rPr>
        <w:t>。打破部门信息壁垒，结合数字应急平台系统，整合公安、交警、水利、林业、教育等13个部门的视频监控共享至乡镇（街道），实现重点区域、重点企业和重点部位的全网覆盖，切实推动基层应急能力从人防到技防的转变。</w:t>
      </w:r>
      <w:r>
        <w:rPr>
          <w:rFonts w:hint="eastAsia" w:ascii="仿宋" w:hAnsi="仿宋" w:eastAsia="仿宋" w:cs="仿宋_GB2312"/>
          <w:b/>
          <w:sz w:val="32"/>
          <w:szCs w:val="32"/>
        </w:rPr>
        <w:t>三是“四图”展示实现智能动图。</w:t>
      </w:r>
      <w:r>
        <w:rPr>
          <w:rFonts w:hint="eastAsia" w:ascii="仿宋" w:hAnsi="仿宋" w:eastAsia="仿宋" w:cs="仿宋_GB2312"/>
          <w:sz w:val="32"/>
          <w:szCs w:val="32"/>
        </w:rPr>
        <w:t>在乡镇（街道）指挥中心能精准描绘辖区内风险隐患图、物资装备图、防控力量分布图和指挥体系图并通过大屏展示，进行数据采集和录入，实行及时更新，动态管理。目前，全区已标绘风险隐患点107处、物资装备点372处、防控力量点351处，切实提升了应急响应处置的智能化水平。</w:t>
      </w:r>
      <w:r>
        <w:rPr>
          <w:rFonts w:hint="eastAsia" w:ascii="仿宋" w:hAnsi="仿宋" w:eastAsia="仿宋" w:cs="仿宋_GB2312"/>
          <w:b/>
          <w:sz w:val="32"/>
          <w:szCs w:val="32"/>
        </w:rPr>
        <w:t>四是强化企业信息化建设。</w:t>
      </w:r>
      <w:r>
        <w:rPr>
          <w:rFonts w:hint="eastAsia" w:ascii="仿宋" w:hAnsi="仿宋" w:eastAsia="仿宋" w:cs="仿宋_GB2312"/>
          <w:sz w:val="32"/>
          <w:szCs w:val="32"/>
        </w:rPr>
        <w:t>建设完成“矿山安全风险管控一图一表一清单”、“危险化学品安全风险监测预警系统”、“粉尘风险监测预警系统”、“智慧消防”等，实现企业安全管理数据共享，有效提升监管能力。</w:t>
      </w:r>
    </w:p>
    <w:p>
      <w:pPr>
        <w:pStyle w:val="18"/>
        <w:spacing w:line="60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pPr>
        <w:pStyle w:val="18"/>
        <w:spacing w:line="600" w:lineRule="exact"/>
        <w:ind w:firstLine="64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预算编制不够科学合理。主要原因是预算编制不细致，大部分只编制到一级科目，资金科目未细化，资金分配不合理。如2023年度安监津贴资金单位年初预算数做多了，单位专项资金内部额度分配不合理导致该项资金剩余而其他项目资金不足。</w:t>
      </w:r>
    </w:p>
    <w:p>
      <w:pPr>
        <w:pStyle w:val="18"/>
        <w:spacing w:line="600" w:lineRule="exact"/>
        <w:ind w:firstLine="64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2、缺乏预算绩效目标管理长效机制。主要原因是不够重视绩效目标管理工作，未建立专门的绩效目标管理队伍。</w:t>
      </w:r>
    </w:p>
    <w:p>
      <w:pPr>
        <w:pStyle w:val="18"/>
        <w:spacing w:line="600" w:lineRule="exact"/>
        <w:ind w:firstLine="64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3、缺乏与项目服务第三方公司的交流沟通。主要原因是第三方技术服务公司开票慢，单位也未能及时沟通，影响项目资金的执行和管理，资金使用效率降低。</w:t>
      </w:r>
    </w:p>
    <w:p>
      <w:pPr>
        <w:pStyle w:val="18"/>
        <w:spacing w:line="600" w:lineRule="exact"/>
        <w:ind w:firstLine="64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4、车辆经费不足。主要原因是本单位业务用车较多，运行维护费较高，现有的应急执法值班用车专项资金额度无法完全支撑应急车辆的正常运行耗费。</w:t>
      </w:r>
    </w:p>
    <w:p>
      <w:pPr>
        <w:spacing w:line="600" w:lineRule="exact"/>
        <w:ind w:firstLine="640" w:firstLineChars="200"/>
        <w:rPr>
          <w:rFonts w:eastAsia="黑体"/>
          <w:sz w:val="32"/>
          <w:szCs w:val="32"/>
        </w:rPr>
      </w:pPr>
      <w:r>
        <w:rPr>
          <w:rFonts w:eastAsia="黑体"/>
          <w:sz w:val="32"/>
          <w:szCs w:val="32"/>
        </w:rPr>
        <w:t>八、下一步改进措施</w:t>
      </w:r>
    </w:p>
    <w:p>
      <w:pPr>
        <w:spacing w:line="600" w:lineRule="exact"/>
        <w:ind w:firstLine="640" w:firstLineChars="200"/>
        <w:rPr>
          <w:rFonts w:eastAsia="黑体"/>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科学编制预算</w:t>
      </w:r>
      <w:r>
        <w:rPr>
          <w:rFonts w:hint="eastAsia" w:ascii="仿宋_GB2312" w:eastAsia="仿宋_GB2312"/>
          <w:sz w:val="32"/>
          <w:szCs w:val="32"/>
          <w:lang w:eastAsia="zh-CN"/>
        </w:rPr>
        <w:t>。</w:t>
      </w:r>
      <w:r>
        <w:rPr>
          <w:rFonts w:hint="eastAsia" w:ascii="仿宋_GB2312" w:eastAsia="仿宋_GB2312"/>
          <w:sz w:val="32"/>
          <w:szCs w:val="32"/>
        </w:rPr>
        <w:t>不断提高科学编制预算的意识，严格按照预算编制的相关制度和要求以及下一年度的工作计划，细化编制部门预算，提高预算编制的科学性、合理性、严谨性。</w:t>
      </w:r>
      <w:r>
        <w:rPr>
          <w:rFonts w:hint="eastAsia" w:ascii="仿宋_GB2312" w:eastAsia="仿宋_GB2312"/>
          <w:sz w:val="32"/>
          <w:szCs w:val="32"/>
          <w:lang w:val="en-US" w:eastAsia="zh-CN"/>
        </w:rPr>
        <w:t>做年初预算时全面了解单位各项目资金的实际需求量从而科学合理的分配预算内具体项目资金的额度，确保每个单位专项资金满足实际需求，不多不少。</w:t>
      </w:r>
    </w:p>
    <w:p>
      <w:pPr>
        <w:pStyle w:val="18"/>
        <w:spacing w:line="600" w:lineRule="exact"/>
        <w:ind w:firstLine="64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2、建立长效机制。重视绩效目标管理工作，合理制定绩效目标的同时重点抓好绩效目标管理工作，培养专门的绩效管理队伍，建立绩效目标管理长效机制。</w:t>
      </w:r>
    </w:p>
    <w:p>
      <w:pPr>
        <w:pStyle w:val="18"/>
        <w:spacing w:line="600" w:lineRule="exact"/>
        <w:ind w:firstLine="64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3、及时沟通交流。督促第三方技术服务公司及时开票结算，确保资金预算执行数与全年预算数保持一致，无偏差。</w:t>
      </w:r>
    </w:p>
    <w:p>
      <w:pPr>
        <w:pStyle w:val="18"/>
        <w:spacing w:line="600" w:lineRule="exact"/>
        <w:ind w:firstLine="64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4、增加车辆经费额度。请求区委区政府合理增加应急执法值班用车专项资金额度，加大应急车辆运营维护投入力度，保障应急车辆正常运转及应急工作的正常运行。</w:t>
      </w:r>
    </w:p>
    <w:p>
      <w:pPr>
        <w:spacing w:line="600" w:lineRule="exact"/>
        <w:ind w:firstLine="640" w:firstLineChars="200"/>
        <w:rPr>
          <w:rFonts w:eastAsia="黑体"/>
          <w:sz w:val="32"/>
          <w:szCs w:val="32"/>
        </w:rPr>
      </w:pPr>
      <w:r>
        <w:rPr>
          <w:rFonts w:eastAsia="黑体"/>
          <w:sz w:val="32"/>
          <w:szCs w:val="32"/>
        </w:rPr>
        <w:t>九、绩效自评结果拟应用和公开情况</w:t>
      </w:r>
    </w:p>
    <w:p>
      <w:pPr>
        <w:spacing w:line="600" w:lineRule="exact"/>
        <w:ind w:firstLine="640" w:firstLineChars="200"/>
      </w:pPr>
      <w:r>
        <w:rPr>
          <w:rFonts w:hint="eastAsia" w:ascii="仿宋_GB2312" w:hAnsi="仿宋" w:eastAsia="仿宋_GB2312"/>
          <w:sz w:val="32"/>
          <w:szCs w:val="32"/>
          <w:lang w:eastAsia="zh-CN"/>
        </w:rPr>
        <w:t>请</w:t>
      </w:r>
      <w:r>
        <w:rPr>
          <w:rFonts w:hint="eastAsia" w:ascii="仿宋_GB2312" w:hAnsi="仿宋" w:eastAsia="仿宋_GB2312"/>
          <w:sz w:val="32"/>
          <w:szCs w:val="32"/>
        </w:rPr>
        <w:t>财政代为公开。</w:t>
      </w:r>
    </w:p>
    <w:p>
      <w:pPr>
        <w:spacing w:line="600" w:lineRule="exact"/>
        <w:ind w:firstLine="640" w:firstLineChars="200"/>
        <w:rPr>
          <w:rFonts w:eastAsia="黑体"/>
          <w:sz w:val="32"/>
          <w:szCs w:val="32"/>
        </w:rPr>
      </w:pPr>
      <w:r>
        <w:rPr>
          <w:rFonts w:hint="eastAsia" w:eastAsia="黑体"/>
          <w:sz w:val="32"/>
          <w:szCs w:val="32"/>
        </w:rPr>
        <w:t>十、</w:t>
      </w:r>
      <w:r>
        <w:rPr>
          <w:rFonts w:eastAsia="黑体"/>
          <w:sz w:val="32"/>
          <w:szCs w:val="32"/>
        </w:rPr>
        <w:t>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我单位</w:t>
      </w:r>
      <w:r>
        <w:rPr>
          <w:rFonts w:hint="eastAsia" w:ascii="仿宋_GB2312" w:eastAsia="仿宋_GB2312"/>
          <w:sz w:val="32"/>
          <w:szCs w:val="32"/>
        </w:rPr>
        <w:t>无其他需要说明的情况</w:t>
      </w:r>
      <w:r>
        <w:rPr>
          <w:rFonts w:hint="eastAsia" w:ascii="仿宋_GB2312" w:eastAsia="仿宋_GB2312"/>
          <w:sz w:val="32"/>
          <w:szCs w:val="32"/>
          <w:lang w:eastAsia="zh-CN"/>
        </w:rPr>
        <w:t>。</w:t>
      </w:r>
      <w:bookmarkStart w:id="0" w:name="_GoBack"/>
      <w:bookmarkEnd w:id="0"/>
    </w:p>
    <w:p>
      <w:pPr>
        <w:pStyle w:val="2"/>
        <w:ind w:left="0" w:leftChars="0" w:firstLine="0" w:firstLineChars="0"/>
        <w:rPr>
          <w:rFonts w:hint="eastAsia" w:ascii="仿宋_GB2312" w:eastAsia="仿宋_GB2312" w:hAnsiTheme="minorHAnsi" w:cstheme="minorBidi"/>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仿宋_GB2312" w:eastAsia="仿宋_GB2312" w:hAnsiTheme="minorHAnsi" w:cstheme="minorBidi"/>
          <w:kern w:val="2"/>
          <w:sz w:val="32"/>
          <w:szCs w:val="32"/>
          <w:lang w:val="en-US" w:eastAsia="zh-CN" w:bidi="ar-SA"/>
        </w:rPr>
      </w:pPr>
    </w:p>
    <w:sectPr>
      <w:footerReference r:id="rId3" w:type="default"/>
      <w:pgSz w:w="11906" w:h="16838"/>
      <w:pgMar w:top="1440" w:right="1800" w:bottom="1440" w:left="1800" w:header="851" w:footer="992"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FA438D"/>
    <w:multiLevelType w:val="singleLevel"/>
    <w:tmpl w:val="EAFA438D"/>
    <w:lvl w:ilvl="0" w:tentative="0">
      <w:start w:val="2"/>
      <w:numFmt w:val="decimal"/>
      <w:suff w:val="nothing"/>
      <w:lvlText w:val="%1、"/>
      <w:lvlJc w:val="left"/>
    </w:lvl>
  </w:abstractNum>
  <w:abstractNum w:abstractNumId="1">
    <w:nsid w:val="0195652A"/>
    <w:multiLevelType w:val="multilevel"/>
    <w:tmpl w:val="0195652A"/>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478C05A6"/>
    <w:multiLevelType w:val="singleLevel"/>
    <w:tmpl w:val="478C05A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YmYxODQzZjkyZDllNzJjNDEwODNmNGMyYzA5YzgifQ=="/>
  </w:docVars>
  <w:rsids>
    <w:rsidRoot w:val="00172A27"/>
    <w:rsid w:val="00013654"/>
    <w:rsid w:val="0002229B"/>
    <w:rsid w:val="000273BD"/>
    <w:rsid w:val="000415B7"/>
    <w:rsid w:val="00041E3F"/>
    <w:rsid w:val="00055DAA"/>
    <w:rsid w:val="00061F7B"/>
    <w:rsid w:val="000658A3"/>
    <w:rsid w:val="00074155"/>
    <w:rsid w:val="000873EF"/>
    <w:rsid w:val="000A3F69"/>
    <w:rsid w:val="000E7B1F"/>
    <w:rsid w:val="00103957"/>
    <w:rsid w:val="00124A1F"/>
    <w:rsid w:val="00152C6D"/>
    <w:rsid w:val="00162D39"/>
    <w:rsid w:val="001669D4"/>
    <w:rsid w:val="00166EC6"/>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D20DC"/>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4E2611"/>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B4F71"/>
    <w:rsid w:val="006C1B53"/>
    <w:rsid w:val="006D7730"/>
    <w:rsid w:val="006E4A62"/>
    <w:rsid w:val="006E5284"/>
    <w:rsid w:val="006F3EB5"/>
    <w:rsid w:val="00702E34"/>
    <w:rsid w:val="00704395"/>
    <w:rsid w:val="00710FE7"/>
    <w:rsid w:val="00712825"/>
    <w:rsid w:val="00717621"/>
    <w:rsid w:val="00720FF1"/>
    <w:rsid w:val="00727A53"/>
    <w:rsid w:val="00787B42"/>
    <w:rsid w:val="007C4539"/>
    <w:rsid w:val="007F3657"/>
    <w:rsid w:val="00812ED5"/>
    <w:rsid w:val="008277D9"/>
    <w:rsid w:val="0084478C"/>
    <w:rsid w:val="0086638C"/>
    <w:rsid w:val="00881746"/>
    <w:rsid w:val="008A3E8D"/>
    <w:rsid w:val="008D313A"/>
    <w:rsid w:val="008E0C60"/>
    <w:rsid w:val="009237C4"/>
    <w:rsid w:val="009444C8"/>
    <w:rsid w:val="00944C48"/>
    <w:rsid w:val="00950252"/>
    <w:rsid w:val="00967F5D"/>
    <w:rsid w:val="009A0F95"/>
    <w:rsid w:val="009B3ADF"/>
    <w:rsid w:val="009C3B52"/>
    <w:rsid w:val="009E6817"/>
    <w:rsid w:val="009E6E9A"/>
    <w:rsid w:val="009E70F5"/>
    <w:rsid w:val="00A01D2B"/>
    <w:rsid w:val="00A3470B"/>
    <w:rsid w:val="00A42218"/>
    <w:rsid w:val="00A67D5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22F9D"/>
    <w:rsid w:val="00F74360"/>
    <w:rsid w:val="00F9257D"/>
    <w:rsid w:val="00FB462F"/>
    <w:rsid w:val="00FB62F5"/>
    <w:rsid w:val="00FD5A26"/>
    <w:rsid w:val="00FE16FA"/>
    <w:rsid w:val="00FE328A"/>
    <w:rsid w:val="00FE6269"/>
    <w:rsid w:val="00FF5CD6"/>
    <w:rsid w:val="010023FA"/>
    <w:rsid w:val="010C56A0"/>
    <w:rsid w:val="011C1167"/>
    <w:rsid w:val="01375594"/>
    <w:rsid w:val="014557C2"/>
    <w:rsid w:val="01533233"/>
    <w:rsid w:val="015D0D5E"/>
    <w:rsid w:val="016522F2"/>
    <w:rsid w:val="01764090"/>
    <w:rsid w:val="01AA2236"/>
    <w:rsid w:val="01AE15BA"/>
    <w:rsid w:val="01E52B01"/>
    <w:rsid w:val="01E87AB1"/>
    <w:rsid w:val="01F9035B"/>
    <w:rsid w:val="0200793B"/>
    <w:rsid w:val="02093872"/>
    <w:rsid w:val="0212698F"/>
    <w:rsid w:val="022C3FDA"/>
    <w:rsid w:val="0233386D"/>
    <w:rsid w:val="023979EC"/>
    <w:rsid w:val="024535A0"/>
    <w:rsid w:val="02501AD0"/>
    <w:rsid w:val="02671768"/>
    <w:rsid w:val="02696189"/>
    <w:rsid w:val="02833893"/>
    <w:rsid w:val="028C11CF"/>
    <w:rsid w:val="02987B74"/>
    <w:rsid w:val="02A2188B"/>
    <w:rsid w:val="02D95611"/>
    <w:rsid w:val="0301396B"/>
    <w:rsid w:val="03164EAC"/>
    <w:rsid w:val="03165668"/>
    <w:rsid w:val="031E1C7A"/>
    <w:rsid w:val="0328714A"/>
    <w:rsid w:val="032971EE"/>
    <w:rsid w:val="032B5736"/>
    <w:rsid w:val="03304250"/>
    <w:rsid w:val="034321D6"/>
    <w:rsid w:val="034664CC"/>
    <w:rsid w:val="035E33A5"/>
    <w:rsid w:val="03653EFA"/>
    <w:rsid w:val="03726617"/>
    <w:rsid w:val="039842CF"/>
    <w:rsid w:val="03F11F0F"/>
    <w:rsid w:val="03F51722"/>
    <w:rsid w:val="03F67248"/>
    <w:rsid w:val="04172B32"/>
    <w:rsid w:val="04212517"/>
    <w:rsid w:val="0427116D"/>
    <w:rsid w:val="04367644"/>
    <w:rsid w:val="04376D64"/>
    <w:rsid w:val="04473600"/>
    <w:rsid w:val="046643CE"/>
    <w:rsid w:val="04826777"/>
    <w:rsid w:val="04912ACD"/>
    <w:rsid w:val="049F67FD"/>
    <w:rsid w:val="04D725AC"/>
    <w:rsid w:val="04D75A3F"/>
    <w:rsid w:val="04ED23F9"/>
    <w:rsid w:val="051F37B5"/>
    <w:rsid w:val="05223F2D"/>
    <w:rsid w:val="05257DE5"/>
    <w:rsid w:val="055F2BCB"/>
    <w:rsid w:val="05634469"/>
    <w:rsid w:val="056A1C9B"/>
    <w:rsid w:val="056F182E"/>
    <w:rsid w:val="057679BE"/>
    <w:rsid w:val="05816FE5"/>
    <w:rsid w:val="058173D3"/>
    <w:rsid w:val="058A40EC"/>
    <w:rsid w:val="058E4794"/>
    <w:rsid w:val="05A131E3"/>
    <w:rsid w:val="05A86320"/>
    <w:rsid w:val="05CE1F8D"/>
    <w:rsid w:val="05D9297D"/>
    <w:rsid w:val="061A046F"/>
    <w:rsid w:val="06416F01"/>
    <w:rsid w:val="06526FC6"/>
    <w:rsid w:val="06712BB6"/>
    <w:rsid w:val="06744454"/>
    <w:rsid w:val="067B730A"/>
    <w:rsid w:val="067C4A3B"/>
    <w:rsid w:val="068A3C77"/>
    <w:rsid w:val="068C5C42"/>
    <w:rsid w:val="068C79F0"/>
    <w:rsid w:val="06995047"/>
    <w:rsid w:val="06A364C8"/>
    <w:rsid w:val="06B807E5"/>
    <w:rsid w:val="06BC02D5"/>
    <w:rsid w:val="06D677D4"/>
    <w:rsid w:val="06E579B7"/>
    <w:rsid w:val="06F23CF7"/>
    <w:rsid w:val="06FA0DFD"/>
    <w:rsid w:val="06FF6413"/>
    <w:rsid w:val="070B57E2"/>
    <w:rsid w:val="07105C63"/>
    <w:rsid w:val="07283BBC"/>
    <w:rsid w:val="07375BAD"/>
    <w:rsid w:val="074A1D85"/>
    <w:rsid w:val="074F102E"/>
    <w:rsid w:val="074F5E08"/>
    <w:rsid w:val="07594C1D"/>
    <w:rsid w:val="07A56FBB"/>
    <w:rsid w:val="07E31891"/>
    <w:rsid w:val="082A57F5"/>
    <w:rsid w:val="084F33CB"/>
    <w:rsid w:val="086B4B70"/>
    <w:rsid w:val="0886026E"/>
    <w:rsid w:val="089134E3"/>
    <w:rsid w:val="0898267C"/>
    <w:rsid w:val="089963F4"/>
    <w:rsid w:val="08A07782"/>
    <w:rsid w:val="08B379C9"/>
    <w:rsid w:val="08BB67AF"/>
    <w:rsid w:val="08C23F00"/>
    <w:rsid w:val="08C276F9"/>
    <w:rsid w:val="08CA4C07"/>
    <w:rsid w:val="08D772F2"/>
    <w:rsid w:val="08F77815"/>
    <w:rsid w:val="09036085"/>
    <w:rsid w:val="094E5CC6"/>
    <w:rsid w:val="095347F5"/>
    <w:rsid w:val="0955056D"/>
    <w:rsid w:val="0958005D"/>
    <w:rsid w:val="097E3F67"/>
    <w:rsid w:val="098175B4"/>
    <w:rsid w:val="09982AB4"/>
    <w:rsid w:val="09A3752A"/>
    <w:rsid w:val="09BE4364"/>
    <w:rsid w:val="09E518F1"/>
    <w:rsid w:val="09FE29B2"/>
    <w:rsid w:val="0A344626"/>
    <w:rsid w:val="0A4D56E8"/>
    <w:rsid w:val="0A5C592B"/>
    <w:rsid w:val="0A634386"/>
    <w:rsid w:val="0A743D8D"/>
    <w:rsid w:val="0ADF7AF0"/>
    <w:rsid w:val="0AE95411"/>
    <w:rsid w:val="0AEC3153"/>
    <w:rsid w:val="0AEF054D"/>
    <w:rsid w:val="0AF7700E"/>
    <w:rsid w:val="0AF85654"/>
    <w:rsid w:val="0B020232"/>
    <w:rsid w:val="0B0C109B"/>
    <w:rsid w:val="0B1C57E6"/>
    <w:rsid w:val="0B3568A8"/>
    <w:rsid w:val="0B3E289D"/>
    <w:rsid w:val="0B41349E"/>
    <w:rsid w:val="0B61144B"/>
    <w:rsid w:val="0B7C6285"/>
    <w:rsid w:val="0BA8707A"/>
    <w:rsid w:val="0BE47075"/>
    <w:rsid w:val="0BE5647D"/>
    <w:rsid w:val="0BEB139D"/>
    <w:rsid w:val="0BF95B27"/>
    <w:rsid w:val="0BF978D5"/>
    <w:rsid w:val="0C176646"/>
    <w:rsid w:val="0C1F4E62"/>
    <w:rsid w:val="0C30706F"/>
    <w:rsid w:val="0C3F4215"/>
    <w:rsid w:val="0C44353F"/>
    <w:rsid w:val="0C543653"/>
    <w:rsid w:val="0C5C2EA5"/>
    <w:rsid w:val="0C5D3A75"/>
    <w:rsid w:val="0C5E1E2E"/>
    <w:rsid w:val="0C7137FD"/>
    <w:rsid w:val="0C882A07"/>
    <w:rsid w:val="0C8E44C1"/>
    <w:rsid w:val="0C8F3D96"/>
    <w:rsid w:val="0CAD246E"/>
    <w:rsid w:val="0CBB102F"/>
    <w:rsid w:val="0CBC6C1F"/>
    <w:rsid w:val="0CCA4E67"/>
    <w:rsid w:val="0CCD0E96"/>
    <w:rsid w:val="0CD93263"/>
    <w:rsid w:val="0CE51C08"/>
    <w:rsid w:val="0CF06F2A"/>
    <w:rsid w:val="0CF32576"/>
    <w:rsid w:val="0CF462EF"/>
    <w:rsid w:val="0D004C93"/>
    <w:rsid w:val="0D014654"/>
    <w:rsid w:val="0D163F30"/>
    <w:rsid w:val="0D1773DD"/>
    <w:rsid w:val="0D310CF7"/>
    <w:rsid w:val="0D474670"/>
    <w:rsid w:val="0D575F7D"/>
    <w:rsid w:val="0D7F02AE"/>
    <w:rsid w:val="0DDC74AE"/>
    <w:rsid w:val="0DE46363"/>
    <w:rsid w:val="0DEE0F90"/>
    <w:rsid w:val="0E0367E9"/>
    <w:rsid w:val="0E0519C3"/>
    <w:rsid w:val="0E0662D9"/>
    <w:rsid w:val="0E3056AA"/>
    <w:rsid w:val="0E35096D"/>
    <w:rsid w:val="0E39220B"/>
    <w:rsid w:val="0E3C1CFB"/>
    <w:rsid w:val="0E7771D7"/>
    <w:rsid w:val="0E7845D8"/>
    <w:rsid w:val="0E903DF5"/>
    <w:rsid w:val="0E9E4764"/>
    <w:rsid w:val="0EA513CA"/>
    <w:rsid w:val="0EA75695"/>
    <w:rsid w:val="0EAF4BC3"/>
    <w:rsid w:val="0ED2440E"/>
    <w:rsid w:val="0ED32660"/>
    <w:rsid w:val="0EE7610B"/>
    <w:rsid w:val="0EF83E74"/>
    <w:rsid w:val="0F136F00"/>
    <w:rsid w:val="0F1467D4"/>
    <w:rsid w:val="0F234C69"/>
    <w:rsid w:val="0F9121C4"/>
    <w:rsid w:val="0FA062BA"/>
    <w:rsid w:val="0FAA2726"/>
    <w:rsid w:val="0FBE661C"/>
    <w:rsid w:val="0FBF0E36"/>
    <w:rsid w:val="0FC24482"/>
    <w:rsid w:val="0FCF1BF6"/>
    <w:rsid w:val="0FDA17CC"/>
    <w:rsid w:val="0FF07241"/>
    <w:rsid w:val="0FFF1232"/>
    <w:rsid w:val="100E1475"/>
    <w:rsid w:val="101A2510"/>
    <w:rsid w:val="101F0464"/>
    <w:rsid w:val="10517585"/>
    <w:rsid w:val="10874CD4"/>
    <w:rsid w:val="10917B85"/>
    <w:rsid w:val="109951E3"/>
    <w:rsid w:val="10AB4F16"/>
    <w:rsid w:val="10AC760C"/>
    <w:rsid w:val="10C5247C"/>
    <w:rsid w:val="10C85AC8"/>
    <w:rsid w:val="10D16104"/>
    <w:rsid w:val="10E045FE"/>
    <w:rsid w:val="11052878"/>
    <w:rsid w:val="11457119"/>
    <w:rsid w:val="116C28F7"/>
    <w:rsid w:val="116F6C6E"/>
    <w:rsid w:val="11784355"/>
    <w:rsid w:val="11A46535"/>
    <w:rsid w:val="11A71B81"/>
    <w:rsid w:val="11D61C9C"/>
    <w:rsid w:val="11DD37F5"/>
    <w:rsid w:val="11F466F3"/>
    <w:rsid w:val="12333415"/>
    <w:rsid w:val="125A4E46"/>
    <w:rsid w:val="125C0BBE"/>
    <w:rsid w:val="126D7161"/>
    <w:rsid w:val="12810624"/>
    <w:rsid w:val="12975999"/>
    <w:rsid w:val="12A04F4F"/>
    <w:rsid w:val="12A14823"/>
    <w:rsid w:val="12AA7B7B"/>
    <w:rsid w:val="12B10F0A"/>
    <w:rsid w:val="12B502CE"/>
    <w:rsid w:val="12BF6E78"/>
    <w:rsid w:val="13304216"/>
    <w:rsid w:val="134C478E"/>
    <w:rsid w:val="136C7742"/>
    <w:rsid w:val="136D00D7"/>
    <w:rsid w:val="13A47239"/>
    <w:rsid w:val="13A84D6E"/>
    <w:rsid w:val="13C609E5"/>
    <w:rsid w:val="13D318B3"/>
    <w:rsid w:val="13FC6EC1"/>
    <w:rsid w:val="14005579"/>
    <w:rsid w:val="14213E6D"/>
    <w:rsid w:val="142625FD"/>
    <w:rsid w:val="142722E0"/>
    <w:rsid w:val="142966AC"/>
    <w:rsid w:val="148D0FD7"/>
    <w:rsid w:val="14904B4F"/>
    <w:rsid w:val="14A34A1C"/>
    <w:rsid w:val="14C41DB5"/>
    <w:rsid w:val="14DC1B42"/>
    <w:rsid w:val="14E16FE0"/>
    <w:rsid w:val="15063964"/>
    <w:rsid w:val="15107A3E"/>
    <w:rsid w:val="151A266A"/>
    <w:rsid w:val="152B5CF7"/>
    <w:rsid w:val="15400323"/>
    <w:rsid w:val="15451DDD"/>
    <w:rsid w:val="1548125D"/>
    <w:rsid w:val="15593193"/>
    <w:rsid w:val="155F58BF"/>
    <w:rsid w:val="156437CB"/>
    <w:rsid w:val="1573694A"/>
    <w:rsid w:val="1574621E"/>
    <w:rsid w:val="157D50D3"/>
    <w:rsid w:val="158741A4"/>
    <w:rsid w:val="15BA49C4"/>
    <w:rsid w:val="15BB1876"/>
    <w:rsid w:val="15BB5BFB"/>
    <w:rsid w:val="15BD4C8D"/>
    <w:rsid w:val="15CD5EAD"/>
    <w:rsid w:val="15D171CD"/>
    <w:rsid w:val="15DD2016"/>
    <w:rsid w:val="15EE5FD1"/>
    <w:rsid w:val="15F20CDA"/>
    <w:rsid w:val="15FB249C"/>
    <w:rsid w:val="16223ECC"/>
    <w:rsid w:val="162437A1"/>
    <w:rsid w:val="16302145"/>
    <w:rsid w:val="16383519"/>
    <w:rsid w:val="1651030E"/>
    <w:rsid w:val="165C118C"/>
    <w:rsid w:val="16610065"/>
    <w:rsid w:val="1662251B"/>
    <w:rsid w:val="16640041"/>
    <w:rsid w:val="166E7112"/>
    <w:rsid w:val="167D398D"/>
    <w:rsid w:val="169D3553"/>
    <w:rsid w:val="16DA6555"/>
    <w:rsid w:val="16E15B36"/>
    <w:rsid w:val="16EE70AD"/>
    <w:rsid w:val="16EF2892"/>
    <w:rsid w:val="16F969DB"/>
    <w:rsid w:val="170C4F12"/>
    <w:rsid w:val="1710153B"/>
    <w:rsid w:val="1715758D"/>
    <w:rsid w:val="17321EED"/>
    <w:rsid w:val="17410683"/>
    <w:rsid w:val="174F6497"/>
    <w:rsid w:val="176C53FF"/>
    <w:rsid w:val="17852965"/>
    <w:rsid w:val="179B7A92"/>
    <w:rsid w:val="179D1A5D"/>
    <w:rsid w:val="17F453F5"/>
    <w:rsid w:val="18217B5C"/>
    <w:rsid w:val="183B3024"/>
    <w:rsid w:val="184F0B3D"/>
    <w:rsid w:val="18534A18"/>
    <w:rsid w:val="185600B1"/>
    <w:rsid w:val="185C07CF"/>
    <w:rsid w:val="186E4900"/>
    <w:rsid w:val="187D53EA"/>
    <w:rsid w:val="18CD1850"/>
    <w:rsid w:val="18CD4D8A"/>
    <w:rsid w:val="18F953B8"/>
    <w:rsid w:val="19004E67"/>
    <w:rsid w:val="19102702"/>
    <w:rsid w:val="191F46F3"/>
    <w:rsid w:val="19281690"/>
    <w:rsid w:val="192C47F7"/>
    <w:rsid w:val="19406B43"/>
    <w:rsid w:val="19485339"/>
    <w:rsid w:val="19570331"/>
    <w:rsid w:val="19573E8D"/>
    <w:rsid w:val="196927A6"/>
    <w:rsid w:val="196F2FCF"/>
    <w:rsid w:val="197A5E5D"/>
    <w:rsid w:val="199B021E"/>
    <w:rsid w:val="19AF3CC9"/>
    <w:rsid w:val="19B117EF"/>
    <w:rsid w:val="19BE5CBA"/>
    <w:rsid w:val="19C92FDD"/>
    <w:rsid w:val="19D03254"/>
    <w:rsid w:val="19D83220"/>
    <w:rsid w:val="19E0172B"/>
    <w:rsid w:val="19F65454"/>
    <w:rsid w:val="19F94F44"/>
    <w:rsid w:val="1A0554FD"/>
    <w:rsid w:val="1A0C76C1"/>
    <w:rsid w:val="1A1A0190"/>
    <w:rsid w:val="1A1B135F"/>
    <w:rsid w:val="1A400DC5"/>
    <w:rsid w:val="1A5F65BA"/>
    <w:rsid w:val="1A8A7F67"/>
    <w:rsid w:val="1A9F789A"/>
    <w:rsid w:val="1ADA4D76"/>
    <w:rsid w:val="1AF000F5"/>
    <w:rsid w:val="1AF40B21"/>
    <w:rsid w:val="1AF71484"/>
    <w:rsid w:val="1AFC4CEC"/>
    <w:rsid w:val="1B0342CC"/>
    <w:rsid w:val="1B150504"/>
    <w:rsid w:val="1B261D69"/>
    <w:rsid w:val="1B302BE8"/>
    <w:rsid w:val="1B444184"/>
    <w:rsid w:val="1B5468D6"/>
    <w:rsid w:val="1B584DE3"/>
    <w:rsid w:val="1B697EA8"/>
    <w:rsid w:val="1BAD248A"/>
    <w:rsid w:val="1BB10E1F"/>
    <w:rsid w:val="1BBB0703"/>
    <w:rsid w:val="1BBE1FA1"/>
    <w:rsid w:val="1BC31CAE"/>
    <w:rsid w:val="1BD417C5"/>
    <w:rsid w:val="1BE7599C"/>
    <w:rsid w:val="1C23263D"/>
    <w:rsid w:val="1C562805"/>
    <w:rsid w:val="1C5E5533"/>
    <w:rsid w:val="1C7B7E93"/>
    <w:rsid w:val="1C8431EB"/>
    <w:rsid w:val="1C844F99"/>
    <w:rsid w:val="1C8E7BC6"/>
    <w:rsid w:val="1C922AD6"/>
    <w:rsid w:val="1C964CCC"/>
    <w:rsid w:val="1CA92C52"/>
    <w:rsid w:val="1CAA13FA"/>
    <w:rsid w:val="1CB3587E"/>
    <w:rsid w:val="1CB67780"/>
    <w:rsid w:val="1CBB2985"/>
    <w:rsid w:val="1CC45CDD"/>
    <w:rsid w:val="1CCF02AF"/>
    <w:rsid w:val="1CF57C45"/>
    <w:rsid w:val="1CF86282"/>
    <w:rsid w:val="1D0205B4"/>
    <w:rsid w:val="1D4D7A81"/>
    <w:rsid w:val="1D526E45"/>
    <w:rsid w:val="1D5953C7"/>
    <w:rsid w:val="1D6372A4"/>
    <w:rsid w:val="1DC064A5"/>
    <w:rsid w:val="1DCD2970"/>
    <w:rsid w:val="1DD97567"/>
    <w:rsid w:val="1DE66FFB"/>
    <w:rsid w:val="1DEC729A"/>
    <w:rsid w:val="1DEF46F8"/>
    <w:rsid w:val="1DF63C75"/>
    <w:rsid w:val="1DFB128B"/>
    <w:rsid w:val="1DFD1668"/>
    <w:rsid w:val="1E003EE1"/>
    <w:rsid w:val="1E075A33"/>
    <w:rsid w:val="1E256308"/>
    <w:rsid w:val="1E366767"/>
    <w:rsid w:val="1E4C1AE7"/>
    <w:rsid w:val="1E4D585F"/>
    <w:rsid w:val="1E763007"/>
    <w:rsid w:val="1EB53B30"/>
    <w:rsid w:val="1EEE2B9E"/>
    <w:rsid w:val="1EEF616F"/>
    <w:rsid w:val="1F0362E2"/>
    <w:rsid w:val="1F106FB8"/>
    <w:rsid w:val="1F225486"/>
    <w:rsid w:val="1F3B1828"/>
    <w:rsid w:val="1F422EEA"/>
    <w:rsid w:val="1F4F0A11"/>
    <w:rsid w:val="1F5C3FAB"/>
    <w:rsid w:val="1F6B41EE"/>
    <w:rsid w:val="1FAD2A59"/>
    <w:rsid w:val="1FAE2067"/>
    <w:rsid w:val="1FDE2B96"/>
    <w:rsid w:val="1FF66696"/>
    <w:rsid w:val="201605A8"/>
    <w:rsid w:val="203503C5"/>
    <w:rsid w:val="204362FD"/>
    <w:rsid w:val="20441B5B"/>
    <w:rsid w:val="205904EB"/>
    <w:rsid w:val="2063580D"/>
    <w:rsid w:val="20745325"/>
    <w:rsid w:val="2079293B"/>
    <w:rsid w:val="209459C7"/>
    <w:rsid w:val="20DB53A4"/>
    <w:rsid w:val="20DE6C42"/>
    <w:rsid w:val="20ED4268"/>
    <w:rsid w:val="20F070A1"/>
    <w:rsid w:val="21025026"/>
    <w:rsid w:val="21090163"/>
    <w:rsid w:val="211B39F2"/>
    <w:rsid w:val="21422912"/>
    <w:rsid w:val="21423675"/>
    <w:rsid w:val="21645B71"/>
    <w:rsid w:val="216D4887"/>
    <w:rsid w:val="217202C5"/>
    <w:rsid w:val="217C0780"/>
    <w:rsid w:val="21817CF9"/>
    <w:rsid w:val="21826DE3"/>
    <w:rsid w:val="218307D1"/>
    <w:rsid w:val="21953BC4"/>
    <w:rsid w:val="219D08AB"/>
    <w:rsid w:val="21A16783"/>
    <w:rsid w:val="21B300CF"/>
    <w:rsid w:val="21BA145D"/>
    <w:rsid w:val="21C8352E"/>
    <w:rsid w:val="21D02A2F"/>
    <w:rsid w:val="21DC5877"/>
    <w:rsid w:val="21DF0EC4"/>
    <w:rsid w:val="21F20BF7"/>
    <w:rsid w:val="220D5A31"/>
    <w:rsid w:val="222F59A7"/>
    <w:rsid w:val="2230171F"/>
    <w:rsid w:val="225E628C"/>
    <w:rsid w:val="22806203"/>
    <w:rsid w:val="228D6B72"/>
    <w:rsid w:val="22A232FC"/>
    <w:rsid w:val="22AB307D"/>
    <w:rsid w:val="22AC46E3"/>
    <w:rsid w:val="22BE6D2B"/>
    <w:rsid w:val="22C205C9"/>
    <w:rsid w:val="22E569AE"/>
    <w:rsid w:val="22EC3898"/>
    <w:rsid w:val="22F10EAE"/>
    <w:rsid w:val="22F8223D"/>
    <w:rsid w:val="22FD5AA5"/>
    <w:rsid w:val="23011124"/>
    <w:rsid w:val="230C7A96"/>
    <w:rsid w:val="23252BC1"/>
    <w:rsid w:val="23371A7B"/>
    <w:rsid w:val="23492A98"/>
    <w:rsid w:val="23563407"/>
    <w:rsid w:val="235876C5"/>
    <w:rsid w:val="235F406A"/>
    <w:rsid w:val="23720241"/>
    <w:rsid w:val="23827D58"/>
    <w:rsid w:val="238859E5"/>
    <w:rsid w:val="238E2BA1"/>
    <w:rsid w:val="239D4B92"/>
    <w:rsid w:val="239F6B5C"/>
    <w:rsid w:val="23C71344"/>
    <w:rsid w:val="23CB7951"/>
    <w:rsid w:val="23DE58D7"/>
    <w:rsid w:val="23E6478B"/>
    <w:rsid w:val="23E97DD8"/>
    <w:rsid w:val="24195AE4"/>
    <w:rsid w:val="243C43AB"/>
    <w:rsid w:val="24596D0B"/>
    <w:rsid w:val="249B5576"/>
    <w:rsid w:val="24A00DDE"/>
    <w:rsid w:val="24A0493A"/>
    <w:rsid w:val="24AE3B64"/>
    <w:rsid w:val="24E217C2"/>
    <w:rsid w:val="24E32A79"/>
    <w:rsid w:val="25056E93"/>
    <w:rsid w:val="255727DF"/>
    <w:rsid w:val="255D282B"/>
    <w:rsid w:val="255F4CE2"/>
    <w:rsid w:val="25755DC7"/>
    <w:rsid w:val="25AB4F6A"/>
    <w:rsid w:val="25B06DFF"/>
    <w:rsid w:val="26170C2C"/>
    <w:rsid w:val="265B24BB"/>
    <w:rsid w:val="2666570F"/>
    <w:rsid w:val="26667E05"/>
    <w:rsid w:val="267A6665"/>
    <w:rsid w:val="268A3AF4"/>
    <w:rsid w:val="26924756"/>
    <w:rsid w:val="269F0C21"/>
    <w:rsid w:val="26A70BEF"/>
    <w:rsid w:val="26BB5A5B"/>
    <w:rsid w:val="26C1503C"/>
    <w:rsid w:val="26CF1507"/>
    <w:rsid w:val="26E01966"/>
    <w:rsid w:val="26EE5DF6"/>
    <w:rsid w:val="27007912"/>
    <w:rsid w:val="27031BBC"/>
    <w:rsid w:val="27070CA1"/>
    <w:rsid w:val="27080777"/>
    <w:rsid w:val="27191695"/>
    <w:rsid w:val="27343A60"/>
    <w:rsid w:val="27900569"/>
    <w:rsid w:val="27AC35F6"/>
    <w:rsid w:val="27AC7A9A"/>
    <w:rsid w:val="27AE477C"/>
    <w:rsid w:val="27B958DF"/>
    <w:rsid w:val="27E42DE6"/>
    <w:rsid w:val="28062A40"/>
    <w:rsid w:val="28113C54"/>
    <w:rsid w:val="281F1E7C"/>
    <w:rsid w:val="283C0E1E"/>
    <w:rsid w:val="2858552C"/>
    <w:rsid w:val="286F781D"/>
    <w:rsid w:val="288C361C"/>
    <w:rsid w:val="289A1B2D"/>
    <w:rsid w:val="28E94540"/>
    <w:rsid w:val="28EA2628"/>
    <w:rsid w:val="28F506D7"/>
    <w:rsid w:val="29233D8C"/>
    <w:rsid w:val="293B2E83"/>
    <w:rsid w:val="294206B6"/>
    <w:rsid w:val="29560B09"/>
    <w:rsid w:val="29573F6C"/>
    <w:rsid w:val="29790437"/>
    <w:rsid w:val="299627B0"/>
    <w:rsid w:val="29DF7CB3"/>
    <w:rsid w:val="2A094D30"/>
    <w:rsid w:val="2A19183D"/>
    <w:rsid w:val="2A1B5332"/>
    <w:rsid w:val="2A257690"/>
    <w:rsid w:val="2A337087"/>
    <w:rsid w:val="2A420242"/>
    <w:rsid w:val="2A776C1B"/>
    <w:rsid w:val="2A7F1496"/>
    <w:rsid w:val="2A9026D1"/>
    <w:rsid w:val="2A945F8B"/>
    <w:rsid w:val="2AA55C37"/>
    <w:rsid w:val="2AB81FF5"/>
    <w:rsid w:val="2ADE4A24"/>
    <w:rsid w:val="2B0B5B17"/>
    <w:rsid w:val="2B1020EE"/>
    <w:rsid w:val="2B151717"/>
    <w:rsid w:val="2B22254D"/>
    <w:rsid w:val="2B366D4E"/>
    <w:rsid w:val="2B612949"/>
    <w:rsid w:val="2B6F5066"/>
    <w:rsid w:val="2B830B12"/>
    <w:rsid w:val="2B960845"/>
    <w:rsid w:val="2B963984"/>
    <w:rsid w:val="2BA03472"/>
    <w:rsid w:val="2BA65694"/>
    <w:rsid w:val="2BC74D7A"/>
    <w:rsid w:val="2BD33847"/>
    <w:rsid w:val="2BDF7587"/>
    <w:rsid w:val="2BE31CE1"/>
    <w:rsid w:val="2C05494F"/>
    <w:rsid w:val="2C2E3A96"/>
    <w:rsid w:val="2C3812E2"/>
    <w:rsid w:val="2C495AF3"/>
    <w:rsid w:val="2C597C75"/>
    <w:rsid w:val="2C6B7F24"/>
    <w:rsid w:val="2C6D55AF"/>
    <w:rsid w:val="2C78162A"/>
    <w:rsid w:val="2C7A1F15"/>
    <w:rsid w:val="2C921610"/>
    <w:rsid w:val="2C9F5E1F"/>
    <w:rsid w:val="2CC94095"/>
    <w:rsid w:val="2CDC672B"/>
    <w:rsid w:val="2CF459E1"/>
    <w:rsid w:val="2D375F5B"/>
    <w:rsid w:val="2D3A16A4"/>
    <w:rsid w:val="2D766B80"/>
    <w:rsid w:val="2D8868B3"/>
    <w:rsid w:val="2DA60AE7"/>
    <w:rsid w:val="2DB82093"/>
    <w:rsid w:val="2DDD275B"/>
    <w:rsid w:val="2DE55AB4"/>
    <w:rsid w:val="2DF33D2D"/>
    <w:rsid w:val="2DFC56C5"/>
    <w:rsid w:val="2E00644A"/>
    <w:rsid w:val="2E0F456D"/>
    <w:rsid w:val="2E2415DE"/>
    <w:rsid w:val="2E2C7C72"/>
    <w:rsid w:val="2E5B0766"/>
    <w:rsid w:val="2EA44002"/>
    <w:rsid w:val="2EB3170E"/>
    <w:rsid w:val="2EBB0CE6"/>
    <w:rsid w:val="2EC658E5"/>
    <w:rsid w:val="2ECE02F6"/>
    <w:rsid w:val="2EF91817"/>
    <w:rsid w:val="2F030ED2"/>
    <w:rsid w:val="2F0D2472"/>
    <w:rsid w:val="2F1D3D0C"/>
    <w:rsid w:val="2F612D25"/>
    <w:rsid w:val="2F71633A"/>
    <w:rsid w:val="2F754C15"/>
    <w:rsid w:val="2F794705"/>
    <w:rsid w:val="2F7A6AD3"/>
    <w:rsid w:val="2F7B1F8A"/>
    <w:rsid w:val="2F872E1F"/>
    <w:rsid w:val="2FC61655"/>
    <w:rsid w:val="2FD17CFF"/>
    <w:rsid w:val="2FD22068"/>
    <w:rsid w:val="2FDA3D45"/>
    <w:rsid w:val="301461DC"/>
    <w:rsid w:val="3020496F"/>
    <w:rsid w:val="302C5217"/>
    <w:rsid w:val="302D729E"/>
    <w:rsid w:val="30307625"/>
    <w:rsid w:val="307E0084"/>
    <w:rsid w:val="30811B25"/>
    <w:rsid w:val="3082583C"/>
    <w:rsid w:val="30847806"/>
    <w:rsid w:val="30C65728"/>
    <w:rsid w:val="30F009F7"/>
    <w:rsid w:val="31462D0D"/>
    <w:rsid w:val="31492CE0"/>
    <w:rsid w:val="314F3CC3"/>
    <w:rsid w:val="31692558"/>
    <w:rsid w:val="317038E6"/>
    <w:rsid w:val="31894E7B"/>
    <w:rsid w:val="318A3EC6"/>
    <w:rsid w:val="31945827"/>
    <w:rsid w:val="319C46DB"/>
    <w:rsid w:val="31E16592"/>
    <w:rsid w:val="31ED3189"/>
    <w:rsid w:val="31F167D5"/>
    <w:rsid w:val="31F369F1"/>
    <w:rsid w:val="320F2B73"/>
    <w:rsid w:val="322F2850"/>
    <w:rsid w:val="3240338D"/>
    <w:rsid w:val="32443C19"/>
    <w:rsid w:val="327651C7"/>
    <w:rsid w:val="327D62BB"/>
    <w:rsid w:val="328238D1"/>
    <w:rsid w:val="328D12A4"/>
    <w:rsid w:val="3296737C"/>
    <w:rsid w:val="329D070B"/>
    <w:rsid w:val="32AD7BE9"/>
    <w:rsid w:val="32B64C98"/>
    <w:rsid w:val="32D71F5C"/>
    <w:rsid w:val="32DC365B"/>
    <w:rsid w:val="32E53E60"/>
    <w:rsid w:val="3312014C"/>
    <w:rsid w:val="33127CB0"/>
    <w:rsid w:val="333D3C9C"/>
    <w:rsid w:val="336C6B48"/>
    <w:rsid w:val="33B65F28"/>
    <w:rsid w:val="33BA52ED"/>
    <w:rsid w:val="33E02FA5"/>
    <w:rsid w:val="33E05315"/>
    <w:rsid w:val="33E67E90"/>
    <w:rsid w:val="33F24A86"/>
    <w:rsid w:val="33F33D76"/>
    <w:rsid w:val="33FF0B08"/>
    <w:rsid w:val="342509B8"/>
    <w:rsid w:val="34646631"/>
    <w:rsid w:val="34757B91"/>
    <w:rsid w:val="34873421"/>
    <w:rsid w:val="34AE6BFF"/>
    <w:rsid w:val="34C91C8B"/>
    <w:rsid w:val="34FA62E8"/>
    <w:rsid w:val="34FF08D2"/>
    <w:rsid w:val="35045F37"/>
    <w:rsid w:val="351C000D"/>
    <w:rsid w:val="35323F1C"/>
    <w:rsid w:val="354360A2"/>
    <w:rsid w:val="35467FD0"/>
    <w:rsid w:val="357553FE"/>
    <w:rsid w:val="35782022"/>
    <w:rsid w:val="358F7529"/>
    <w:rsid w:val="359F5EDE"/>
    <w:rsid w:val="35A26038"/>
    <w:rsid w:val="35B30245"/>
    <w:rsid w:val="35BC359E"/>
    <w:rsid w:val="35DE1766"/>
    <w:rsid w:val="35F14370"/>
    <w:rsid w:val="36080591"/>
    <w:rsid w:val="3616228B"/>
    <w:rsid w:val="36162CAE"/>
    <w:rsid w:val="364E6B4B"/>
    <w:rsid w:val="36590DED"/>
    <w:rsid w:val="366B4499"/>
    <w:rsid w:val="369736C3"/>
    <w:rsid w:val="36A22794"/>
    <w:rsid w:val="36AD3215"/>
    <w:rsid w:val="36C34EC1"/>
    <w:rsid w:val="37035299"/>
    <w:rsid w:val="370451FC"/>
    <w:rsid w:val="370A0339"/>
    <w:rsid w:val="37412481"/>
    <w:rsid w:val="375654AF"/>
    <w:rsid w:val="375F2433"/>
    <w:rsid w:val="378105FB"/>
    <w:rsid w:val="37991DE9"/>
    <w:rsid w:val="37B95FE7"/>
    <w:rsid w:val="37DA36AA"/>
    <w:rsid w:val="38060B00"/>
    <w:rsid w:val="38087C9D"/>
    <w:rsid w:val="380D00E1"/>
    <w:rsid w:val="3814321D"/>
    <w:rsid w:val="381B27FE"/>
    <w:rsid w:val="382A732C"/>
    <w:rsid w:val="382D42DF"/>
    <w:rsid w:val="382D71B3"/>
    <w:rsid w:val="38563836"/>
    <w:rsid w:val="385C2E16"/>
    <w:rsid w:val="386046B4"/>
    <w:rsid w:val="38740160"/>
    <w:rsid w:val="38851C7A"/>
    <w:rsid w:val="38A26A7B"/>
    <w:rsid w:val="38A50319"/>
    <w:rsid w:val="38A661FD"/>
    <w:rsid w:val="38A97113"/>
    <w:rsid w:val="38B642D4"/>
    <w:rsid w:val="38CA7E6B"/>
    <w:rsid w:val="38D373E4"/>
    <w:rsid w:val="38FE5C7B"/>
    <w:rsid w:val="391306CD"/>
    <w:rsid w:val="391B05DB"/>
    <w:rsid w:val="39220F9A"/>
    <w:rsid w:val="3922196A"/>
    <w:rsid w:val="39461AFC"/>
    <w:rsid w:val="395F671A"/>
    <w:rsid w:val="396106E4"/>
    <w:rsid w:val="396D0A2A"/>
    <w:rsid w:val="396F26D5"/>
    <w:rsid w:val="39796088"/>
    <w:rsid w:val="39934D80"/>
    <w:rsid w:val="3995213C"/>
    <w:rsid w:val="399C796E"/>
    <w:rsid w:val="39BD1693"/>
    <w:rsid w:val="39DC5FBD"/>
    <w:rsid w:val="39E3734B"/>
    <w:rsid w:val="39EC21F6"/>
    <w:rsid w:val="3A176FF5"/>
    <w:rsid w:val="3A6D130B"/>
    <w:rsid w:val="3A8A3C6B"/>
    <w:rsid w:val="3AA32622"/>
    <w:rsid w:val="3AC0768C"/>
    <w:rsid w:val="3ADC3D9A"/>
    <w:rsid w:val="3B2C0779"/>
    <w:rsid w:val="3B464036"/>
    <w:rsid w:val="3B7F0373"/>
    <w:rsid w:val="3B7F0BA5"/>
    <w:rsid w:val="3B8E778B"/>
    <w:rsid w:val="3BAB3E99"/>
    <w:rsid w:val="3BB1464B"/>
    <w:rsid w:val="3BC27434"/>
    <w:rsid w:val="3BE23632"/>
    <w:rsid w:val="3BF770DE"/>
    <w:rsid w:val="3C485B8B"/>
    <w:rsid w:val="3C667A46"/>
    <w:rsid w:val="3C6F4AD6"/>
    <w:rsid w:val="3C7B7D0F"/>
    <w:rsid w:val="3C814BF9"/>
    <w:rsid w:val="3C885F88"/>
    <w:rsid w:val="3C8D7768"/>
    <w:rsid w:val="3CA408E8"/>
    <w:rsid w:val="3CAF5C0A"/>
    <w:rsid w:val="3CAF79B9"/>
    <w:rsid w:val="3CC2593E"/>
    <w:rsid w:val="3CD66141"/>
    <w:rsid w:val="3CF655E7"/>
    <w:rsid w:val="3D012C10"/>
    <w:rsid w:val="3D0955A6"/>
    <w:rsid w:val="3D0A4BEF"/>
    <w:rsid w:val="3D1E04FE"/>
    <w:rsid w:val="3D4F2F4A"/>
    <w:rsid w:val="3D65355D"/>
    <w:rsid w:val="3D731809"/>
    <w:rsid w:val="3D734E8A"/>
    <w:rsid w:val="3D766728"/>
    <w:rsid w:val="3D851AF9"/>
    <w:rsid w:val="3DBA46C3"/>
    <w:rsid w:val="3DBD58D4"/>
    <w:rsid w:val="3E064B71"/>
    <w:rsid w:val="3E2E48A2"/>
    <w:rsid w:val="3E3208A1"/>
    <w:rsid w:val="3E352F14"/>
    <w:rsid w:val="3E467EA9"/>
    <w:rsid w:val="3E491747"/>
    <w:rsid w:val="3E894239"/>
    <w:rsid w:val="3EAD617A"/>
    <w:rsid w:val="3EBE7368"/>
    <w:rsid w:val="3EC83F84"/>
    <w:rsid w:val="3EC903BD"/>
    <w:rsid w:val="3ECE3A61"/>
    <w:rsid w:val="3ED41958"/>
    <w:rsid w:val="3EE15D15"/>
    <w:rsid w:val="3EE15E23"/>
    <w:rsid w:val="3EF142B8"/>
    <w:rsid w:val="3F0D6C18"/>
    <w:rsid w:val="3F1F6B23"/>
    <w:rsid w:val="3F243D76"/>
    <w:rsid w:val="3F35106A"/>
    <w:rsid w:val="3F760C61"/>
    <w:rsid w:val="3FC12356"/>
    <w:rsid w:val="3FD43687"/>
    <w:rsid w:val="3FDA4E00"/>
    <w:rsid w:val="3FF35E0E"/>
    <w:rsid w:val="3FF658FE"/>
    <w:rsid w:val="40031FBD"/>
    <w:rsid w:val="400D3374"/>
    <w:rsid w:val="4010076E"/>
    <w:rsid w:val="401D732F"/>
    <w:rsid w:val="40223EBC"/>
    <w:rsid w:val="40414DCB"/>
    <w:rsid w:val="4057639D"/>
    <w:rsid w:val="40632F94"/>
    <w:rsid w:val="406F4D7B"/>
    <w:rsid w:val="40977EFE"/>
    <w:rsid w:val="40982E5D"/>
    <w:rsid w:val="409E50AF"/>
    <w:rsid w:val="40C8729B"/>
    <w:rsid w:val="40D95004"/>
    <w:rsid w:val="40FB07DD"/>
    <w:rsid w:val="40FD5187"/>
    <w:rsid w:val="413032B1"/>
    <w:rsid w:val="413761CE"/>
    <w:rsid w:val="41426C7A"/>
    <w:rsid w:val="414803DC"/>
    <w:rsid w:val="415B010F"/>
    <w:rsid w:val="41764F49"/>
    <w:rsid w:val="41AA69A0"/>
    <w:rsid w:val="41B22F2B"/>
    <w:rsid w:val="41BA5A75"/>
    <w:rsid w:val="41CA1B69"/>
    <w:rsid w:val="41D13F2D"/>
    <w:rsid w:val="41E55C2A"/>
    <w:rsid w:val="42114CB3"/>
    <w:rsid w:val="424B3CDF"/>
    <w:rsid w:val="425370FA"/>
    <w:rsid w:val="425863FC"/>
    <w:rsid w:val="427A320B"/>
    <w:rsid w:val="4283791D"/>
    <w:rsid w:val="429035BA"/>
    <w:rsid w:val="42A96C58"/>
    <w:rsid w:val="42AF4D4B"/>
    <w:rsid w:val="42BC698B"/>
    <w:rsid w:val="42E163F2"/>
    <w:rsid w:val="43212C92"/>
    <w:rsid w:val="43244531"/>
    <w:rsid w:val="433429C6"/>
    <w:rsid w:val="43364990"/>
    <w:rsid w:val="434A3F97"/>
    <w:rsid w:val="437234EE"/>
    <w:rsid w:val="43761230"/>
    <w:rsid w:val="437E1E93"/>
    <w:rsid w:val="438D20D6"/>
    <w:rsid w:val="438D657A"/>
    <w:rsid w:val="43954AE6"/>
    <w:rsid w:val="4397035C"/>
    <w:rsid w:val="43E837B0"/>
    <w:rsid w:val="441A2DFD"/>
    <w:rsid w:val="441F3676"/>
    <w:rsid w:val="44224F14"/>
    <w:rsid w:val="44334447"/>
    <w:rsid w:val="445826E4"/>
    <w:rsid w:val="446C405F"/>
    <w:rsid w:val="4482318C"/>
    <w:rsid w:val="44853B14"/>
    <w:rsid w:val="4487121B"/>
    <w:rsid w:val="449434EA"/>
    <w:rsid w:val="44B10046"/>
    <w:rsid w:val="44B32010"/>
    <w:rsid w:val="44BA4D83"/>
    <w:rsid w:val="44D31A1B"/>
    <w:rsid w:val="44E81CBA"/>
    <w:rsid w:val="44EE129A"/>
    <w:rsid w:val="44EE3048"/>
    <w:rsid w:val="45224F7D"/>
    <w:rsid w:val="452B1BA6"/>
    <w:rsid w:val="454C7F61"/>
    <w:rsid w:val="45502E4C"/>
    <w:rsid w:val="4564728C"/>
    <w:rsid w:val="458D460F"/>
    <w:rsid w:val="4597723C"/>
    <w:rsid w:val="45A33E32"/>
    <w:rsid w:val="45AA6F6F"/>
    <w:rsid w:val="45B1654F"/>
    <w:rsid w:val="45C71395"/>
    <w:rsid w:val="45D67D64"/>
    <w:rsid w:val="45ED50AE"/>
    <w:rsid w:val="45F14B9E"/>
    <w:rsid w:val="46116FEE"/>
    <w:rsid w:val="46222FA9"/>
    <w:rsid w:val="46244F73"/>
    <w:rsid w:val="46262203"/>
    <w:rsid w:val="462A00B0"/>
    <w:rsid w:val="46AB11F1"/>
    <w:rsid w:val="46AE6F33"/>
    <w:rsid w:val="46B1432D"/>
    <w:rsid w:val="46B702EE"/>
    <w:rsid w:val="46D13980"/>
    <w:rsid w:val="46E965FC"/>
    <w:rsid w:val="46EB5A91"/>
    <w:rsid w:val="47044DA5"/>
    <w:rsid w:val="471A1ED2"/>
    <w:rsid w:val="471E5E67"/>
    <w:rsid w:val="473C009B"/>
    <w:rsid w:val="473C0B6B"/>
    <w:rsid w:val="473F19DF"/>
    <w:rsid w:val="47431C56"/>
    <w:rsid w:val="474A2939"/>
    <w:rsid w:val="47602701"/>
    <w:rsid w:val="476F60F2"/>
    <w:rsid w:val="477535AD"/>
    <w:rsid w:val="478F0B12"/>
    <w:rsid w:val="478F466E"/>
    <w:rsid w:val="479143A2"/>
    <w:rsid w:val="47A67AF1"/>
    <w:rsid w:val="47B24801"/>
    <w:rsid w:val="47BE31A6"/>
    <w:rsid w:val="47C93DFE"/>
    <w:rsid w:val="47F00E85"/>
    <w:rsid w:val="47F95F8C"/>
    <w:rsid w:val="47FE35A2"/>
    <w:rsid w:val="4803505C"/>
    <w:rsid w:val="48056A05"/>
    <w:rsid w:val="480C5CBF"/>
    <w:rsid w:val="481C1159"/>
    <w:rsid w:val="485B09F4"/>
    <w:rsid w:val="488C6E00"/>
    <w:rsid w:val="488F68F0"/>
    <w:rsid w:val="48A20301"/>
    <w:rsid w:val="48A24875"/>
    <w:rsid w:val="48C14E85"/>
    <w:rsid w:val="48CC18F2"/>
    <w:rsid w:val="48E64762"/>
    <w:rsid w:val="48F86243"/>
    <w:rsid w:val="48FD5A85"/>
    <w:rsid w:val="493A4AAE"/>
    <w:rsid w:val="496113A3"/>
    <w:rsid w:val="49690EEF"/>
    <w:rsid w:val="4972249A"/>
    <w:rsid w:val="497D40E7"/>
    <w:rsid w:val="498B2B2C"/>
    <w:rsid w:val="49A87C69"/>
    <w:rsid w:val="49CF3448"/>
    <w:rsid w:val="49E30CA1"/>
    <w:rsid w:val="49ED1BA9"/>
    <w:rsid w:val="4A070E34"/>
    <w:rsid w:val="4A1E1CDA"/>
    <w:rsid w:val="4A3D4856"/>
    <w:rsid w:val="4A4343CF"/>
    <w:rsid w:val="4A6D54DC"/>
    <w:rsid w:val="4A7B35D0"/>
    <w:rsid w:val="4A7F666C"/>
    <w:rsid w:val="4A89713F"/>
    <w:rsid w:val="4AAF6DD6"/>
    <w:rsid w:val="4AB443EC"/>
    <w:rsid w:val="4AB663B6"/>
    <w:rsid w:val="4AC81E37"/>
    <w:rsid w:val="4AD2529B"/>
    <w:rsid w:val="4AD25AB8"/>
    <w:rsid w:val="4AD34A26"/>
    <w:rsid w:val="4ADC3355"/>
    <w:rsid w:val="4AFF4924"/>
    <w:rsid w:val="4B094738"/>
    <w:rsid w:val="4B0D13D5"/>
    <w:rsid w:val="4B166E55"/>
    <w:rsid w:val="4B425E9C"/>
    <w:rsid w:val="4B5B044E"/>
    <w:rsid w:val="4B857375"/>
    <w:rsid w:val="4B862656"/>
    <w:rsid w:val="4B887D52"/>
    <w:rsid w:val="4B8D1390"/>
    <w:rsid w:val="4B9D30D2"/>
    <w:rsid w:val="4BA446FB"/>
    <w:rsid w:val="4BB24DCF"/>
    <w:rsid w:val="4BC92119"/>
    <w:rsid w:val="4BCC59A2"/>
    <w:rsid w:val="4BD5286C"/>
    <w:rsid w:val="4BD9235C"/>
    <w:rsid w:val="4BF2341E"/>
    <w:rsid w:val="4BF67EA9"/>
    <w:rsid w:val="4BFA06C4"/>
    <w:rsid w:val="4C03387D"/>
    <w:rsid w:val="4C26756B"/>
    <w:rsid w:val="4C801DD1"/>
    <w:rsid w:val="4C891FD4"/>
    <w:rsid w:val="4C8A7685"/>
    <w:rsid w:val="4C92132E"/>
    <w:rsid w:val="4C96649F"/>
    <w:rsid w:val="4CC401DD"/>
    <w:rsid w:val="4CC56D84"/>
    <w:rsid w:val="4CDD5E7C"/>
    <w:rsid w:val="4CF0280F"/>
    <w:rsid w:val="4D0374F4"/>
    <w:rsid w:val="4D341814"/>
    <w:rsid w:val="4D357A66"/>
    <w:rsid w:val="4D4759EB"/>
    <w:rsid w:val="4D901140"/>
    <w:rsid w:val="4DAD4A9E"/>
    <w:rsid w:val="4DAF5056"/>
    <w:rsid w:val="4DB453FB"/>
    <w:rsid w:val="4DC34A73"/>
    <w:rsid w:val="4DCC03E2"/>
    <w:rsid w:val="4E064E43"/>
    <w:rsid w:val="4E0F6509"/>
    <w:rsid w:val="4E232A4C"/>
    <w:rsid w:val="4E41068C"/>
    <w:rsid w:val="4E457EA1"/>
    <w:rsid w:val="4E4D7C9E"/>
    <w:rsid w:val="4E524648"/>
    <w:rsid w:val="4E7779A7"/>
    <w:rsid w:val="4E880069"/>
    <w:rsid w:val="4E921D2A"/>
    <w:rsid w:val="4EF37C84"/>
    <w:rsid w:val="4EFD0DE8"/>
    <w:rsid w:val="4F135B85"/>
    <w:rsid w:val="4F1638C7"/>
    <w:rsid w:val="4F30407B"/>
    <w:rsid w:val="4F3E697A"/>
    <w:rsid w:val="4F9F79EE"/>
    <w:rsid w:val="4FA6263C"/>
    <w:rsid w:val="4FBF7ABB"/>
    <w:rsid w:val="4FD73617"/>
    <w:rsid w:val="4FE90FDC"/>
    <w:rsid w:val="4FE977DD"/>
    <w:rsid w:val="4FEB4D54"/>
    <w:rsid w:val="4FED287A"/>
    <w:rsid w:val="4FF31AE8"/>
    <w:rsid w:val="4FF5172F"/>
    <w:rsid w:val="50093B84"/>
    <w:rsid w:val="503264DF"/>
    <w:rsid w:val="50354221"/>
    <w:rsid w:val="50373AF5"/>
    <w:rsid w:val="506F6902"/>
    <w:rsid w:val="50780E7A"/>
    <w:rsid w:val="508B3DDD"/>
    <w:rsid w:val="50974594"/>
    <w:rsid w:val="50BD049E"/>
    <w:rsid w:val="50CE02F4"/>
    <w:rsid w:val="50DE6667"/>
    <w:rsid w:val="50FA1950"/>
    <w:rsid w:val="51121E6C"/>
    <w:rsid w:val="511B3417"/>
    <w:rsid w:val="51242741"/>
    <w:rsid w:val="51314617"/>
    <w:rsid w:val="514364CA"/>
    <w:rsid w:val="51844B18"/>
    <w:rsid w:val="51A056CA"/>
    <w:rsid w:val="51A4340C"/>
    <w:rsid w:val="51B219E4"/>
    <w:rsid w:val="51BF3DA2"/>
    <w:rsid w:val="51C55131"/>
    <w:rsid w:val="51D13349"/>
    <w:rsid w:val="51D2176A"/>
    <w:rsid w:val="51DD247A"/>
    <w:rsid w:val="51DF61F2"/>
    <w:rsid w:val="520B220B"/>
    <w:rsid w:val="521C11F4"/>
    <w:rsid w:val="522314EF"/>
    <w:rsid w:val="52335289"/>
    <w:rsid w:val="52551A41"/>
    <w:rsid w:val="525C3CE7"/>
    <w:rsid w:val="52614E59"/>
    <w:rsid w:val="526C1F44"/>
    <w:rsid w:val="528D20F2"/>
    <w:rsid w:val="529E1C09"/>
    <w:rsid w:val="52A82A88"/>
    <w:rsid w:val="52B94C95"/>
    <w:rsid w:val="52C5363A"/>
    <w:rsid w:val="52C6442F"/>
    <w:rsid w:val="52CA50F4"/>
    <w:rsid w:val="52CB6777"/>
    <w:rsid w:val="53453716"/>
    <w:rsid w:val="5349426B"/>
    <w:rsid w:val="53620E89"/>
    <w:rsid w:val="538C148F"/>
    <w:rsid w:val="538C23AA"/>
    <w:rsid w:val="5391176E"/>
    <w:rsid w:val="53FD20BF"/>
    <w:rsid w:val="541048D1"/>
    <w:rsid w:val="54141499"/>
    <w:rsid w:val="545C42AB"/>
    <w:rsid w:val="5488491F"/>
    <w:rsid w:val="549A35B5"/>
    <w:rsid w:val="54A83213"/>
    <w:rsid w:val="54CA5777"/>
    <w:rsid w:val="54DE6B5D"/>
    <w:rsid w:val="54E24273"/>
    <w:rsid w:val="54E34170"/>
    <w:rsid w:val="55087451"/>
    <w:rsid w:val="555F2F82"/>
    <w:rsid w:val="556F5ADF"/>
    <w:rsid w:val="559825B7"/>
    <w:rsid w:val="559A0249"/>
    <w:rsid w:val="55BD4A9D"/>
    <w:rsid w:val="55BE4A68"/>
    <w:rsid w:val="55C93441"/>
    <w:rsid w:val="55E41916"/>
    <w:rsid w:val="55E96D6B"/>
    <w:rsid w:val="55F058A2"/>
    <w:rsid w:val="56073F6A"/>
    <w:rsid w:val="56283CCC"/>
    <w:rsid w:val="56550DB4"/>
    <w:rsid w:val="56644F18"/>
    <w:rsid w:val="566C0E6F"/>
    <w:rsid w:val="567A473C"/>
    <w:rsid w:val="567B0024"/>
    <w:rsid w:val="567C04B4"/>
    <w:rsid w:val="56824331"/>
    <w:rsid w:val="56866AA8"/>
    <w:rsid w:val="5690587C"/>
    <w:rsid w:val="56A65531"/>
    <w:rsid w:val="56C67981"/>
    <w:rsid w:val="56D55E16"/>
    <w:rsid w:val="56D77DE0"/>
    <w:rsid w:val="56DF2E06"/>
    <w:rsid w:val="56E0715C"/>
    <w:rsid w:val="571C0643"/>
    <w:rsid w:val="572B1EDA"/>
    <w:rsid w:val="572B3C88"/>
    <w:rsid w:val="574014E1"/>
    <w:rsid w:val="574429F0"/>
    <w:rsid w:val="574706FB"/>
    <w:rsid w:val="57792C45"/>
    <w:rsid w:val="578C4726"/>
    <w:rsid w:val="578F2A16"/>
    <w:rsid w:val="57C57E76"/>
    <w:rsid w:val="57DA7B88"/>
    <w:rsid w:val="580E15DF"/>
    <w:rsid w:val="58150D59"/>
    <w:rsid w:val="58296419"/>
    <w:rsid w:val="582D7720"/>
    <w:rsid w:val="583059FA"/>
    <w:rsid w:val="5838665C"/>
    <w:rsid w:val="583D0117"/>
    <w:rsid w:val="5847689F"/>
    <w:rsid w:val="585D4315"/>
    <w:rsid w:val="5889510A"/>
    <w:rsid w:val="58B24661"/>
    <w:rsid w:val="58B661E8"/>
    <w:rsid w:val="58C148A4"/>
    <w:rsid w:val="58DE5456"/>
    <w:rsid w:val="58E86001"/>
    <w:rsid w:val="58F466FF"/>
    <w:rsid w:val="58F711A7"/>
    <w:rsid w:val="59022BB0"/>
    <w:rsid w:val="590A624B"/>
    <w:rsid w:val="591250FF"/>
    <w:rsid w:val="592D08E2"/>
    <w:rsid w:val="59372DB8"/>
    <w:rsid w:val="59492EAB"/>
    <w:rsid w:val="59741179"/>
    <w:rsid w:val="597A60B5"/>
    <w:rsid w:val="59A81ECD"/>
    <w:rsid w:val="59AD4E28"/>
    <w:rsid w:val="59EC3BA2"/>
    <w:rsid w:val="59FE7432"/>
    <w:rsid w:val="5A276988"/>
    <w:rsid w:val="5A4F5EDF"/>
    <w:rsid w:val="5A5F6122"/>
    <w:rsid w:val="5A8C0EE1"/>
    <w:rsid w:val="5A8C2C8F"/>
    <w:rsid w:val="5A9B6239"/>
    <w:rsid w:val="5AA20705"/>
    <w:rsid w:val="5AA47FD9"/>
    <w:rsid w:val="5AD84127"/>
    <w:rsid w:val="5AF007EB"/>
    <w:rsid w:val="5B025271"/>
    <w:rsid w:val="5B0C6904"/>
    <w:rsid w:val="5B12588A"/>
    <w:rsid w:val="5B4478E7"/>
    <w:rsid w:val="5B6B0AF7"/>
    <w:rsid w:val="5B7E3AF6"/>
    <w:rsid w:val="5B861D93"/>
    <w:rsid w:val="5B86769A"/>
    <w:rsid w:val="5B977B3E"/>
    <w:rsid w:val="5BA01678"/>
    <w:rsid w:val="5BAA56F4"/>
    <w:rsid w:val="5BDE4DEB"/>
    <w:rsid w:val="5BDF731D"/>
    <w:rsid w:val="5BE80399"/>
    <w:rsid w:val="5BE865EB"/>
    <w:rsid w:val="5C115B42"/>
    <w:rsid w:val="5C451348"/>
    <w:rsid w:val="5C653798"/>
    <w:rsid w:val="5C734107"/>
    <w:rsid w:val="5C7659A5"/>
    <w:rsid w:val="5C8F6A67"/>
    <w:rsid w:val="5C9347A9"/>
    <w:rsid w:val="5C9A1694"/>
    <w:rsid w:val="5C9F314E"/>
    <w:rsid w:val="5CA249EC"/>
    <w:rsid w:val="5CA40764"/>
    <w:rsid w:val="5CB309A7"/>
    <w:rsid w:val="5CC001EA"/>
    <w:rsid w:val="5CC93D27"/>
    <w:rsid w:val="5CF1244A"/>
    <w:rsid w:val="5CFC40FC"/>
    <w:rsid w:val="5D1176C1"/>
    <w:rsid w:val="5D276C9F"/>
    <w:rsid w:val="5D2D2508"/>
    <w:rsid w:val="5D3E2967"/>
    <w:rsid w:val="5D4C4A3F"/>
    <w:rsid w:val="5D57661C"/>
    <w:rsid w:val="5D647EF4"/>
    <w:rsid w:val="5D6B53D0"/>
    <w:rsid w:val="5D9E783C"/>
    <w:rsid w:val="5DA402F0"/>
    <w:rsid w:val="5DC015CE"/>
    <w:rsid w:val="5DC27EDD"/>
    <w:rsid w:val="5DCB3ACF"/>
    <w:rsid w:val="5DCD1AE2"/>
    <w:rsid w:val="5DCF35BF"/>
    <w:rsid w:val="5DD240C4"/>
    <w:rsid w:val="5DD45295"/>
    <w:rsid w:val="5DF54827"/>
    <w:rsid w:val="5E1216FE"/>
    <w:rsid w:val="5E151D20"/>
    <w:rsid w:val="5E2E2ABB"/>
    <w:rsid w:val="5E31427A"/>
    <w:rsid w:val="5E3658B6"/>
    <w:rsid w:val="5E3B1B45"/>
    <w:rsid w:val="5E443FAD"/>
    <w:rsid w:val="5E5C65B5"/>
    <w:rsid w:val="5E6463FD"/>
    <w:rsid w:val="5E831173"/>
    <w:rsid w:val="5E8F775C"/>
    <w:rsid w:val="5E91245B"/>
    <w:rsid w:val="5E993BCD"/>
    <w:rsid w:val="5EA507C4"/>
    <w:rsid w:val="5EB153BA"/>
    <w:rsid w:val="5EC073AC"/>
    <w:rsid w:val="5EC56770"/>
    <w:rsid w:val="5EE17C8E"/>
    <w:rsid w:val="5F36141C"/>
    <w:rsid w:val="5F4C5EED"/>
    <w:rsid w:val="5F57335B"/>
    <w:rsid w:val="5FB46BFA"/>
    <w:rsid w:val="5FB7151F"/>
    <w:rsid w:val="5FBF1411"/>
    <w:rsid w:val="5FD924D3"/>
    <w:rsid w:val="5FDC1FC3"/>
    <w:rsid w:val="5FF05A6E"/>
    <w:rsid w:val="5FF4555F"/>
    <w:rsid w:val="60011A2A"/>
    <w:rsid w:val="60082DB8"/>
    <w:rsid w:val="602A2D2E"/>
    <w:rsid w:val="60453FE4"/>
    <w:rsid w:val="606F2E37"/>
    <w:rsid w:val="60703BC9"/>
    <w:rsid w:val="608F6033"/>
    <w:rsid w:val="609F149D"/>
    <w:rsid w:val="60A32AE1"/>
    <w:rsid w:val="60A46F85"/>
    <w:rsid w:val="60C52515"/>
    <w:rsid w:val="60C5514D"/>
    <w:rsid w:val="60DD5FF3"/>
    <w:rsid w:val="60E05AE3"/>
    <w:rsid w:val="61251748"/>
    <w:rsid w:val="61356637"/>
    <w:rsid w:val="61406DAA"/>
    <w:rsid w:val="61615322"/>
    <w:rsid w:val="616E7E72"/>
    <w:rsid w:val="61811074"/>
    <w:rsid w:val="618E0A27"/>
    <w:rsid w:val="61926DDD"/>
    <w:rsid w:val="61B9080E"/>
    <w:rsid w:val="61C471B3"/>
    <w:rsid w:val="61E84C4F"/>
    <w:rsid w:val="61EF2482"/>
    <w:rsid w:val="61F53810"/>
    <w:rsid w:val="62175534"/>
    <w:rsid w:val="62257C51"/>
    <w:rsid w:val="62404A8B"/>
    <w:rsid w:val="62493B91"/>
    <w:rsid w:val="624B6083"/>
    <w:rsid w:val="624F2F20"/>
    <w:rsid w:val="62540537"/>
    <w:rsid w:val="625A7C65"/>
    <w:rsid w:val="62775FD3"/>
    <w:rsid w:val="62783A56"/>
    <w:rsid w:val="627C183B"/>
    <w:rsid w:val="628A1441"/>
    <w:rsid w:val="62917095"/>
    <w:rsid w:val="62B64D4D"/>
    <w:rsid w:val="62F67840"/>
    <w:rsid w:val="630261E5"/>
    <w:rsid w:val="630A6E47"/>
    <w:rsid w:val="6315552F"/>
    <w:rsid w:val="63414F5F"/>
    <w:rsid w:val="635259AF"/>
    <w:rsid w:val="63556314"/>
    <w:rsid w:val="63582288"/>
    <w:rsid w:val="6370314E"/>
    <w:rsid w:val="63862972"/>
    <w:rsid w:val="63A96645"/>
    <w:rsid w:val="63B1322D"/>
    <w:rsid w:val="63BA5DCB"/>
    <w:rsid w:val="63C16D22"/>
    <w:rsid w:val="64111B69"/>
    <w:rsid w:val="643E4FFA"/>
    <w:rsid w:val="64410F8F"/>
    <w:rsid w:val="645B3DFE"/>
    <w:rsid w:val="64632CB3"/>
    <w:rsid w:val="64817A0C"/>
    <w:rsid w:val="6488096B"/>
    <w:rsid w:val="64917820"/>
    <w:rsid w:val="64942E6C"/>
    <w:rsid w:val="6497295D"/>
    <w:rsid w:val="649923AA"/>
    <w:rsid w:val="64D542C4"/>
    <w:rsid w:val="64E8224B"/>
    <w:rsid w:val="64F53367"/>
    <w:rsid w:val="64FA077A"/>
    <w:rsid w:val="650A5824"/>
    <w:rsid w:val="650C50F9"/>
    <w:rsid w:val="656960A7"/>
    <w:rsid w:val="65847385"/>
    <w:rsid w:val="65A05841"/>
    <w:rsid w:val="65A215B9"/>
    <w:rsid w:val="65C04179"/>
    <w:rsid w:val="65C43C25"/>
    <w:rsid w:val="65CB0B10"/>
    <w:rsid w:val="65E031FC"/>
    <w:rsid w:val="65EB2F60"/>
    <w:rsid w:val="65F81718"/>
    <w:rsid w:val="6608359E"/>
    <w:rsid w:val="661E1587"/>
    <w:rsid w:val="6635067F"/>
    <w:rsid w:val="6663343E"/>
    <w:rsid w:val="6673232F"/>
    <w:rsid w:val="668550D1"/>
    <w:rsid w:val="66886D5F"/>
    <w:rsid w:val="66A763EA"/>
    <w:rsid w:val="66AF3F8D"/>
    <w:rsid w:val="66CD08B8"/>
    <w:rsid w:val="66D103A8"/>
    <w:rsid w:val="66D41C46"/>
    <w:rsid w:val="66D6776C"/>
    <w:rsid w:val="66F67E0E"/>
    <w:rsid w:val="66F75934"/>
    <w:rsid w:val="6702528C"/>
    <w:rsid w:val="67050051"/>
    <w:rsid w:val="674D3842"/>
    <w:rsid w:val="675E7762"/>
    <w:rsid w:val="675F3B57"/>
    <w:rsid w:val="67925B70"/>
    <w:rsid w:val="679D6984"/>
    <w:rsid w:val="67B81E47"/>
    <w:rsid w:val="67D87514"/>
    <w:rsid w:val="68307350"/>
    <w:rsid w:val="68352BB8"/>
    <w:rsid w:val="685E210F"/>
    <w:rsid w:val="68662D72"/>
    <w:rsid w:val="687160BC"/>
    <w:rsid w:val="687B5FEF"/>
    <w:rsid w:val="687C4C8C"/>
    <w:rsid w:val="687F3E33"/>
    <w:rsid w:val="688378E6"/>
    <w:rsid w:val="68A40EBD"/>
    <w:rsid w:val="690363AF"/>
    <w:rsid w:val="69054339"/>
    <w:rsid w:val="69146F98"/>
    <w:rsid w:val="69192D5D"/>
    <w:rsid w:val="69232A11"/>
    <w:rsid w:val="692C4DE6"/>
    <w:rsid w:val="6938470E"/>
    <w:rsid w:val="69401815"/>
    <w:rsid w:val="696372B1"/>
    <w:rsid w:val="6965016A"/>
    <w:rsid w:val="69676DA1"/>
    <w:rsid w:val="696A11E2"/>
    <w:rsid w:val="69766FE4"/>
    <w:rsid w:val="69872FA0"/>
    <w:rsid w:val="699D27C3"/>
    <w:rsid w:val="69B84ECD"/>
    <w:rsid w:val="69E96AA8"/>
    <w:rsid w:val="69ED2BC7"/>
    <w:rsid w:val="69F820EF"/>
    <w:rsid w:val="69FA762A"/>
    <w:rsid w:val="69FD14B4"/>
    <w:rsid w:val="6A0665BA"/>
    <w:rsid w:val="6A0C16F7"/>
    <w:rsid w:val="6A164324"/>
    <w:rsid w:val="6A1F142A"/>
    <w:rsid w:val="6A294057"/>
    <w:rsid w:val="6A2C1CC0"/>
    <w:rsid w:val="6A507835"/>
    <w:rsid w:val="6A5F3A8B"/>
    <w:rsid w:val="6AC10733"/>
    <w:rsid w:val="6AC975E2"/>
    <w:rsid w:val="6AEA7C8A"/>
    <w:rsid w:val="6AF2410D"/>
    <w:rsid w:val="6AFF0859"/>
    <w:rsid w:val="6B1271E1"/>
    <w:rsid w:val="6B2018FE"/>
    <w:rsid w:val="6B2C2051"/>
    <w:rsid w:val="6B2D401B"/>
    <w:rsid w:val="6B344A35"/>
    <w:rsid w:val="6B6F63E1"/>
    <w:rsid w:val="6B8460DB"/>
    <w:rsid w:val="6B8F25DF"/>
    <w:rsid w:val="6B9B2D32"/>
    <w:rsid w:val="6BC46120"/>
    <w:rsid w:val="6BCA5FFC"/>
    <w:rsid w:val="6BCC55E2"/>
    <w:rsid w:val="6BE106BE"/>
    <w:rsid w:val="6BE26BB3"/>
    <w:rsid w:val="6BF73A61"/>
    <w:rsid w:val="6C0905E4"/>
    <w:rsid w:val="6C0B435C"/>
    <w:rsid w:val="6C1B068A"/>
    <w:rsid w:val="6C1B3E73"/>
    <w:rsid w:val="6C1E299A"/>
    <w:rsid w:val="6C2C42D2"/>
    <w:rsid w:val="6C3C709F"/>
    <w:rsid w:val="6C3D028D"/>
    <w:rsid w:val="6C586E75"/>
    <w:rsid w:val="6C5C1AA9"/>
    <w:rsid w:val="6C615D2A"/>
    <w:rsid w:val="6C6677E4"/>
    <w:rsid w:val="6C703A7C"/>
    <w:rsid w:val="6C725AC8"/>
    <w:rsid w:val="6C735A5D"/>
    <w:rsid w:val="6C743D5F"/>
    <w:rsid w:val="6C7F08A6"/>
    <w:rsid w:val="6C7F2654"/>
    <w:rsid w:val="6C8E1F6F"/>
    <w:rsid w:val="6C91271A"/>
    <w:rsid w:val="6CA64DFE"/>
    <w:rsid w:val="6CB032FA"/>
    <w:rsid w:val="6CC91B21"/>
    <w:rsid w:val="6D11717F"/>
    <w:rsid w:val="6D1433CB"/>
    <w:rsid w:val="6D417B30"/>
    <w:rsid w:val="6D5C4743"/>
    <w:rsid w:val="6D675931"/>
    <w:rsid w:val="6D7B2E1B"/>
    <w:rsid w:val="6D9E6B0A"/>
    <w:rsid w:val="6DA305C4"/>
    <w:rsid w:val="6DFB3F5C"/>
    <w:rsid w:val="6DFE57FA"/>
    <w:rsid w:val="6E070B53"/>
    <w:rsid w:val="6E105C5A"/>
    <w:rsid w:val="6E11552E"/>
    <w:rsid w:val="6E1D2124"/>
    <w:rsid w:val="6E351DA7"/>
    <w:rsid w:val="6E4771A1"/>
    <w:rsid w:val="6E5673E4"/>
    <w:rsid w:val="6E984E48"/>
    <w:rsid w:val="6EAB7730"/>
    <w:rsid w:val="6ECA381B"/>
    <w:rsid w:val="6ED8429D"/>
    <w:rsid w:val="6EF45DA8"/>
    <w:rsid w:val="6EF70BC7"/>
    <w:rsid w:val="6EFA5C60"/>
    <w:rsid w:val="6F2E3EBD"/>
    <w:rsid w:val="6F345978"/>
    <w:rsid w:val="6F5B7480"/>
    <w:rsid w:val="6F623B07"/>
    <w:rsid w:val="6F6C3363"/>
    <w:rsid w:val="6F80296B"/>
    <w:rsid w:val="6F8F2BAE"/>
    <w:rsid w:val="6F956F5A"/>
    <w:rsid w:val="6F984159"/>
    <w:rsid w:val="6FCE7B7A"/>
    <w:rsid w:val="6FEC6AE3"/>
    <w:rsid w:val="6FF43359"/>
    <w:rsid w:val="701B6B38"/>
    <w:rsid w:val="705A39B4"/>
    <w:rsid w:val="706D41AA"/>
    <w:rsid w:val="70761FC0"/>
    <w:rsid w:val="7080699B"/>
    <w:rsid w:val="70A97C9F"/>
    <w:rsid w:val="70B74461"/>
    <w:rsid w:val="70D97D6C"/>
    <w:rsid w:val="70DA42FD"/>
    <w:rsid w:val="70DF7B65"/>
    <w:rsid w:val="70E138DD"/>
    <w:rsid w:val="70E71E42"/>
    <w:rsid w:val="70EC5DDE"/>
    <w:rsid w:val="7101188A"/>
    <w:rsid w:val="71063344"/>
    <w:rsid w:val="710734C6"/>
    <w:rsid w:val="71096990"/>
    <w:rsid w:val="710C1B97"/>
    <w:rsid w:val="711443F0"/>
    <w:rsid w:val="71193077"/>
    <w:rsid w:val="712A7838"/>
    <w:rsid w:val="71493231"/>
    <w:rsid w:val="715C2F64"/>
    <w:rsid w:val="715F4802"/>
    <w:rsid w:val="716410AB"/>
    <w:rsid w:val="716B13F9"/>
    <w:rsid w:val="71C039A7"/>
    <w:rsid w:val="71D21478"/>
    <w:rsid w:val="71D843AB"/>
    <w:rsid w:val="71E511AB"/>
    <w:rsid w:val="71F46A5E"/>
    <w:rsid w:val="71F633B8"/>
    <w:rsid w:val="72071122"/>
    <w:rsid w:val="720A6E64"/>
    <w:rsid w:val="722378A9"/>
    <w:rsid w:val="72561A63"/>
    <w:rsid w:val="72A050D2"/>
    <w:rsid w:val="72C2773E"/>
    <w:rsid w:val="72C45265"/>
    <w:rsid w:val="72CD735A"/>
    <w:rsid w:val="73217FC1"/>
    <w:rsid w:val="7326053F"/>
    <w:rsid w:val="736A32CB"/>
    <w:rsid w:val="73706673"/>
    <w:rsid w:val="73726A6F"/>
    <w:rsid w:val="737717B1"/>
    <w:rsid w:val="7379604F"/>
    <w:rsid w:val="73907EF4"/>
    <w:rsid w:val="739C7F8F"/>
    <w:rsid w:val="73A0182E"/>
    <w:rsid w:val="73B64D5C"/>
    <w:rsid w:val="73C51294"/>
    <w:rsid w:val="73E334C8"/>
    <w:rsid w:val="73E57241"/>
    <w:rsid w:val="73F76F74"/>
    <w:rsid w:val="74010220"/>
    <w:rsid w:val="741C69DA"/>
    <w:rsid w:val="742F0E19"/>
    <w:rsid w:val="7460777F"/>
    <w:rsid w:val="74710096"/>
    <w:rsid w:val="74793E2D"/>
    <w:rsid w:val="747C7741"/>
    <w:rsid w:val="74822FE3"/>
    <w:rsid w:val="74831839"/>
    <w:rsid w:val="749D5066"/>
    <w:rsid w:val="74B3733F"/>
    <w:rsid w:val="74B60BDD"/>
    <w:rsid w:val="74B73662"/>
    <w:rsid w:val="74C27582"/>
    <w:rsid w:val="74C72DEA"/>
    <w:rsid w:val="74C851E7"/>
    <w:rsid w:val="750B0F29"/>
    <w:rsid w:val="751B4EE4"/>
    <w:rsid w:val="751F0426"/>
    <w:rsid w:val="75330FD2"/>
    <w:rsid w:val="7533222E"/>
    <w:rsid w:val="753D30AC"/>
    <w:rsid w:val="755B501C"/>
    <w:rsid w:val="75622B13"/>
    <w:rsid w:val="75627D28"/>
    <w:rsid w:val="757A7E5C"/>
    <w:rsid w:val="758F7E3E"/>
    <w:rsid w:val="759655C2"/>
    <w:rsid w:val="75994786"/>
    <w:rsid w:val="759A22AD"/>
    <w:rsid w:val="75A153E9"/>
    <w:rsid w:val="75B0387E"/>
    <w:rsid w:val="75D21A46"/>
    <w:rsid w:val="75D94B83"/>
    <w:rsid w:val="75E43528"/>
    <w:rsid w:val="75F26AA9"/>
    <w:rsid w:val="75F419BD"/>
    <w:rsid w:val="75FC6AC3"/>
    <w:rsid w:val="760D0CD1"/>
    <w:rsid w:val="76280C53"/>
    <w:rsid w:val="762B1157"/>
    <w:rsid w:val="762C55FB"/>
    <w:rsid w:val="76360227"/>
    <w:rsid w:val="765D153C"/>
    <w:rsid w:val="76642150"/>
    <w:rsid w:val="76790114"/>
    <w:rsid w:val="769E7B7B"/>
    <w:rsid w:val="76B80C3C"/>
    <w:rsid w:val="76C43A85"/>
    <w:rsid w:val="76CC6D4E"/>
    <w:rsid w:val="76EE0B02"/>
    <w:rsid w:val="7725204A"/>
    <w:rsid w:val="772E0D38"/>
    <w:rsid w:val="77416E84"/>
    <w:rsid w:val="77440722"/>
    <w:rsid w:val="77515EE7"/>
    <w:rsid w:val="77632C80"/>
    <w:rsid w:val="776A296A"/>
    <w:rsid w:val="779600F8"/>
    <w:rsid w:val="77B77146"/>
    <w:rsid w:val="77C90C27"/>
    <w:rsid w:val="77E15F71"/>
    <w:rsid w:val="78132C9B"/>
    <w:rsid w:val="781C51FB"/>
    <w:rsid w:val="785075FD"/>
    <w:rsid w:val="7860241F"/>
    <w:rsid w:val="78726BFD"/>
    <w:rsid w:val="789A210E"/>
    <w:rsid w:val="789B4A26"/>
    <w:rsid w:val="789E3E62"/>
    <w:rsid w:val="78A94FE4"/>
    <w:rsid w:val="78B47034"/>
    <w:rsid w:val="78DD2BDC"/>
    <w:rsid w:val="790E0E6D"/>
    <w:rsid w:val="793257CE"/>
    <w:rsid w:val="793A2553"/>
    <w:rsid w:val="79404F19"/>
    <w:rsid w:val="794830FC"/>
    <w:rsid w:val="794B4A4F"/>
    <w:rsid w:val="79556C16"/>
    <w:rsid w:val="79A951B4"/>
    <w:rsid w:val="79AE27CB"/>
    <w:rsid w:val="79BB52FC"/>
    <w:rsid w:val="79BF0534"/>
    <w:rsid w:val="79CB31BE"/>
    <w:rsid w:val="79E461EC"/>
    <w:rsid w:val="79E65AC0"/>
    <w:rsid w:val="7A020420"/>
    <w:rsid w:val="7A093E90"/>
    <w:rsid w:val="7A22397B"/>
    <w:rsid w:val="7A2F2833"/>
    <w:rsid w:val="7A3060E2"/>
    <w:rsid w:val="7A3879FC"/>
    <w:rsid w:val="7A4B626B"/>
    <w:rsid w:val="7A5944E4"/>
    <w:rsid w:val="7A6F1F5A"/>
    <w:rsid w:val="7A884DCA"/>
    <w:rsid w:val="7A9B4AFD"/>
    <w:rsid w:val="7A9D3EB1"/>
    <w:rsid w:val="7A9F232A"/>
    <w:rsid w:val="7ABF46E5"/>
    <w:rsid w:val="7AC65B36"/>
    <w:rsid w:val="7AD95625"/>
    <w:rsid w:val="7B445194"/>
    <w:rsid w:val="7B4927AB"/>
    <w:rsid w:val="7B4F58E7"/>
    <w:rsid w:val="7B812B0F"/>
    <w:rsid w:val="7B875081"/>
    <w:rsid w:val="7B8B30E3"/>
    <w:rsid w:val="7B931C78"/>
    <w:rsid w:val="7B956578"/>
    <w:rsid w:val="7BBD4002"/>
    <w:rsid w:val="7BBF34CF"/>
    <w:rsid w:val="7BDC717B"/>
    <w:rsid w:val="7BDE0C48"/>
    <w:rsid w:val="7BF00E78"/>
    <w:rsid w:val="7BF81ADB"/>
    <w:rsid w:val="7BFA1CF7"/>
    <w:rsid w:val="7C02507D"/>
    <w:rsid w:val="7C0E57A2"/>
    <w:rsid w:val="7C1650DF"/>
    <w:rsid w:val="7C3945CD"/>
    <w:rsid w:val="7C505BE1"/>
    <w:rsid w:val="7C662EE9"/>
    <w:rsid w:val="7C701FB9"/>
    <w:rsid w:val="7C975798"/>
    <w:rsid w:val="7CF91FAF"/>
    <w:rsid w:val="7CFC55FB"/>
    <w:rsid w:val="7D0F532E"/>
    <w:rsid w:val="7D146DE8"/>
    <w:rsid w:val="7D2D3A06"/>
    <w:rsid w:val="7D501352"/>
    <w:rsid w:val="7D5B690D"/>
    <w:rsid w:val="7D621902"/>
    <w:rsid w:val="7D6C452F"/>
    <w:rsid w:val="7D6E1D75"/>
    <w:rsid w:val="7D807FDA"/>
    <w:rsid w:val="7D8A0E59"/>
    <w:rsid w:val="7D935F5F"/>
    <w:rsid w:val="7DB008BF"/>
    <w:rsid w:val="7DBB4D4F"/>
    <w:rsid w:val="7DD92E71"/>
    <w:rsid w:val="7DE95B7F"/>
    <w:rsid w:val="7DF65BBF"/>
    <w:rsid w:val="7E130E4E"/>
    <w:rsid w:val="7E2272E3"/>
    <w:rsid w:val="7E2F5C0A"/>
    <w:rsid w:val="7E3B5EE4"/>
    <w:rsid w:val="7E3C2153"/>
    <w:rsid w:val="7E417769"/>
    <w:rsid w:val="7E6416AA"/>
    <w:rsid w:val="7E653E2F"/>
    <w:rsid w:val="7E7E42FB"/>
    <w:rsid w:val="7E8A55B4"/>
    <w:rsid w:val="7E9D31BE"/>
    <w:rsid w:val="7EA128FE"/>
    <w:rsid w:val="7EB937A4"/>
    <w:rsid w:val="7EC30AC6"/>
    <w:rsid w:val="7EDC7492"/>
    <w:rsid w:val="7EDE145C"/>
    <w:rsid w:val="7EE816E4"/>
    <w:rsid w:val="7EEA21C4"/>
    <w:rsid w:val="7EED5B43"/>
    <w:rsid w:val="7EF01AFD"/>
    <w:rsid w:val="7EF42A2E"/>
    <w:rsid w:val="7EFB776B"/>
    <w:rsid w:val="7F250E39"/>
    <w:rsid w:val="7F2D5F40"/>
    <w:rsid w:val="7F380213"/>
    <w:rsid w:val="7F471E7B"/>
    <w:rsid w:val="7F4734A5"/>
    <w:rsid w:val="7F484B27"/>
    <w:rsid w:val="7F487C8E"/>
    <w:rsid w:val="7F58120E"/>
    <w:rsid w:val="7F68147B"/>
    <w:rsid w:val="7F6A0F42"/>
    <w:rsid w:val="7F8244DD"/>
    <w:rsid w:val="7F9443DB"/>
    <w:rsid w:val="7FA8303F"/>
    <w:rsid w:val="7FAA73F4"/>
    <w:rsid w:val="7FB56661"/>
    <w:rsid w:val="7FC06692"/>
    <w:rsid w:val="7FC32652"/>
    <w:rsid w:val="7FD10FC1"/>
    <w:rsid w:val="7FD47AE7"/>
    <w:rsid w:val="7FD526AD"/>
    <w:rsid w:val="7FE44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unhideWhenUsed/>
    <w:qFormat/>
    <w:uiPriority w:val="99"/>
    <w:pPr>
      <w:widowControl/>
      <w:spacing w:before="100" w:beforeLines="0" w:beforeAutospacing="1" w:after="100" w:afterLines="0" w:afterAutospacing="1"/>
      <w:jc w:val="left"/>
    </w:pPr>
    <w:rPr>
      <w:rFonts w:ascii="宋体" w:cs="宋体"/>
      <w:kern w:val="0"/>
      <w:sz w:val="24"/>
      <w:lang w:bidi="ar-SA"/>
    </w:rPr>
  </w:style>
  <w:style w:type="paragraph" w:styleId="4">
    <w:name w:val="Balloon Text"/>
    <w:basedOn w:val="1"/>
    <w:link w:val="17"/>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22"/>
    <w:rPr>
      <w:b/>
      <w:bCs/>
    </w:rPr>
  </w:style>
  <w:style w:type="character" w:styleId="12">
    <w:name w:val="page number"/>
    <w:basedOn w:val="10"/>
    <w:qFormat/>
    <w:uiPriority w:val="0"/>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6">
    <w:name w:val="List Paragraph"/>
    <w:basedOn w:val="1"/>
    <w:qFormat/>
    <w:uiPriority w:val="34"/>
    <w:pPr>
      <w:ind w:firstLine="420" w:firstLineChars="200"/>
    </w:pPr>
  </w:style>
  <w:style w:type="character" w:customStyle="1" w:styleId="17">
    <w:name w:val="批注框文本 Char"/>
    <w:basedOn w:val="10"/>
    <w:link w:val="4"/>
    <w:semiHidden/>
    <w:qFormat/>
    <w:uiPriority w:val="99"/>
    <w:rPr>
      <w:sz w:val="18"/>
      <w:szCs w:val="18"/>
    </w:rPr>
  </w:style>
  <w:style w:type="paragraph" w:customStyle="1" w:styleId="18">
    <w:name w:val="_Style 1"/>
    <w:basedOn w:val="1"/>
    <w:qFormat/>
    <w:uiPriority w:val="99"/>
    <w:pPr>
      <w:ind w:firstLine="420" w:firstLineChars="200"/>
    </w:pPr>
    <w:rPr>
      <w:rFonts w:ascii="Calibri" w:hAnsi="Calibri" w:eastAsia="宋体" w:cs="Times New Roman"/>
    </w:rPr>
  </w:style>
  <w:style w:type="paragraph" w:customStyle="1" w:styleId="19">
    <w:name w:val="western"/>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4169</Words>
  <Characters>4468</Characters>
  <Lines>1</Lines>
  <Paragraphs>1</Paragraphs>
  <TotalTime>6</TotalTime>
  <ScaleCrop>false</ScaleCrop>
  <LinksUpToDate>false</LinksUpToDate>
  <CharactersWithSpaces>4546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2024-05-15T02:32:07Z</cp:lastPrinted>
  <dcterms:modified xsi:type="dcterms:W3CDTF">2024-05-15T02:35:24Z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D735DF8E2981490FB1359321F793BA35</vt:lpwstr>
  </property>
</Properties>
</file>