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C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9" w:name="_GoBack"/>
      <w:bookmarkEnd w:id="9"/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零陵区城市管理和综合执法局</w:t>
      </w:r>
    </w:p>
    <w:p w14:paraId="18B8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2025年工作总结和2026年工作计划</w:t>
      </w:r>
    </w:p>
    <w:bookmarkEnd w:id="0"/>
    <w:p w14:paraId="2B080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91C8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1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2025年，我局在区委、区政府的坚强领导下，紧扣城市精细化管理和全国文明城市创建目标，聚焦主责主业，强化担当作为，统筹推进各项重点工作，城市管理水平与运行保障能力得到显著提升。</w:t>
      </w:r>
      <w:bookmarkEnd w:id="1"/>
      <w:bookmarkStart w:id="2" w:name="OLE_LINK3"/>
    </w:p>
    <w:p w14:paraId="50A13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一、2025年工作总结</w:t>
      </w:r>
    </w:p>
    <w:bookmarkEnd w:id="2"/>
    <w:p w14:paraId="3840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（一）</w:t>
      </w:r>
      <w:r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精细市容管理，提升城市环境品质</w:t>
      </w:r>
    </w:p>
    <w:p w14:paraId="200DD4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distribute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联合街道开展综合整治，新增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升级农贸市场免费摊位900余个、背街小巷便民摊位300余个，引导摊贩规范经营。出动执法人员6900余人次，规范占道经营3210余起，开展校园周边整治74次，劝导流动摊贩4780余起、出店经营510余处；清理“牛</w:t>
      </w:r>
      <w:r>
        <w:rPr>
          <w:rFonts w:hint="eastAsia" w:ascii="仿宋" w:hAnsi="仿宋" w:eastAsia="仿宋"/>
          <w:color w:val="000000" w:themeColor="text1"/>
          <w:spacing w:val="0"/>
          <w:w w:val="93"/>
          <w:kern w:val="0"/>
          <w:sz w:val="32"/>
          <w:szCs w:val="32"/>
          <w:fitText w:val="8640" w:id="1187325912"/>
          <w14:textFill>
            <w14:solidFill>
              <w14:schemeClr w14:val="tx1"/>
            </w14:solidFill>
          </w14:textFill>
        </w:rPr>
        <w:t>皮癣”小广告5900余起，整治违规户外广告118处，拆除5800</w:t>
      </w:r>
      <w:r>
        <w:rPr>
          <w:rFonts w:hint="eastAsia" w:ascii="仿宋" w:hAnsi="仿宋" w:eastAsia="仿宋"/>
          <w:color w:val="000000" w:themeColor="text1"/>
          <w:spacing w:val="6"/>
          <w:w w:val="93"/>
          <w:kern w:val="0"/>
          <w:sz w:val="32"/>
          <w:szCs w:val="32"/>
          <w:fitText w:val="8640" w:id="1187325912"/>
          <w14:textFill>
            <w14:solidFill>
              <w14:schemeClr w14:val="tx1"/>
            </w14:solidFill>
          </w14:textFill>
        </w:rPr>
        <w:t>平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方米；依法查处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人行道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违法停车2.32万余起，规范非机动车停放2000余辆次，清理“僵尸车”26台，城市市容环境持续向好。</w:t>
      </w:r>
    </w:p>
    <w:p w14:paraId="2CAE36D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3" w:name="OLE_LINK5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</w:t>
      </w:r>
      <w:r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保障市政运行，夯实城市基础设施</w:t>
      </w:r>
    </w:p>
    <w:bookmarkEnd w:id="3"/>
    <w:p w14:paraId="0337EB2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4" w:name="OLE_LINK9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全年累计修复人行道10245平方米、路面7882平方米，维修路缘石481米、雨污水检查井653座、雨水口1535座，清淤疏通排水管道359立方米。进行城区12000余盏路灯排查升级，将600余盏高压钠灯更换为LED节能灯；处理故障报修1658起，确保亮灯率及设施完好率均在98%以上。</w:t>
      </w:r>
    </w:p>
    <w:p w14:paraId="7BCF0B0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</w:t>
      </w:r>
      <w:r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深化污染防治，守护蓝天碧水净土</w:t>
      </w:r>
    </w:p>
    <w:bookmarkEnd w:id="4"/>
    <w:p w14:paraId="12AA0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深化餐饮油烟治理，对环保监测站点三公里内379家餐饮单位（含46家学校食堂）建立动态管理台账，划分16个重点管控片区，落实“分片包保、责任到人”制度。发放宣传资料620余份，累计劝导整改油烟直排、净化设施未正常使用等问题54起，处理投诉21起，约谈商户3次，下达责令整改通知书18份。打造潇水中路餐饮油烟示范街，推动31家大型餐饮单位100%安装油烟净化设施，实现餐饮油烟规范排放。全力推进禁燃管控，构建“宣传引导+重点管控+严格执法”三位一体工作机制，通过手机短信提示市民达30万人次；通过户外显示屏、执法车载喇叭等载体广泛普及禁燃政策，设置宣传标识200余个；出动执法人员3000余人次。加强噪声污染整治，聚焦建筑工地、商业经营、社会生活等重点噪声源，尤其高考期间开展了广场舞等噪音专项整治。规范餐厨垃圾处置，建立餐厨垃圾“统一收运、集中处置”机制，全年收运餐厨垃圾5757.03吨运至静脉产业园集中处理。提速环保项目建设，永州市建筑垃圾资源化利用项目7月正式运营，累计接收建筑垃圾19万吨，生产透水砖等再生产品。城乡生活垃圾收运一体化项目（涉及9个乡镇）已通过竣工验收。</w:t>
      </w:r>
      <w:bookmarkStart w:id="5" w:name="OLE_LINK10"/>
    </w:p>
    <w:p w14:paraId="3E7B0F4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</w:t>
      </w:r>
      <w:r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夯实法治基础，提升依法行政水平</w:t>
      </w:r>
    </w:p>
    <w:bookmarkEnd w:id="5"/>
    <w:p w14:paraId="7670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强化执法队伍专业化建设，开展法律法规解读、执法程序规范、典型案例分析等专题法制培训12次，覆盖400余人次，有效提升执法人员法治素养和业务能力。严格推行行政执法“三项制度”。通过“信用永州”“湖南政务服务网”等平台向社会公开主动公示行政处罚信息66起、行政许可信息110起，全面接受社会监督，保障群众知情权和监督权。</w:t>
      </w:r>
    </w:p>
    <w:p w14:paraId="7E6653F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Style w:val="13"/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6" w:name="OLE_LINK11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（五）</w:t>
      </w:r>
      <w:r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聚焦燃气安全，扛牢安全生产重任</w:t>
      </w:r>
    </w:p>
    <w:bookmarkEnd w:id="6"/>
    <w:p w14:paraId="36AA1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燃气领域全年未发生安全责任事故。局党组组织召开12次专题会议调度部署。在瓶装燃气方面，对全区676家餐饮企业、487家夜市摊贩开展拉网式排查，整改一般隐患131起、重大隐患16起，下达整改通知书65份，实现隐患动态清零；成立2家专业配送公司，配备85台车辆统一运送，落实“上门送气一次、入户安检一次、宣传教育一次”；查处非法运输、违规施工等行为6起，暂扣钢瓶60个，处罚金额4.3万元。在管道燃气方面，湘投燃气建成智慧平台，完成410台调压设备智能化改造、112处阀门井升级等设施提质工程，通过引入智能监测平台，管网运行可靠率达99.36%；为民办实事6件，免费为特殊群体更换燃气波纹管和解压阀200余件。</w:t>
      </w:r>
    </w:p>
    <w:p w14:paraId="37A0FCE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7" w:name="OLE_LINK12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（六）</w:t>
      </w:r>
      <w:r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强化智慧赋能，推进城市管理现代化</w:t>
      </w:r>
    </w:p>
    <w:bookmarkEnd w:id="7"/>
    <w:p w14:paraId="3347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Style w:val="13"/>
          <w:rFonts w:hint="eastAsia" w:ascii="楷体" w:hAnsi="楷体" w:eastAsia="楷体" w:cs="楷体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案件处置高效，2025年智慧城管共受理全区22个平台各类城市管理案件12658件，办结12521件，办结率达99.21%。民生实事超额完成，新增公共停车位222个（任务200个）。智能监管拓展，建成智慧城管视频云广播平台30个点，每日开展语音劝导。在4个供气站点安装监控，专项打击“黑气”。已可视化接入数字城管、智慧燃气、建筑垃圾、餐厨垃圾等8个监管平台。管理触角延伸，推动184名工作人员下沉至18个社区网格，公开联系方式，实现“接诉即办”，打通服务群众“最后一公里”。</w:t>
      </w:r>
    </w:p>
    <w:p w14:paraId="3ABA0EA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13"/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（七）建设地下管网，筑牢城市运行生命线</w:t>
      </w:r>
    </w:p>
    <w:p w14:paraId="1E125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新建改造供水管网24公里、污水管网6公里、燃气管网27.8公里，其中全长636米中心城区首条河流定向钻燃气管道于9月29正日式通气，河东气源成功连接到河西。同时完成河西片区15个小区燃气管网铺设，满足4052户居民燃气开户要求。</w:t>
      </w:r>
    </w:p>
    <w:p w14:paraId="16D6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二、存在的问题</w:t>
      </w:r>
    </w:p>
    <w:p w14:paraId="3B3F4B9A">
      <w:pPr>
        <w:pStyle w:val="10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）项目推进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力度不够。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部分重点项目受资金供给、跨部门协调、规划衔接等多重因素影响，推进进度不及预期。如老旧小区燃气管道改造面临地下管线复杂、居民协调难度大等问题。我局在跨部门协同机制、资金保障链条、群众工作能力等方面存在不少短板。    </w:t>
      </w:r>
    </w:p>
    <w:p w14:paraId="0E190711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color w:val="auto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执法保障支撑不足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现有执法车辆使用年限均超十年，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无法满足日常巡查与应急响应的需求；执法记录仪等关键装备完好率不足40%，影响执法全过程记录制度的有效落实。数字城管指挥中心电子设备卡顿、移动终端故障频发，系统处理与识别性能不佳，严重影响工作效率。另外，专业人才储备短缺，智慧城管、雨污分流治理、燃气等技术密集型领域缺乏专业支撑。</w:t>
      </w:r>
    </w:p>
    <w:p w14:paraId="257A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三、2026年工作计划</w:t>
      </w:r>
    </w:p>
    <w:p w14:paraId="71411BB0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一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深化市容秩序治理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以创建全国文明城市为目标，聚焦7个重点监控视频点位，强化值班值守力量，着力遏制不文明行为</w:t>
      </w:r>
      <w:bookmarkStart w:id="8" w:name="OLE_LINK6"/>
      <w:r>
        <w:rPr>
          <w:rFonts w:hint="eastAsia" w:ascii="仿宋" w:hAnsi="仿宋" w:eastAsia="仿宋"/>
          <w:color w:val="auto"/>
          <w:sz w:val="32"/>
          <w:szCs w:val="32"/>
        </w:rPr>
        <w:t>。优化“12345”政务服务热线办理流程，</w:t>
      </w:r>
      <w:bookmarkEnd w:id="8"/>
      <w:r>
        <w:rPr>
          <w:rFonts w:hint="eastAsia" w:ascii="仿宋" w:hAnsi="仿宋" w:eastAsia="仿宋"/>
          <w:color w:val="auto"/>
          <w:sz w:val="32"/>
          <w:szCs w:val="32"/>
        </w:rPr>
        <w:t>压缩工单流转时间，提高响应办结质量，增强市民幸福感与满意度。大力开展中心城区六乱整治和拆围透绿工作。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坚决取缔影响交通的马路市场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常态化清理“牛皮癣”小广告，深化户外广告提质行动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聚焦学校、医院、商圈、交通枢纽等重点区域，严查机动车违停、非机动车乱放等行为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，推动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智慧城管平台与交警指挥平台数据共享，实现违法信息联动处置。</w:t>
      </w:r>
    </w:p>
    <w:p w14:paraId="6B62C80E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二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聚焦生态环保攻坚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加大雨污分流改造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与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污水收集空白区建设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力度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强化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排水许可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管理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和监管执法，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督促项目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严格按《排水专项规划》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落实雨污分流要求，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提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升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生活污水收集率和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与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处理厂进水浓度。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持续推进实施朝阳片区污水管网改造，完成河西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9个排口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及柳子街居民生活污水直排口的改造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持续推进大气污染防治，深化餐饮油烟及禁燃工作的宣传与巡查执法力度。优化建筑垃圾资源化利用项目运营，加大再生产品市场推广力度，拓宽销售渠道，释放产能效益。</w:t>
      </w:r>
    </w:p>
    <w:p w14:paraId="6065541F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三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推进智慧城管建设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优化和高效利用现有数字城管平台，推进智慧化开展城市运行。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另外，增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智慧水务、智慧垃圾收运、智慧供水等系统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配合省、市完成城市运行管理服务平台建设，构建“大数据”治理格局，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深化</w:t>
      </w:r>
      <w:r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“城市管理进社区”工作。</w:t>
      </w:r>
    </w:p>
    <w:p w14:paraId="7844AB9B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四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抓好城镇燃气和城市运行安全生产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筑牢燃气安全防线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，督促燃气企业履行设施维护、日常巡查、入户安检等法定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职责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，对餐饮等重点行业开展“三抓三查三严”式排查，建立隐患台账动态清零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机制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健全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联合执法机制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，加大对“黑气”打击曝光力度，运用智能监测平台完善全链条安全管理体系。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加强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城区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市政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桥梁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安全管理与维修加固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。推进道路标线、标志标牌更新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重点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优化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事故易发弯道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交通设施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，加快道路隔离栏杆采购与损坏设施维修。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强化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防汛物资储备与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极端天气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应急准备。</w:t>
      </w:r>
    </w:p>
    <w:p w14:paraId="79BDC7C3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强化项目谋划申报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“十五五”期间，我局共谋划16个项目，2026年大力推动3个项目的申报。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/>
          <w:color w:val="auto"/>
          <w:sz w:val="32"/>
          <w:szCs w:val="32"/>
        </w:rPr>
        <w:t>正在积极对接省市区发改部门，计划申报超长期国债及中央预算资金。</w:t>
      </w:r>
    </w:p>
    <w:p w14:paraId="75E3D43D">
      <w:pPr>
        <w:pStyle w:val="10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从严加强自身建设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深化党风廉政教育，强化纪律作风建设，坚决杜绝暴力执法、索拿卡要等行为，提升全员廉洁自律意识。健全监督体系。强化下属单位日常监督，消除监督盲区。严格执纪问责，破除“熟人社会”监督壁垒，对违纪违法问题坚持“零容忍”，开展常态化警示教育。</w:t>
      </w:r>
    </w:p>
    <w:p w14:paraId="16F5F30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</w:p>
    <w:p w14:paraId="2877A1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</w:p>
    <w:p w14:paraId="1914DA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永州市零陵区城市管理和综合执法局</w:t>
      </w:r>
    </w:p>
    <w:p w14:paraId="251339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 xml:space="preserve">                       2026年1月9日</w:t>
      </w:r>
    </w:p>
    <w:p w14:paraId="38368170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B13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9508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9508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32A3"/>
    <w:rsid w:val="032031DE"/>
    <w:rsid w:val="05C75EC8"/>
    <w:rsid w:val="076E6F6A"/>
    <w:rsid w:val="08626C5A"/>
    <w:rsid w:val="094C55D1"/>
    <w:rsid w:val="0BD51943"/>
    <w:rsid w:val="0D740818"/>
    <w:rsid w:val="10290A6C"/>
    <w:rsid w:val="107E469F"/>
    <w:rsid w:val="10F25C10"/>
    <w:rsid w:val="144F4060"/>
    <w:rsid w:val="16B563A0"/>
    <w:rsid w:val="16B87951"/>
    <w:rsid w:val="17544A4F"/>
    <w:rsid w:val="1A584E57"/>
    <w:rsid w:val="1CAC373C"/>
    <w:rsid w:val="1F275F1C"/>
    <w:rsid w:val="2006711A"/>
    <w:rsid w:val="22124DF5"/>
    <w:rsid w:val="23312FB3"/>
    <w:rsid w:val="29FE1E73"/>
    <w:rsid w:val="2AC54021"/>
    <w:rsid w:val="2B7B6DE1"/>
    <w:rsid w:val="2BF252A9"/>
    <w:rsid w:val="2CA049C5"/>
    <w:rsid w:val="2CCC0D0C"/>
    <w:rsid w:val="2DBE1A99"/>
    <w:rsid w:val="31350C4C"/>
    <w:rsid w:val="32CE73F5"/>
    <w:rsid w:val="34332832"/>
    <w:rsid w:val="37221C49"/>
    <w:rsid w:val="37553354"/>
    <w:rsid w:val="38957564"/>
    <w:rsid w:val="39805054"/>
    <w:rsid w:val="39AF6B99"/>
    <w:rsid w:val="3AB363E3"/>
    <w:rsid w:val="3DB63CA3"/>
    <w:rsid w:val="3DE7719F"/>
    <w:rsid w:val="3E643966"/>
    <w:rsid w:val="41BD63B5"/>
    <w:rsid w:val="45ED0FFD"/>
    <w:rsid w:val="48B91E5D"/>
    <w:rsid w:val="49703B8A"/>
    <w:rsid w:val="4B7E172A"/>
    <w:rsid w:val="4E23195E"/>
    <w:rsid w:val="4F155A4F"/>
    <w:rsid w:val="4F3D3F8E"/>
    <w:rsid w:val="5100482F"/>
    <w:rsid w:val="52242626"/>
    <w:rsid w:val="52EC7319"/>
    <w:rsid w:val="54186A87"/>
    <w:rsid w:val="58E24461"/>
    <w:rsid w:val="5B265567"/>
    <w:rsid w:val="5B7446F0"/>
    <w:rsid w:val="5F8E55EA"/>
    <w:rsid w:val="5FBA02F1"/>
    <w:rsid w:val="61A935C5"/>
    <w:rsid w:val="61B628DB"/>
    <w:rsid w:val="6288266D"/>
    <w:rsid w:val="630A5099"/>
    <w:rsid w:val="66B37C34"/>
    <w:rsid w:val="68120A4B"/>
    <w:rsid w:val="69A63060"/>
    <w:rsid w:val="6A652199"/>
    <w:rsid w:val="6CFF3162"/>
    <w:rsid w:val="73A0393C"/>
    <w:rsid w:val="74734E98"/>
    <w:rsid w:val="76B92B53"/>
    <w:rsid w:val="78932BF9"/>
    <w:rsid w:val="78F738FA"/>
    <w:rsid w:val="7A8D0413"/>
    <w:rsid w:val="7AB85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00" w:beforeLines="0" w:beforeAutospacing="0" w:after="200" w:afterLines="0" w:afterAutospacing="0" w:line="413" w:lineRule="auto"/>
      <w:ind w:firstLine="0" w:firstLineChars="0"/>
      <w:outlineLvl w:val="2"/>
    </w:pPr>
    <w:rPr>
      <w:rFonts w:eastAsia="仿宋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szCs w:val="21"/>
    </w:rPr>
  </w:style>
  <w:style w:type="paragraph" w:styleId="3">
    <w:name w:val="toc 5"/>
    <w:basedOn w:val="1"/>
    <w:next w:val="1"/>
    <w:qFormat/>
    <w:uiPriority w:val="0"/>
    <w:pPr>
      <w:ind w:left="800" w:leftChars="800"/>
    </w:pPr>
  </w:style>
  <w:style w:type="paragraph" w:styleId="6">
    <w:name w:val="Normal Indent"/>
    <w:basedOn w:val="1"/>
    <w:qFormat/>
    <w:uiPriority w:val="0"/>
    <w:pPr>
      <w:spacing w:line="600" w:lineRule="exact"/>
      <w:ind w:firstLine="510" w:firstLineChars="200"/>
    </w:pPr>
    <w:rPr>
      <w:rFonts w:eastAsia="仿宋_GB2312"/>
      <w:sz w:val="24"/>
      <w:szCs w:val="2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5683</Words>
  <Characters>5949</Characters>
  <Lines>0</Lines>
  <Paragraphs>0</Paragraphs>
  <TotalTime>11</TotalTime>
  <ScaleCrop>false</ScaleCrop>
  <LinksUpToDate>false</LinksUpToDate>
  <CharactersWithSpaces>5973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2024-12-09T13:46:00Z</dcterms:created>
  <dc:creator>初晓</dc:creator>
  <cp:lastModifiedBy>再来一杯冰可乐</cp:lastModifiedBy>
  <cp:lastPrinted>2026-01-14T08:00:34Z</cp:lastPrinted>
  <dcterms:modified xsi:type="dcterms:W3CDTF">2026-01-14T08:00:37Z</dcterms:modified>
  <dc:title>2025年政府工作报告部门征求意见会议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61832FCA0A79484BB1FB9B12F3DF002B_13</vt:lpwstr>
  </property>
  <property fmtid="{D5CDD505-2E9C-101B-9397-08002B2CF9AE}" pid="4" name="KSOTemplateDocerSaveRecord">
    <vt:lpwstr>eyJoZGlkIjoiZWYxNjhjMWEzNGY5MTNhMWZkMGVhOTE0ODhhOGYyMDQiLCJ1c2VySWQiOiI5ODU1ODcyOTkifQ==</vt:lpwstr>
  </property>
</Properties>
</file>