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D4541">
      <w:pPr>
        <w:rPr>
          <w:rFonts w:hint="default" w:eastAsia="黑体"/>
          <w:sz w:val="32"/>
          <w:szCs w:val="32"/>
        </w:rPr>
      </w:pPr>
      <w:r>
        <w:rPr>
          <w:rFonts w:eastAsia="黑体"/>
          <w:sz w:val="32"/>
          <w:szCs w:val="32"/>
        </w:rPr>
        <w:t>附件</w:t>
      </w:r>
      <w:r>
        <w:rPr>
          <w:rFonts w:hint="default" w:eastAsia="黑体"/>
          <w:sz w:val="32"/>
          <w:szCs w:val="32"/>
        </w:rPr>
        <w:t>3</w:t>
      </w:r>
    </w:p>
    <w:p w14:paraId="70135C43">
      <w:pPr>
        <w:spacing w:line="600" w:lineRule="exact"/>
        <w:rPr>
          <w:rFonts w:eastAsia="黑体"/>
          <w:sz w:val="32"/>
          <w:szCs w:val="32"/>
        </w:rPr>
      </w:pPr>
    </w:p>
    <w:p w14:paraId="2E7D61B6">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default" w:ascii="方正小标宋简体" w:eastAsia="方正小标宋简体"/>
          <w:sz w:val="52"/>
          <w:szCs w:val="52"/>
          <w:lang w:val="en"/>
        </w:rPr>
        <w:t>4</w:t>
      </w:r>
      <w:r>
        <w:rPr>
          <w:rFonts w:hint="eastAsia" w:ascii="方正小标宋简体" w:eastAsia="方正小标宋简体"/>
          <w:sz w:val="52"/>
          <w:szCs w:val="52"/>
        </w:rPr>
        <w:t>年度</w:t>
      </w:r>
      <w:r>
        <w:rPr>
          <w:rFonts w:hint="eastAsia" w:ascii="方正小标宋简体" w:eastAsia="方正小标宋简体"/>
          <w:sz w:val="52"/>
          <w:szCs w:val="52"/>
          <w:lang w:eastAsia="zh-CN"/>
        </w:rPr>
        <w:t>零陵区委组织部</w:t>
      </w:r>
      <w:r>
        <w:rPr>
          <w:rFonts w:hint="eastAsia" w:ascii="方正小标宋简体" w:eastAsia="方正小标宋简体"/>
          <w:sz w:val="52"/>
          <w:szCs w:val="52"/>
        </w:rPr>
        <w:t>整体支出</w:t>
      </w:r>
    </w:p>
    <w:p w14:paraId="31A03E1C">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14:paraId="59C43686">
      <w:pPr>
        <w:jc w:val="center"/>
        <w:rPr>
          <w:rFonts w:eastAsia="方正小标宋_GBK"/>
          <w:b/>
          <w:sz w:val="52"/>
          <w:szCs w:val="52"/>
        </w:rPr>
      </w:pPr>
    </w:p>
    <w:p w14:paraId="1D697BCC">
      <w:pPr>
        <w:jc w:val="center"/>
        <w:rPr>
          <w:rFonts w:eastAsia="楷体_GB2312"/>
          <w:b/>
          <w:sz w:val="32"/>
          <w:szCs w:val="32"/>
        </w:rPr>
      </w:pPr>
    </w:p>
    <w:p w14:paraId="06E8FCFE">
      <w:pPr>
        <w:jc w:val="both"/>
        <w:rPr>
          <w:rFonts w:eastAsia="楷体_GB2312"/>
          <w:b/>
          <w:sz w:val="32"/>
          <w:szCs w:val="32"/>
        </w:rPr>
      </w:pPr>
    </w:p>
    <w:p w14:paraId="1457A3D4">
      <w:pPr>
        <w:jc w:val="center"/>
        <w:rPr>
          <w:rFonts w:eastAsia="黑体"/>
          <w:sz w:val="32"/>
          <w:szCs w:val="32"/>
        </w:rPr>
      </w:pPr>
    </w:p>
    <w:p w14:paraId="6C23F1CC">
      <w:pPr>
        <w:jc w:val="center"/>
        <w:rPr>
          <w:rFonts w:eastAsia="黑体"/>
          <w:sz w:val="32"/>
          <w:szCs w:val="32"/>
        </w:rPr>
      </w:pPr>
    </w:p>
    <w:p w14:paraId="7A5631FA">
      <w:pPr>
        <w:jc w:val="center"/>
        <w:rPr>
          <w:rFonts w:eastAsia="黑体"/>
          <w:sz w:val="32"/>
          <w:szCs w:val="32"/>
        </w:rPr>
      </w:pPr>
    </w:p>
    <w:p w14:paraId="7E64EC2F">
      <w:pPr>
        <w:jc w:val="center"/>
        <w:rPr>
          <w:rFonts w:eastAsia="黑体"/>
          <w:sz w:val="32"/>
          <w:szCs w:val="32"/>
        </w:rPr>
      </w:pPr>
    </w:p>
    <w:p w14:paraId="7AA4976D">
      <w:pPr>
        <w:rPr>
          <w:rFonts w:eastAsia="黑体"/>
          <w:sz w:val="32"/>
          <w:szCs w:val="32"/>
        </w:rPr>
      </w:pPr>
    </w:p>
    <w:p w14:paraId="33E8ABA4">
      <w:pPr>
        <w:jc w:val="center"/>
        <w:rPr>
          <w:rFonts w:eastAsia="黑体"/>
          <w:sz w:val="32"/>
          <w:szCs w:val="32"/>
        </w:rPr>
      </w:pPr>
    </w:p>
    <w:p w14:paraId="1BF6CEF6">
      <w:pPr>
        <w:jc w:val="center"/>
        <w:rPr>
          <w:rFonts w:eastAsia="黑体"/>
          <w:sz w:val="32"/>
          <w:szCs w:val="32"/>
        </w:rPr>
      </w:pPr>
    </w:p>
    <w:p w14:paraId="56635076">
      <w:pPr>
        <w:jc w:val="center"/>
        <w:rPr>
          <w:rFonts w:eastAsia="黑体"/>
          <w:sz w:val="32"/>
          <w:szCs w:val="32"/>
        </w:rPr>
      </w:pPr>
    </w:p>
    <w:p w14:paraId="4EC4BEAE">
      <w:pPr>
        <w:spacing w:line="600" w:lineRule="exact"/>
        <w:ind w:firstLine="1920" w:firstLineChars="600"/>
        <w:rPr>
          <w:rFonts w:eastAsia="仿宋_GB2312"/>
          <w:sz w:val="32"/>
          <w:szCs w:val="32"/>
          <w:u w:val="single"/>
        </w:rPr>
      </w:pPr>
      <w:r>
        <w:rPr>
          <w:rFonts w:eastAsia="仿宋_GB2312"/>
          <w:sz w:val="32"/>
          <w:szCs w:val="32"/>
        </w:rPr>
        <w:t>单位名称：</w:t>
      </w:r>
      <w:r>
        <w:rPr>
          <w:rFonts w:eastAsia="仿宋_GB2312"/>
          <w:sz w:val="32"/>
          <w:szCs w:val="32"/>
          <w:u w:val="single"/>
        </w:rPr>
        <w:t xml:space="preserve"> </w:t>
      </w:r>
      <w:r>
        <w:rPr>
          <w:rFonts w:hint="eastAsia" w:eastAsia="仿宋_GB2312"/>
          <w:sz w:val="32"/>
          <w:szCs w:val="32"/>
          <w:u w:val="single"/>
          <w:lang w:eastAsia="zh-CN"/>
        </w:rPr>
        <w:t>零陵区委组织部</w:t>
      </w:r>
      <w:bookmarkStart w:id="0" w:name="_GoBack"/>
      <w:bookmarkEnd w:id="0"/>
    </w:p>
    <w:p w14:paraId="79E1A9BF">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 xml:space="preserve">年 </w:t>
      </w:r>
      <w:r>
        <w:rPr>
          <w:rFonts w:hint="eastAsia" w:eastAsia="楷体_GB2312"/>
          <w:sz w:val="32"/>
          <w:szCs w:val="32"/>
          <w:lang w:val="en-US" w:eastAsia="zh-CN"/>
        </w:rPr>
        <w:t>7</w:t>
      </w:r>
      <w:r>
        <w:rPr>
          <w:rFonts w:eastAsia="楷体_GB2312"/>
          <w:sz w:val="32"/>
          <w:szCs w:val="32"/>
        </w:rPr>
        <w:t>月</w:t>
      </w:r>
      <w:r>
        <w:rPr>
          <w:rFonts w:hint="eastAsia" w:eastAsia="楷体_GB2312"/>
          <w:sz w:val="32"/>
          <w:szCs w:val="32"/>
          <w:lang w:val="en-US" w:eastAsia="zh-CN"/>
        </w:rPr>
        <w:t>10</w:t>
      </w:r>
      <w:r>
        <w:rPr>
          <w:rFonts w:eastAsia="楷体_GB2312"/>
          <w:sz w:val="32"/>
          <w:szCs w:val="32"/>
        </w:rPr>
        <w:t>日</w:t>
      </w:r>
    </w:p>
    <w:p w14:paraId="6360E9B6">
      <w:pPr>
        <w:jc w:val="center"/>
        <w:rPr>
          <w:rFonts w:eastAsia="黑体"/>
          <w:sz w:val="32"/>
          <w:szCs w:val="32"/>
        </w:rPr>
      </w:pPr>
    </w:p>
    <w:p w14:paraId="5344AA1F">
      <w:pPr>
        <w:jc w:val="center"/>
        <w:rPr>
          <w:rFonts w:eastAsia="仿宋_GB2312"/>
          <w:sz w:val="32"/>
          <w:szCs w:val="32"/>
        </w:rPr>
      </w:pPr>
      <w:r>
        <w:rPr>
          <w:rFonts w:eastAsia="仿宋_GB2312"/>
          <w:sz w:val="32"/>
          <w:szCs w:val="32"/>
        </w:rPr>
        <w:t>（此页为封面）</w:t>
      </w:r>
    </w:p>
    <w:p w14:paraId="63ABD374">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42CD8EE3">
      <w:pPr>
        <w:keepNext w:val="0"/>
        <w:keepLines w:val="0"/>
        <w:pageBreakBefore w:val="0"/>
        <w:widowControl w:val="0"/>
        <w:shd w:val="clear" w:color="auto" w:fill="FFFFFF"/>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（一）部门（单位）职能职责、机构编制、人员构成等。</w:t>
      </w:r>
    </w:p>
    <w:p w14:paraId="28381BD2">
      <w:pPr>
        <w:pStyle w:val="2"/>
        <w:keepNext w:val="0"/>
        <w:keepLines w:val="0"/>
        <w:pageBreakBefore w:val="0"/>
        <w:tabs>
          <w:tab w:val="left" w:pos="762"/>
        </w:tabs>
        <w:kinsoku/>
        <w:wordWrap/>
        <w:overflowPunct/>
        <w:topLinePunct w:val="0"/>
        <w:autoSpaceDE/>
        <w:autoSpaceDN/>
        <w:bidi w:val="0"/>
        <w:spacing w:before="0" w:beforeAutospacing="0" w:after="0" w:afterAutospacing="0" w:line="500" w:lineRule="exact"/>
        <w:textAlignment w:val="auto"/>
        <w:rPr>
          <w:rFonts w:eastAsia="仿宋_GB2312"/>
        </w:rPr>
      </w:pPr>
      <w:r>
        <w:rPr>
          <w:rFonts w:hint="eastAsia" w:ascii="仿宋_GB2312" w:eastAsia="仿宋_GB2312"/>
          <w:sz w:val="32"/>
          <w:szCs w:val="32"/>
        </w:rPr>
        <w:t>1、职能职责</w:t>
      </w:r>
    </w:p>
    <w:p w14:paraId="633C6F99">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 1 \* GB3 \* MERGEFORMAT </w:instrText>
      </w:r>
      <w:r>
        <w:rPr>
          <w:rFonts w:hint="eastAsia" w:ascii="仿宋_GB2312" w:hAnsi="仿宋" w:eastAsia="仿宋_GB2312"/>
          <w:sz w:val="32"/>
          <w:szCs w:val="32"/>
        </w:rPr>
        <w:fldChar w:fldCharType="separate"/>
      </w:r>
      <w:r>
        <w:rPr>
          <w:rFonts w:hint="eastAsia" w:ascii="仿宋_GB2312" w:hAnsi="仿宋" w:eastAsia="仿宋_GB2312"/>
          <w:sz w:val="32"/>
          <w:szCs w:val="32"/>
        </w:rPr>
        <w:t>①</w:t>
      </w:r>
      <w:r>
        <w:rPr>
          <w:rFonts w:hint="eastAsia" w:ascii="仿宋_GB2312" w:hAnsi="仿宋" w:eastAsia="仿宋_GB2312"/>
          <w:sz w:val="32"/>
          <w:szCs w:val="32"/>
        </w:rPr>
        <w:fldChar w:fldCharType="end"/>
      </w:r>
      <w:r>
        <w:rPr>
          <w:rFonts w:hint="eastAsia" w:ascii="仿宋_GB2312" w:hAnsi="仿宋" w:eastAsia="仿宋_GB2312"/>
          <w:sz w:val="32"/>
          <w:szCs w:val="32"/>
        </w:rPr>
        <w:t>、负责研究和指导党组织建设，制订加强党的组织建设的意见和措施；会同有关部门对各乡镇和区委管理的行政、企事业单位党委换届选举及各单位党委（党组）民主生活会进行指导；研究指导党的基层组织建设以及党组织的设置原则、隶属关系和活动内容、工作方式；研究、指导党员队伍建设，指导、协调党员教育工作，主管党员管理和发展；组织和开展新形势下党的理论研究。</w:t>
      </w:r>
    </w:p>
    <w:p w14:paraId="485C9FA4">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 2 \* GB3 \* MERGEFORMAT </w:instrText>
      </w:r>
      <w:r>
        <w:rPr>
          <w:rFonts w:hint="eastAsia" w:ascii="仿宋_GB2312" w:hAnsi="仿宋" w:eastAsia="仿宋_GB2312"/>
          <w:sz w:val="32"/>
          <w:szCs w:val="32"/>
        </w:rPr>
        <w:fldChar w:fldCharType="separate"/>
      </w:r>
      <w:r>
        <w:rPr>
          <w:rFonts w:hint="eastAsia" w:ascii="仿宋_GB2312" w:hAnsi="仿宋" w:eastAsia="仿宋_GB2312"/>
          <w:sz w:val="32"/>
          <w:szCs w:val="32"/>
        </w:rPr>
        <w:t>②</w:t>
      </w:r>
      <w:r>
        <w:rPr>
          <w:rFonts w:hint="eastAsia" w:ascii="仿宋_GB2312" w:hAnsi="仿宋" w:eastAsia="仿宋_GB2312"/>
          <w:sz w:val="32"/>
          <w:szCs w:val="32"/>
        </w:rPr>
        <w:fldChar w:fldCharType="end"/>
      </w:r>
      <w:r>
        <w:rPr>
          <w:rFonts w:hint="eastAsia" w:ascii="仿宋_GB2312" w:hAnsi="仿宋" w:eastAsia="仿宋_GB2312"/>
          <w:sz w:val="32"/>
          <w:szCs w:val="32"/>
        </w:rPr>
        <w:t>、负责干部队伍建设的宏观管理，制订和参与制订组织、干部、人事工作的重要规章和制度，并对重要经验进行总结推介；会同有关部门研究制订适应现代企业制度要求的国有企业领导班子和企业经营管理队伍建设的规范性文件，提出加强宏观指导的意见和建议。加强领导班子和领导干部队伍特别是优秀年轻干部队伍建设职能。</w:t>
      </w:r>
    </w:p>
    <w:p w14:paraId="6116855A">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 3 \* GB3 \* MERGEFORMAT </w:instrText>
      </w:r>
      <w:r>
        <w:rPr>
          <w:rFonts w:hint="eastAsia" w:ascii="仿宋_GB2312" w:hAnsi="仿宋" w:eastAsia="仿宋_GB2312"/>
          <w:sz w:val="32"/>
          <w:szCs w:val="32"/>
        </w:rPr>
        <w:fldChar w:fldCharType="separate"/>
      </w:r>
      <w:r>
        <w:rPr>
          <w:rFonts w:hint="eastAsia" w:ascii="仿宋_GB2312" w:hAnsi="仿宋" w:eastAsia="仿宋_GB2312"/>
          <w:sz w:val="32"/>
          <w:szCs w:val="32"/>
        </w:rPr>
        <w:t>③</w:t>
      </w:r>
      <w:r>
        <w:rPr>
          <w:rFonts w:hint="eastAsia" w:ascii="仿宋_GB2312" w:hAnsi="仿宋" w:eastAsia="仿宋_GB2312"/>
          <w:sz w:val="32"/>
          <w:szCs w:val="32"/>
        </w:rPr>
        <w:fldChar w:fldCharType="end"/>
      </w:r>
      <w:r>
        <w:rPr>
          <w:rFonts w:hint="eastAsia" w:ascii="仿宋_GB2312" w:hAnsi="仿宋" w:eastAsia="仿宋_GB2312"/>
          <w:sz w:val="32"/>
          <w:szCs w:val="32"/>
        </w:rPr>
        <w:t>、提出各乡镇、办事处和区直部委办局以及其他列入区委管理的领导班子调整、配备的意见的建议；负责区委管理干部考察、任免、工资、待遇、出国（境 ）、退（离）休审批手续的办理，负责区级领导班子换届选举和届中调整的有关工作；承办跨局、跨乡镇、办事处区管干部的调整、交流及安置工作；负责全区干部公开选拔工作的宏观指导，承办副科级以上干部公开选拔的具体工作；指导国家公务员制度的实施，负责全区党委、人大、政协、群众团体等机关参照国家公务员制度管理的宏观指导与组织协调；组织落实培养选拔中青年干部、妇女干部、少数民族干部、党外干部的有关规划和方案；指导各乡镇、办事处和区直部委办局领导班子的思想作风建设。</w:t>
      </w:r>
    </w:p>
    <w:p w14:paraId="6305D791">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 4 \* GB3 \* MERGEFORMAT </w:instrText>
      </w:r>
      <w:r>
        <w:rPr>
          <w:rFonts w:hint="eastAsia" w:ascii="仿宋_GB2312" w:hAnsi="仿宋" w:eastAsia="仿宋_GB2312"/>
          <w:sz w:val="32"/>
          <w:szCs w:val="32"/>
        </w:rPr>
        <w:fldChar w:fldCharType="separate"/>
      </w:r>
      <w:r>
        <w:rPr>
          <w:rFonts w:hint="eastAsia" w:ascii="仿宋_GB2312" w:hAnsi="仿宋" w:eastAsia="仿宋_GB2312"/>
          <w:sz w:val="32"/>
          <w:szCs w:val="32"/>
        </w:rPr>
        <w:t>④</w:t>
      </w:r>
      <w:r>
        <w:rPr>
          <w:rFonts w:hint="eastAsia" w:ascii="仿宋_GB2312" w:hAnsi="仿宋" w:eastAsia="仿宋_GB2312"/>
          <w:sz w:val="32"/>
          <w:szCs w:val="32"/>
        </w:rPr>
        <w:fldChar w:fldCharType="end"/>
      </w:r>
      <w:r>
        <w:rPr>
          <w:rFonts w:hint="eastAsia" w:ascii="仿宋_GB2312" w:hAnsi="仿宋" w:eastAsia="仿宋_GB2312"/>
          <w:sz w:val="32"/>
          <w:szCs w:val="32"/>
        </w:rPr>
        <w:t>、研究制订全区组织管理信息系统建设规划，指导全区组织系统信息网络建设；负责全区干部档案、党内统计、干部统计的宏观指导与协调工作。</w:t>
      </w:r>
    </w:p>
    <w:p w14:paraId="669BF4D8">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 5 \* GB3 \* MERGEFORMAT </w:instrText>
      </w:r>
      <w:r>
        <w:rPr>
          <w:rFonts w:hint="eastAsia" w:ascii="仿宋_GB2312" w:hAnsi="仿宋" w:eastAsia="仿宋_GB2312"/>
          <w:sz w:val="32"/>
          <w:szCs w:val="32"/>
        </w:rPr>
        <w:fldChar w:fldCharType="separate"/>
      </w:r>
      <w:r>
        <w:rPr>
          <w:rFonts w:hint="eastAsia" w:ascii="仿宋_GB2312" w:hAnsi="仿宋" w:eastAsia="仿宋_GB2312"/>
          <w:sz w:val="32"/>
          <w:szCs w:val="32"/>
        </w:rPr>
        <w:t>⑤</w:t>
      </w:r>
      <w:r>
        <w:rPr>
          <w:rFonts w:hint="eastAsia" w:ascii="仿宋_GB2312" w:hAnsi="仿宋" w:eastAsia="仿宋_GB2312"/>
          <w:sz w:val="32"/>
          <w:szCs w:val="32"/>
        </w:rPr>
        <w:fldChar w:fldCharType="end"/>
      </w:r>
      <w:r>
        <w:rPr>
          <w:rFonts w:hint="eastAsia" w:ascii="仿宋_GB2312" w:hAnsi="仿宋" w:eastAsia="仿宋_GB2312"/>
          <w:sz w:val="32"/>
          <w:szCs w:val="32"/>
        </w:rPr>
        <w:t>、负责干部监督工作的宏观指导，负责党建工作和干部工作的督促检查，及时向市委组织部和区委反映重要情况，对反映领导班子和领导干部的重要问题进行调查了解和督办；负责对副科以上党政领导干部和干部选拔作用工作进行监督，对有关监督制度的落实情况进行督查，对市委和区委管理的干部的历史遗留问题进行初审和审查；组织、协调副科级党政领导干部经济责任审计工作。</w:t>
      </w:r>
    </w:p>
    <w:p w14:paraId="2DEB399D">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 6 \* GB3 \* MERGEFORMAT </w:instrText>
      </w:r>
      <w:r>
        <w:rPr>
          <w:rFonts w:hint="eastAsia" w:ascii="仿宋_GB2312" w:hAnsi="仿宋" w:eastAsia="仿宋_GB2312"/>
          <w:sz w:val="32"/>
          <w:szCs w:val="32"/>
        </w:rPr>
        <w:fldChar w:fldCharType="separate"/>
      </w:r>
      <w:r>
        <w:rPr>
          <w:rFonts w:hint="eastAsia" w:ascii="仿宋_GB2312" w:hAnsi="仿宋" w:eastAsia="仿宋_GB2312"/>
          <w:sz w:val="32"/>
          <w:szCs w:val="32"/>
        </w:rPr>
        <w:t>⑥</w:t>
      </w:r>
      <w:r>
        <w:rPr>
          <w:rFonts w:hint="eastAsia" w:ascii="仿宋_GB2312" w:hAnsi="仿宋" w:eastAsia="仿宋_GB2312"/>
          <w:sz w:val="32"/>
          <w:szCs w:val="32"/>
        </w:rPr>
        <w:fldChar w:fldCharType="end"/>
      </w:r>
      <w:r>
        <w:rPr>
          <w:rFonts w:hint="eastAsia" w:ascii="仿宋_GB2312" w:hAnsi="仿宋" w:eastAsia="仿宋_GB2312"/>
          <w:sz w:val="32"/>
          <w:szCs w:val="32"/>
        </w:rPr>
        <w:t>、制订干部教育工作规划，组织、协调市管、区管干部和部分中青年干部的培训；指导、协调市管、区管干部和部分中青年干部的培训；指导、协调、检查各乡镇、办事处和区直部委办局的干部教育工作。</w:t>
      </w:r>
    </w:p>
    <w:p w14:paraId="3E73134D">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 7 \* GB3 \* MERGEFORMAT </w:instrText>
      </w:r>
      <w:r>
        <w:rPr>
          <w:rFonts w:hint="eastAsia" w:ascii="仿宋_GB2312" w:hAnsi="仿宋" w:eastAsia="仿宋_GB2312"/>
          <w:sz w:val="32"/>
          <w:szCs w:val="32"/>
        </w:rPr>
        <w:fldChar w:fldCharType="separate"/>
      </w:r>
      <w:r>
        <w:rPr>
          <w:rFonts w:hint="eastAsia" w:ascii="仿宋_GB2312" w:hAnsi="仿宋" w:eastAsia="仿宋_GB2312"/>
          <w:sz w:val="32"/>
          <w:szCs w:val="32"/>
        </w:rPr>
        <w:t>⑦</w:t>
      </w:r>
      <w:r>
        <w:rPr>
          <w:rFonts w:hint="eastAsia" w:ascii="仿宋_GB2312" w:hAnsi="仿宋" w:eastAsia="仿宋_GB2312"/>
          <w:sz w:val="32"/>
          <w:szCs w:val="32"/>
        </w:rPr>
        <w:fldChar w:fldCharType="end"/>
      </w:r>
      <w:r>
        <w:rPr>
          <w:rFonts w:hint="eastAsia" w:ascii="仿宋_GB2312" w:hAnsi="仿宋" w:eastAsia="仿宋_GB2312"/>
          <w:sz w:val="32"/>
          <w:szCs w:val="32"/>
        </w:rPr>
        <w:t>、制订和参与制订知识分子工作的有关规定，指导协调、检查知识分子工作，指导并组织部分优秀专家开展有关活动。</w:t>
      </w:r>
    </w:p>
    <w:p w14:paraId="02F83209">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 8 \* GB3 \* MERGEFORMAT </w:instrText>
      </w:r>
      <w:r>
        <w:rPr>
          <w:rFonts w:hint="eastAsia" w:ascii="仿宋_GB2312" w:hAnsi="仿宋" w:eastAsia="仿宋_GB2312"/>
          <w:sz w:val="32"/>
          <w:szCs w:val="32"/>
        </w:rPr>
        <w:fldChar w:fldCharType="separate"/>
      </w:r>
      <w:r>
        <w:rPr>
          <w:rFonts w:hint="eastAsia" w:ascii="仿宋_GB2312" w:hAnsi="仿宋" w:eastAsia="仿宋_GB2312"/>
          <w:sz w:val="32"/>
          <w:szCs w:val="32"/>
        </w:rPr>
        <w:t>⑧</w:t>
      </w:r>
      <w:r>
        <w:rPr>
          <w:rFonts w:hint="eastAsia" w:ascii="仿宋_GB2312" w:hAnsi="仿宋" w:eastAsia="仿宋_GB2312"/>
          <w:sz w:val="32"/>
          <w:szCs w:val="32"/>
        </w:rPr>
        <w:fldChar w:fldCharType="end"/>
      </w:r>
      <w:r>
        <w:rPr>
          <w:rFonts w:hint="eastAsia" w:ascii="仿宋_GB2312" w:hAnsi="仿宋" w:eastAsia="仿宋_GB2312"/>
          <w:sz w:val="32"/>
          <w:szCs w:val="32"/>
        </w:rPr>
        <w:t>、公务员管理职能。拟制公务员工资福利政策措施、机关公务员工资统发审核、区直行政机关公务员及相关参照公务员法管理单位工作人员调配等有关职能。</w:t>
      </w:r>
    </w:p>
    <w:p w14:paraId="42659F20">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⑨、负责全区离休干部和副处级以上退休干部的组织协调工作</w:t>
      </w:r>
    </w:p>
    <w:p w14:paraId="68968C1E">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⑩、承办区委和市委组织部交办的其他事项。</w:t>
      </w:r>
    </w:p>
    <w:p w14:paraId="5DC7A807">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 2、零陵区委组织部内设机构为15个：办公室、干部室（干部队伍建设规划办公室）、研究室（法规室）、公务员一室、公务员二室、老干部室（区关心下一代工作委员会办公室）、干部教育监督工作室（举报中心、巡察工作联络办公室）、干部信息室、区委人才工作办公室、区委基层党建工作领导小组办公室、区委非公有制经济组织和社会组织工作委员会办公室、组织指导室、党员管理室（党代表联络工作办公室）、机关党建室、驻村帮扶管理办公室。</w:t>
      </w:r>
    </w:p>
    <w:p w14:paraId="6DEEA40A">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3．人员情况，2023年本单位年末实有人数</w:t>
      </w:r>
      <w:r>
        <w:rPr>
          <w:rFonts w:hint="eastAsia" w:ascii="仿宋_GB2312" w:hAnsi="仿宋" w:eastAsia="仿宋_GB2312"/>
          <w:sz w:val="32"/>
          <w:szCs w:val="32"/>
          <w:lang w:val="en-US" w:eastAsia="zh-CN"/>
        </w:rPr>
        <w:t>61</w:t>
      </w:r>
      <w:r>
        <w:rPr>
          <w:rFonts w:hint="eastAsia" w:ascii="仿宋_GB2312" w:hAnsi="仿宋" w:eastAsia="仿宋_GB2312"/>
          <w:sz w:val="32"/>
          <w:szCs w:val="32"/>
        </w:rPr>
        <w:t>人。</w:t>
      </w:r>
    </w:p>
    <w:p w14:paraId="4A3C1506">
      <w:pPr>
        <w:keepNext w:val="0"/>
        <w:keepLines w:val="0"/>
        <w:pageBreakBefore w:val="0"/>
        <w:kinsoku/>
        <w:wordWrap/>
        <w:overflowPunct/>
        <w:topLinePunct w:val="0"/>
        <w:autoSpaceDE/>
        <w:autoSpaceDN/>
        <w:bidi w:val="0"/>
        <w:spacing w:line="500" w:lineRule="exact"/>
        <w:ind w:firstLine="640" w:firstLineChars="200"/>
        <w:textAlignment w:val="auto"/>
        <w:rPr>
          <w:rFonts w:hint="eastAsia" w:eastAsia="仿宋_GB2312"/>
          <w:color w:val="000000"/>
          <w:sz w:val="32"/>
          <w:szCs w:val="32"/>
        </w:rPr>
      </w:pPr>
      <w:r>
        <w:rPr>
          <w:rFonts w:hint="eastAsia" w:ascii="仿宋_GB2312" w:eastAsia="仿宋_GB2312"/>
          <w:sz w:val="32"/>
          <w:szCs w:val="32"/>
        </w:rPr>
        <w:t>（二）部门（单位）整体支出规模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14:paraId="1683420A">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2024年本单位收入实际完成6154.15万元，比上年增加4575.4万元，增加289.81</w:t>
      </w:r>
      <w:r>
        <w:rPr>
          <w:rFonts w:hint="eastAsia" w:ascii="仿宋_GB2312" w:hAnsi="仿宋" w:eastAsia="仿宋_GB2312"/>
          <w:sz w:val="32"/>
          <w:szCs w:val="32"/>
          <w:lang w:val="zh-CN"/>
        </w:rPr>
        <w:t>%</w:t>
      </w:r>
      <w:r>
        <w:rPr>
          <w:rFonts w:hint="eastAsia" w:ascii="仿宋_GB2312" w:hAnsi="仿宋" w:eastAsia="仿宋_GB2312"/>
          <w:sz w:val="32"/>
          <w:szCs w:val="32"/>
        </w:rPr>
        <w:t>。</w:t>
      </w:r>
      <w:r>
        <w:rPr>
          <w:rFonts w:hint="eastAsia" w:ascii="仿宋_GB2312" w:hAnsi="仿宋" w:eastAsia="仿宋_GB2312"/>
          <w:sz w:val="32"/>
          <w:szCs w:val="32"/>
          <w:lang w:val="zh-CN"/>
        </w:rPr>
        <w:t>变化</w:t>
      </w:r>
      <w:r>
        <w:rPr>
          <w:rFonts w:hint="eastAsia" w:ascii="仿宋_GB2312" w:hAnsi="仿宋" w:eastAsia="仿宋_GB2312"/>
          <w:sz w:val="32"/>
          <w:szCs w:val="32"/>
        </w:rPr>
        <w:t>主要原因是：单位事权调整，新增拨付全区村社区村主干工资。</w:t>
      </w:r>
    </w:p>
    <w:p w14:paraId="6D09A6E6">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2024年本单位支出实际完成6154.15万元，比上年增加4575.4万元，增加289.81</w:t>
      </w:r>
      <w:r>
        <w:rPr>
          <w:rFonts w:hint="eastAsia" w:ascii="仿宋_GB2312" w:hAnsi="仿宋" w:eastAsia="仿宋_GB2312"/>
          <w:sz w:val="32"/>
          <w:szCs w:val="32"/>
          <w:lang w:val="zh-CN"/>
        </w:rPr>
        <w:t>%</w:t>
      </w:r>
      <w:r>
        <w:rPr>
          <w:rFonts w:hint="eastAsia" w:ascii="仿宋_GB2312" w:hAnsi="仿宋" w:eastAsia="仿宋_GB2312"/>
          <w:sz w:val="32"/>
          <w:szCs w:val="32"/>
        </w:rPr>
        <w:t>。</w:t>
      </w:r>
      <w:r>
        <w:rPr>
          <w:rFonts w:hint="eastAsia" w:ascii="仿宋_GB2312" w:hAnsi="仿宋" w:eastAsia="仿宋_GB2312"/>
          <w:sz w:val="32"/>
          <w:szCs w:val="32"/>
          <w:lang w:val="zh-CN"/>
        </w:rPr>
        <w:t>变化</w:t>
      </w:r>
      <w:r>
        <w:rPr>
          <w:rFonts w:hint="eastAsia" w:ascii="仿宋_GB2312" w:hAnsi="仿宋" w:eastAsia="仿宋_GB2312"/>
          <w:sz w:val="32"/>
          <w:szCs w:val="32"/>
        </w:rPr>
        <w:t>主要原因是：单位事权调整，新增拨付全区村社区村主干工资。</w:t>
      </w:r>
    </w:p>
    <w:p w14:paraId="3F08FC2C">
      <w:pPr>
        <w:keepNext w:val="0"/>
        <w:keepLines w:val="0"/>
        <w:pageBreakBefore w:val="0"/>
        <w:kinsoku/>
        <w:wordWrap/>
        <w:overflowPunct/>
        <w:topLinePunct w:val="0"/>
        <w:autoSpaceDE/>
        <w:autoSpaceDN/>
        <w:bidi w:val="0"/>
        <w:adjustRightInd w:val="0"/>
        <w:snapToGrid w:val="0"/>
        <w:spacing w:line="500" w:lineRule="exact"/>
        <w:ind w:firstLine="640"/>
        <w:textAlignment w:val="auto"/>
        <w:rPr>
          <w:rFonts w:hint="eastAsia" w:ascii="仿宋_GB2312" w:hAnsi="仿宋" w:eastAsia="仿宋_GB2312"/>
          <w:sz w:val="32"/>
          <w:szCs w:val="32"/>
        </w:rPr>
      </w:pPr>
      <w:r>
        <w:rPr>
          <w:rFonts w:hint="eastAsia" w:ascii="仿宋_GB2312" w:hAnsi="仿宋" w:eastAsia="仿宋_GB2312"/>
          <w:sz w:val="32"/>
          <w:szCs w:val="32"/>
        </w:rPr>
        <w:t>“三公”经费支出情况：2024年“三公”经费预算为9万元，2024年度“三公”经费为0.89万元，其中公务接待费0.89万元，与2023年相比减少5.1万元，减少85%，公务接待8批次及人数75余人。</w:t>
      </w:r>
    </w:p>
    <w:p w14:paraId="29664986">
      <w:pPr>
        <w:pStyle w:val="7"/>
        <w:keepNext w:val="0"/>
        <w:keepLines w:val="0"/>
        <w:pageBreakBefore w:val="0"/>
        <w:kinsoku/>
        <w:wordWrap/>
        <w:overflowPunct/>
        <w:topLinePunct w:val="0"/>
        <w:autoSpaceDE/>
        <w:autoSpaceDN/>
        <w:bidi w:val="0"/>
        <w:spacing w:line="50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4A2B7449">
      <w:pPr>
        <w:pStyle w:val="7"/>
        <w:keepNext w:val="0"/>
        <w:keepLines w:val="0"/>
        <w:pageBreakBefore w:val="0"/>
        <w:kinsoku/>
        <w:wordWrap/>
        <w:overflowPunct/>
        <w:topLinePunct w:val="0"/>
        <w:autoSpaceDE/>
        <w:autoSpaceDN/>
        <w:bidi w:val="0"/>
        <w:spacing w:line="50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（一）基本支出情况</w:t>
      </w:r>
    </w:p>
    <w:p w14:paraId="5C59884C">
      <w:pPr>
        <w:pStyle w:val="7"/>
        <w:keepNext w:val="0"/>
        <w:keepLines w:val="0"/>
        <w:pageBreakBefore w:val="0"/>
        <w:kinsoku/>
        <w:wordWrap/>
        <w:overflowPunct/>
        <w:topLinePunct w:val="0"/>
        <w:autoSpaceDE/>
        <w:autoSpaceDN/>
        <w:bidi w:val="0"/>
        <w:spacing w:line="500" w:lineRule="exact"/>
        <w:ind w:firstLine="640"/>
        <w:textAlignment w:val="auto"/>
        <w:rPr>
          <w:rFonts w:ascii="Times New Roman" w:hAnsi="Times New Roman" w:eastAsia="仿宋_GB2312"/>
          <w:sz w:val="32"/>
          <w:szCs w:val="32"/>
        </w:rPr>
      </w:pPr>
      <w:r>
        <w:rPr>
          <w:rFonts w:hint="eastAsia" w:ascii="仿宋_GB2312" w:hAnsi="仿宋" w:eastAsia="仿宋_GB2312"/>
          <w:sz w:val="32"/>
          <w:szCs w:val="32"/>
        </w:rPr>
        <w:t>2024年本单位基本支出1170.15万元，包括人员支出861.29万元，占73.6%，包括：基本工资、津贴补贴、奖金、伙食补助费、绩效工资、机关事业单位基本养老保险缴费、抚恤金、生活补助、奖励金等。公用支出308.86万元，占26.4%，包括：办公费、印刷费、邮电费、差旅费、维修费、培训费、会议费、劳务费、公务接待费、其他商品和服务支出、办公设备购置费等。</w:t>
      </w:r>
    </w:p>
    <w:p w14:paraId="28810719">
      <w:pPr>
        <w:pStyle w:val="7"/>
        <w:keepNext w:val="0"/>
        <w:keepLines w:val="0"/>
        <w:pageBreakBefore w:val="0"/>
        <w:numPr>
          <w:ilvl w:val="0"/>
          <w:numId w:val="1"/>
        </w:numPr>
        <w:kinsoku/>
        <w:wordWrap/>
        <w:overflowPunct/>
        <w:topLinePunct w:val="0"/>
        <w:autoSpaceDE/>
        <w:autoSpaceDN/>
        <w:bidi w:val="0"/>
        <w:spacing w:line="50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项目支出情况</w:t>
      </w:r>
    </w:p>
    <w:p w14:paraId="7A2BDB40">
      <w:pPr>
        <w:keepNext w:val="0"/>
        <w:keepLines w:val="0"/>
        <w:pageBreakBefore w:val="0"/>
        <w:kinsoku/>
        <w:wordWrap/>
        <w:overflowPunct/>
        <w:topLinePunct w:val="0"/>
        <w:autoSpaceDE/>
        <w:autoSpaceDN/>
        <w:bidi w:val="0"/>
        <w:adjustRightInd w:val="0"/>
        <w:snapToGrid w:val="0"/>
        <w:spacing w:line="5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仿宋_GB2312" w:hAnsi="仿宋" w:eastAsia="仿宋_GB2312"/>
          <w:sz w:val="32"/>
          <w:szCs w:val="32"/>
        </w:rPr>
        <w:t>2024年本单位项目支出4984万元，包括：全区村社区主干和离任村主干待遇</w:t>
      </w:r>
      <w:r>
        <w:rPr>
          <w:rFonts w:hint="eastAsia" w:ascii="仿宋_GB2312" w:hAnsi="仿宋" w:eastAsia="仿宋_GB2312"/>
          <w:sz w:val="32"/>
          <w:szCs w:val="32"/>
          <w:lang w:val="en-US" w:eastAsia="zh-CN"/>
        </w:rPr>
        <w:t>4883.75万元；</w:t>
      </w:r>
      <w:r>
        <w:rPr>
          <w:rFonts w:hint="eastAsia" w:ascii="仿宋_GB2312" w:hAnsi="仿宋" w:eastAsia="仿宋_GB2312"/>
          <w:sz w:val="32"/>
          <w:szCs w:val="32"/>
        </w:rPr>
        <w:t>选调生一次性生活补助</w:t>
      </w:r>
      <w:r>
        <w:rPr>
          <w:rFonts w:hint="eastAsia" w:ascii="仿宋_GB2312" w:hAnsi="仿宋" w:eastAsia="仿宋_GB2312"/>
          <w:sz w:val="32"/>
          <w:szCs w:val="32"/>
          <w:lang w:val="en-US" w:eastAsia="zh-CN"/>
        </w:rPr>
        <w:t>19万元</w:t>
      </w:r>
      <w:r>
        <w:rPr>
          <w:rFonts w:hint="eastAsia" w:ascii="仿宋_GB2312" w:hAnsi="仿宋" w:eastAsia="仿宋_GB2312"/>
          <w:sz w:val="32"/>
          <w:szCs w:val="32"/>
        </w:rPr>
        <w:t>、全区公务员考核奖励和全区领导干部考核奖励</w:t>
      </w:r>
      <w:r>
        <w:rPr>
          <w:rFonts w:hint="eastAsia" w:ascii="仿宋_GB2312" w:hAnsi="仿宋" w:eastAsia="仿宋_GB2312"/>
          <w:sz w:val="32"/>
          <w:szCs w:val="32"/>
          <w:lang w:val="en-US" w:eastAsia="zh-CN"/>
        </w:rPr>
        <w:t>77.25万元；科技特派员经费4万元</w:t>
      </w:r>
      <w:r>
        <w:rPr>
          <w:rFonts w:hint="eastAsia" w:ascii="仿宋_GB2312" w:hAnsi="仿宋" w:eastAsia="仿宋_GB2312"/>
          <w:sz w:val="32"/>
          <w:szCs w:val="32"/>
          <w:lang w:eastAsia="zh-CN"/>
        </w:rPr>
        <w:t>。</w:t>
      </w:r>
    </w:p>
    <w:p w14:paraId="62405E59">
      <w:pPr>
        <w:pStyle w:val="7"/>
        <w:keepNext w:val="0"/>
        <w:keepLines w:val="0"/>
        <w:pageBreakBefore w:val="0"/>
        <w:numPr>
          <w:ilvl w:val="0"/>
          <w:numId w:val="2"/>
        </w:numPr>
        <w:kinsoku/>
        <w:wordWrap/>
        <w:overflowPunct/>
        <w:topLinePunct w:val="0"/>
        <w:autoSpaceDE/>
        <w:autoSpaceDN/>
        <w:bidi w:val="0"/>
        <w:spacing w:line="50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7F1C443E">
      <w:pPr>
        <w:pStyle w:val="7"/>
        <w:keepNext w:val="0"/>
        <w:keepLines w:val="0"/>
        <w:pageBreakBefore w:val="0"/>
        <w:numPr>
          <w:ilvl w:val="0"/>
          <w:numId w:val="0"/>
        </w:numPr>
        <w:kinsoku/>
        <w:wordWrap/>
        <w:overflowPunct/>
        <w:topLinePunct w:val="0"/>
        <w:autoSpaceDE/>
        <w:autoSpaceDN/>
        <w:bidi w:val="0"/>
        <w:spacing w:line="500"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14:paraId="423F1F4E">
      <w:pPr>
        <w:pStyle w:val="7"/>
        <w:keepNext w:val="0"/>
        <w:keepLines w:val="0"/>
        <w:pageBreakBefore w:val="0"/>
        <w:numPr>
          <w:ilvl w:val="0"/>
          <w:numId w:val="2"/>
        </w:numPr>
        <w:kinsoku/>
        <w:wordWrap/>
        <w:overflowPunct/>
        <w:topLinePunct w:val="0"/>
        <w:autoSpaceDE/>
        <w:autoSpaceDN/>
        <w:bidi w:val="0"/>
        <w:spacing w:line="50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48E9C1DB">
      <w:pPr>
        <w:pStyle w:val="7"/>
        <w:keepNext w:val="0"/>
        <w:keepLines w:val="0"/>
        <w:pageBreakBefore w:val="0"/>
        <w:numPr>
          <w:ilvl w:val="0"/>
          <w:numId w:val="0"/>
        </w:numPr>
        <w:kinsoku/>
        <w:wordWrap/>
        <w:overflowPunct/>
        <w:topLinePunct w:val="0"/>
        <w:autoSpaceDE/>
        <w:autoSpaceDN/>
        <w:bidi w:val="0"/>
        <w:spacing w:line="500" w:lineRule="exact"/>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我单位无国有资本经营预算支出情况</w:t>
      </w:r>
    </w:p>
    <w:p w14:paraId="1E6A0C4C">
      <w:pPr>
        <w:pStyle w:val="7"/>
        <w:keepNext w:val="0"/>
        <w:keepLines w:val="0"/>
        <w:pageBreakBefore w:val="0"/>
        <w:numPr>
          <w:ilvl w:val="0"/>
          <w:numId w:val="2"/>
        </w:numPr>
        <w:kinsoku/>
        <w:wordWrap/>
        <w:overflowPunct/>
        <w:topLinePunct w:val="0"/>
        <w:autoSpaceDE/>
        <w:autoSpaceDN/>
        <w:bidi w:val="0"/>
        <w:spacing w:line="50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02634AFF">
      <w:pPr>
        <w:pStyle w:val="7"/>
        <w:keepNext w:val="0"/>
        <w:keepLines w:val="0"/>
        <w:pageBreakBefore w:val="0"/>
        <w:numPr>
          <w:ilvl w:val="0"/>
          <w:numId w:val="0"/>
        </w:numPr>
        <w:kinsoku/>
        <w:wordWrap/>
        <w:overflowPunct/>
        <w:topLinePunct w:val="0"/>
        <w:autoSpaceDE/>
        <w:autoSpaceDN/>
        <w:bidi w:val="0"/>
        <w:spacing w:line="500" w:lineRule="exact"/>
        <w:ind w:leftChars="200" w:firstLine="320" w:firstLineChars="100"/>
        <w:jc w:val="both"/>
        <w:textAlignment w:val="auto"/>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我单位无社会保险基金预算支出情况</w:t>
      </w:r>
    </w:p>
    <w:p w14:paraId="20E47F09">
      <w:pPr>
        <w:keepNext w:val="0"/>
        <w:keepLines w:val="0"/>
        <w:pageBreakBefore w:val="0"/>
        <w:numPr>
          <w:ilvl w:val="0"/>
          <w:numId w:val="2"/>
        </w:numPr>
        <w:kinsoku/>
        <w:wordWrap/>
        <w:overflowPunct/>
        <w:topLinePunct w:val="0"/>
        <w:autoSpaceDE/>
        <w:autoSpaceDN/>
        <w:bidi w:val="0"/>
        <w:spacing w:line="500" w:lineRule="exact"/>
        <w:ind w:left="0" w:leftChars="0" w:firstLine="640" w:firstLineChars="200"/>
        <w:jc w:val="both"/>
        <w:textAlignment w:val="auto"/>
        <w:rPr>
          <w:rFonts w:eastAsia="黑体"/>
          <w:sz w:val="32"/>
          <w:szCs w:val="32"/>
        </w:rPr>
      </w:pPr>
      <w:r>
        <w:rPr>
          <w:rFonts w:eastAsia="黑体"/>
          <w:sz w:val="32"/>
          <w:szCs w:val="32"/>
        </w:rPr>
        <w:t>部门整体支出绩效情况</w:t>
      </w:r>
    </w:p>
    <w:p w14:paraId="6A87D205">
      <w:pPr>
        <w:pStyle w:val="2"/>
        <w:keepNext w:val="0"/>
        <w:keepLines w:val="0"/>
        <w:pageBreakBefore w:val="0"/>
        <w:kinsoku/>
        <w:wordWrap/>
        <w:overflowPunct/>
        <w:topLinePunct w:val="0"/>
        <w:autoSpaceDE/>
        <w:autoSpaceDN/>
        <w:bidi w:val="0"/>
        <w:spacing w:before="0" w:beforeAutospacing="0" w:after="0" w:afterAutospacing="0" w:line="500" w:lineRule="exact"/>
        <w:ind w:firstLine="553"/>
        <w:textAlignment w:val="auto"/>
        <w:rPr>
          <w:rFonts w:hint="eastAsia" w:eastAsia="宋体"/>
          <w:lang w:eastAsia="zh-CN"/>
        </w:rPr>
      </w:pPr>
      <w:r>
        <w:rPr>
          <w:rFonts w:hint="eastAsia" w:ascii="仿宋_GB2312" w:hAnsi="仿宋" w:eastAsia="仿宋_GB2312" w:cs="Times New Roman"/>
          <w:kern w:val="2"/>
          <w:sz w:val="32"/>
          <w:szCs w:val="32"/>
        </w:rPr>
        <w:t>今年以来，在区委的坚强领导和市委组织部的精心指导下，区委组织部深入贯彻新时代党的组织路线，扎实落实全国、全省组织部长会议精神，聚焦中心大局，忠诚履职、守正创新、笃行实干,扎实推动政治建设、选贤任能、强基固本、育才聚才等各项工作提质增效,着力推动组织工作高质量发展。招才引智人才回湘排名全省前列，乡贤回归经验得到《中国组织人事报》推介。人才引育、从村级党组织书记中考核招聘事业人员等工作在全市作典型发言。</w:t>
      </w:r>
    </w:p>
    <w:p w14:paraId="1E7AACF8">
      <w:pPr>
        <w:keepNext w:val="0"/>
        <w:keepLines w:val="0"/>
        <w:pageBreakBefore w:val="0"/>
        <w:kinsoku/>
        <w:wordWrap/>
        <w:overflowPunct/>
        <w:topLinePunct w:val="0"/>
        <w:autoSpaceDE/>
        <w:autoSpaceDN/>
        <w:bidi w:val="0"/>
        <w:spacing w:line="500" w:lineRule="exact"/>
        <w:ind w:firstLine="643" w:firstLineChars="200"/>
        <w:textAlignment w:val="auto"/>
        <w:rPr>
          <w:rFonts w:hint="eastAsia"/>
        </w:rPr>
      </w:pPr>
      <w:r>
        <w:rPr>
          <w:rFonts w:hint="eastAsia" w:ascii="楷体_GB2312" w:hAnsi="楷体_GB2312" w:eastAsia="楷体_GB2312" w:cs="楷体_GB2312"/>
          <w:b/>
          <w:bCs/>
          <w:sz w:val="32"/>
          <w:szCs w:val="40"/>
        </w:rPr>
        <w:t>1.突出凝心铸魂，筑牢绝对忠诚的思想根基。</w:t>
      </w:r>
      <w:r>
        <w:rPr>
          <w:rFonts w:hint="eastAsia" w:ascii="仿宋_GB2312" w:hAnsi="仿宋_GB2312" w:eastAsia="仿宋_GB2312" w:cs="仿宋_GB2312"/>
          <w:color w:val="000000"/>
          <w:sz w:val="32"/>
          <w:szCs w:val="32"/>
        </w:rPr>
        <w:t>建立健全以学铸魂、以学增智、以学正风、以学促干的长效机制。集中开展学习贯彻党的二十届三中全会精神党员干部培训2期，办好乡科级干部、中青年干部培训班等各领域培训班4场次</w:t>
      </w:r>
      <w:r>
        <w:rPr>
          <w:rFonts w:hint="eastAsia" w:ascii="仿宋_GB2312" w:hAnsi="仿宋_GB2312" w:eastAsia="仿宋_GB2312" w:cs="仿宋_GB2312"/>
          <w:sz w:val="32"/>
          <w:szCs w:val="32"/>
        </w:rPr>
        <w:t>，指导各乡镇（街道）基层党校举办专题培训66期。采取“请进来+送出去”“线上+线下”“理论+实践”党员教育模式，深入开展“书记讲给书记听”“党课开讲了”“乡村学堂”等活动，创新实施流动党员“一对一”结对帮学机制，经验做法得到共产党员网等媒体推介。</w:t>
      </w:r>
    </w:p>
    <w:p w14:paraId="797639A4">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40"/>
        </w:rPr>
        <w:t>2.突出选贤任能，锻造挺膺担当的干部队伍。</w:t>
      </w:r>
      <w:r>
        <w:rPr>
          <w:rFonts w:hint="eastAsia" w:ascii="仿宋_GB2312" w:hAnsi="仿宋_GB2312" w:eastAsia="仿宋_GB2312" w:cs="仿宋_GB2312"/>
          <w:kern w:val="0"/>
          <w:sz w:val="32"/>
          <w:szCs w:val="32"/>
        </w:rPr>
        <w:t>把政治标准作为干部选拔任用的首要标准，</w:t>
      </w:r>
      <w:r>
        <w:rPr>
          <w:rFonts w:hint="eastAsia" w:ascii="仿宋_GB2312" w:eastAsia="仿宋_GB2312"/>
          <w:sz w:val="32"/>
          <w:szCs w:val="32"/>
        </w:rPr>
        <w:t>对全区16个乡镇（街道）和89个区直单位开展政治建设考察，形成干部正面、负面清单，112名优秀干部纳入后备干部库。</w:t>
      </w:r>
      <w:r>
        <w:rPr>
          <w:rStyle w:val="8"/>
          <w:rFonts w:hint="eastAsia" w:ascii="仿宋_GB2312" w:hAnsi="仿宋_GB2312" w:eastAsia="仿宋_GB2312" w:cs="仿宋_GB2312"/>
          <w:snapToGrid w:val="0"/>
          <w:kern w:val="0"/>
          <w:sz w:val="32"/>
          <w:szCs w:val="32"/>
        </w:rPr>
        <w:t>坚持选人用人标准不降、环节不漏、程序不少</w:t>
      </w:r>
      <w:r>
        <w:rPr>
          <w:rFonts w:hint="eastAsia" w:ascii="仿宋_GB2312" w:hAnsi="仿宋_GB2312" w:eastAsia="仿宋_GB2312" w:cs="仿宋_GB2312"/>
          <w:sz w:val="32"/>
          <w:szCs w:val="32"/>
        </w:rPr>
        <w:t>。</w:t>
      </w:r>
    </w:p>
    <w:p w14:paraId="32669507">
      <w:pPr>
        <w:pStyle w:val="4"/>
        <w:keepNext w:val="0"/>
        <w:keepLines w:val="0"/>
        <w:pageBreakBefore w:val="0"/>
        <w:kinsoku/>
        <w:wordWrap/>
        <w:overflowPunct/>
        <w:topLinePunct w:val="0"/>
        <w:autoSpaceDE/>
        <w:autoSpaceDN/>
        <w:bidi w:val="0"/>
        <w:spacing w:line="500" w:lineRule="exact"/>
        <w:ind w:firstLine="643"/>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40"/>
        </w:rPr>
        <w:t>3.突出强基赋能，织密坚强有力的组织体系</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32"/>
        </w:rPr>
        <w:t>持续抓点带面，“一村一策”整顿提升软弱涣散村党组织6个，打造“清廉零烟”“廉心检韵”等党建品牌8个。深入开展“组织摆擂台·书记大比武”活动，落实每季一提示，半年一调研、年终一评价等制度，交办整改问题84个。按照“区级抓示范培训、乡镇抓普遍培训、村社抓兜底培训”原则，分批组织101名村（社区）党组织书记、驻村干部等赴湘潭、浏阳等地培训，区、乡累计开展培训班18期、培训人数1860余人。承办全市农村人居环境整治提升、粮食生产、秋冬农业生产暨优质稻新品种展示3个示范现场观摩会，何家坪等5个村创建省级乡村振兴示范村。</w:t>
      </w:r>
    </w:p>
    <w:p w14:paraId="34173B67">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仿宋_GB2312" w:hAnsi="仿宋_GB2312" w:eastAsia="仿宋_GB2312" w:cs="仿宋_GB2312"/>
          <w:sz w:val="32"/>
        </w:rPr>
      </w:pPr>
      <w:r>
        <w:rPr>
          <w:rFonts w:hint="eastAsia" w:ascii="楷体_GB2312" w:hAnsi="楷体_GB2312" w:eastAsia="楷体_GB2312" w:cs="楷体_GB2312"/>
          <w:b/>
          <w:bCs/>
          <w:sz w:val="32"/>
          <w:szCs w:val="40"/>
        </w:rPr>
        <w:t>4.突出产才融合，夯实振兴发展的智力支撑。</w:t>
      </w:r>
      <w:r>
        <w:rPr>
          <w:rFonts w:hint="eastAsia" w:ascii="仿宋_GB2312" w:hAnsi="仿宋_GB2312" w:eastAsia="仿宋_GB2312" w:cs="仿宋_GB2312"/>
          <w:b/>
          <w:bCs/>
          <w:sz w:val="32"/>
          <w:szCs w:val="40"/>
        </w:rPr>
        <w:t>一是厚植人才引育沃土。</w:t>
      </w:r>
      <w:r>
        <w:rPr>
          <w:rFonts w:hint="eastAsia" w:ascii="仿宋_GB2312" w:eastAsia="仿宋_GB2312"/>
          <w:sz w:val="32"/>
          <w:szCs w:val="32"/>
        </w:rPr>
        <w:t>围绕“四区两城”战略，精准</w:t>
      </w:r>
      <w:r>
        <w:rPr>
          <w:rFonts w:hint="eastAsia" w:ascii="仿宋_GB2312" w:hAnsi="仿宋_GB2312" w:eastAsia="仿宋_GB2312" w:cs="仿宋_GB2312"/>
          <w:sz w:val="32"/>
          <w:szCs w:val="32"/>
        </w:rPr>
        <w:t>引进急需紧缺专业人才</w:t>
      </w:r>
      <w:r>
        <w:rPr>
          <w:rFonts w:hint="eastAsia" w:ascii="仿宋_GB2312" w:hAnsi="仿宋_GB2312" w:eastAsia="仿宋_GB2312" w:cs="仿宋_GB2312"/>
          <w:kern w:val="0"/>
          <w:sz w:val="32"/>
          <w:szCs w:val="32"/>
          <w:lang w:bidi="ar"/>
        </w:rPr>
        <w:t>41</w:t>
      </w:r>
      <w:r>
        <w:rPr>
          <w:rFonts w:hint="eastAsia" w:ascii="仿宋_GB2312" w:hAnsi="仿宋_GB2312" w:eastAsia="仿宋_GB2312" w:cs="仿宋_GB2312"/>
          <w:sz w:val="32"/>
          <w:szCs w:val="32"/>
        </w:rPr>
        <w:t>人、招录基层人才</w:t>
      </w:r>
      <w:r>
        <w:rPr>
          <w:rFonts w:hint="eastAsia" w:ascii="仿宋_GB2312" w:hAnsi="仿宋_GB2312" w:eastAsia="仿宋_GB2312" w:cs="仿宋_GB2312"/>
          <w:kern w:val="0"/>
          <w:sz w:val="32"/>
          <w:szCs w:val="32"/>
          <w:lang w:bidi="ar"/>
        </w:rPr>
        <w:t>67</w:t>
      </w:r>
      <w:r>
        <w:rPr>
          <w:rFonts w:hint="eastAsia" w:ascii="仿宋_GB2312" w:hAnsi="仿宋_GB2312" w:eastAsia="仿宋_GB2312" w:cs="仿宋_GB2312"/>
          <w:sz w:val="32"/>
          <w:szCs w:val="32"/>
        </w:rPr>
        <w:t>人，招聘教育、卫健系统专技人才</w:t>
      </w:r>
      <w:r>
        <w:rPr>
          <w:rFonts w:hint="eastAsia" w:ascii="仿宋_GB2312" w:hAnsi="仿宋_GB2312" w:eastAsia="仿宋_GB2312" w:cs="仿宋_GB2312"/>
          <w:kern w:val="0"/>
          <w:sz w:val="32"/>
          <w:szCs w:val="32"/>
          <w:lang w:bidi="ar"/>
        </w:rPr>
        <w:t>127</w:t>
      </w:r>
      <w:r>
        <w:rPr>
          <w:rFonts w:hint="eastAsia" w:ascii="仿宋_GB2312" w:hAnsi="仿宋_GB2312" w:eastAsia="仿宋_GB2312" w:cs="仿宋_GB2312"/>
          <w:sz w:val="32"/>
          <w:szCs w:val="32"/>
        </w:rPr>
        <w:t>人，柔性引进高校、科研机构等专家人才</w:t>
      </w:r>
      <w:r>
        <w:rPr>
          <w:rFonts w:hint="eastAsia" w:ascii="仿宋_GB2312" w:hAnsi="仿宋_GB2312" w:eastAsia="仿宋_GB2312" w:cs="仿宋_GB2312"/>
          <w:kern w:val="0"/>
          <w:sz w:val="32"/>
          <w:szCs w:val="32"/>
          <w:lang w:bidi="ar"/>
        </w:rPr>
        <w:t>200</w:t>
      </w:r>
      <w:r>
        <w:rPr>
          <w:rFonts w:hint="eastAsia" w:ascii="仿宋_GB2312" w:hAnsi="仿宋_GB2312" w:eastAsia="仿宋_GB2312" w:cs="仿宋_GB2312"/>
          <w:sz w:val="32"/>
          <w:szCs w:val="32"/>
        </w:rPr>
        <w:t>余人。我区成为全市唯一招才引智校友回湘在全省排名靠前的县市区。</w:t>
      </w:r>
      <w:r>
        <w:rPr>
          <w:rFonts w:hint="eastAsia" w:ascii="仿宋_GB2312" w:hAnsi="仿宋_GB2312" w:eastAsia="仿宋_GB2312" w:cs="仿宋_GB2312"/>
          <w:sz w:val="32"/>
        </w:rPr>
        <w:t>积极兑现人才各项政策补贴，常态化开展人才主题日活动，积极及解决人才急难愁盼问题，切实营造识才爱才敬才用才环境。今年以来，兑现人才生活补贴</w:t>
      </w:r>
      <w:r>
        <w:rPr>
          <w:rFonts w:hint="eastAsia" w:ascii="仿宋_GB2312" w:hAnsi="仿宋_GB2312" w:eastAsia="仿宋_GB2312" w:cs="仿宋_GB2312"/>
          <w:kern w:val="0"/>
          <w:sz w:val="32"/>
          <w:szCs w:val="32"/>
          <w:lang w:bidi="ar"/>
        </w:rPr>
        <w:t>300</w:t>
      </w:r>
      <w:r>
        <w:rPr>
          <w:rFonts w:hint="eastAsia" w:ascii="仿宋_GB2312" w:hAnsi="仿宋_GB2312" w:eastAsia="仿宋_GB2312" w:cs="仿宋_GB2312"/>
          <w:sz w:val="32"/>
        </w:rPr>
        <w:t>余万元，</w:t>
      </w:r>
      <w:r>
        <w:rPr>
          <w:rFonts w:hint="eastAsia" w:ascii="仿宋_GB2312" w:hAnsi="仿宋_GB2312" w:eastAsia="仿宋_GB2312" w:cs="仿宋_GB2312"/>
          <w:sz w:val="32"/>
          <w:szCs w:val="32"/>
        </w:rPr>
        <w:t>购房补</w:t>
      </w:r>
      <w:r>
        <w:rPr>
          <w:rFonts w:hint="eastAsia" w:ascii="仿宋_GB2312" w:hAnsi="仿宋_GB2312" w:eastAsia="仿宋_GB2312" w:cs="仿宋_GB2312"/>
          <w:sz w:val="32"/>
        </w:rPr>
        <w:t>贴</w:t>
      </w:r>
      <w:r>
        <w:rPr>
          <w:rFonts w:hint="eastAsia" w:ascii="仿宋_GB2312" w:hAnsi="仿宋_GB2312" w:eastAsia="仿宋_GB2312" w:cs="仿宋_GB2312"/>
          <w:kern w:val="0"/>
          <w:sz w:val="32"/>
          <w:szCs w:val="32"/>
          <w:lang w:bidi="ar"/>
        </w:rPr>
        <w:t>180</w:t>
      </w:r>
      <w:r>
        <w:rPr>
          <w:rFonts w:hint="eastAsia" w:ascii="仿宋_GB2312" w:hAnsi="仿宋_GB2312" w:eastAsia="仿宋_GB2312" w:cs="仿宋_GB2312"/>
          <w:sz w:val="32"/>
        </w:rPr>
        <w:t>万元，安排</w:t>
      </w:r>
      <w:r>
        <w:rPr>
          <w:rFonts w:hint="eastAsia" w:ascii="仿宋_GB2312" w:hAnsi="仿宋_GB2312" w:eastAsia="仿宋_GB2312" w:cs="仿宋_GB2312"/>
          <w:kern w:val="0"/>
          <w:sz w:val="32"/>
          <w:szCs w:val="32"/>
          <w:lang w:bidi="ar"/>
        </w:rPr>
        <w:t>35</w:t>
      </w:r>
      <w:r>
        <w:rPr>
          <w:rFonts w:hint="eastAsia" w:ascii="仿宋_GB2312" w:hAnsi="仿宋_GB2312" w:eastAsia="仿宋_GB2312" w:cs="仿宋_GB2312"/>
          <w:sz w:val="32"/>
        </w:rPr>
        <w:t>名引进人才入住人才公寓，解决</w:t>
      </w:r>
      <w:r>
        <w:rPr>
          <w:rFonts w:hint="eastAsia" w:ascii="仿宋_GB2312" w:hAnsi="仿宋_GB2312" w:eastAsia="仿宋_GB2312" w:cs="仿宋_GB2312"/>
          <w:kern w:val="0"/>
          <w:sz w:val="32"/>
          <w:szCs w:val="32"/>
          <w:lang w:bidi="ar"/>
        </w:rPr>
        <w:t>11</w:t>
      </w:r>
      <w:r>
        <w:rPr>
          <w:rFonts w:hint="eastAsia" w:ascii="仿宋_GB2312" w:hAnsi="仿宋_GB2312" w:eastAsia="仿宋_GB2312" w:cs="仿宋_GB2312"/>
          <w:sz w:val="32"/>
        </w:rPr>
        <w:t>名引进人才子女入学急盼问题。</w:t>
      </w:r>
    </w:p>
    <w:p w14:paraId="289139BB">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仿宋_GB2312" w:hAnsi="仿宋_GB2312" w:eastAsia="仿宋_GB2312" w:cs="仿宋_GB2312"/>
          <w:b/>
          <w:bCs/>
          <w:sz w:val="32"/>
        </w:rPr>
      </w:pPr>
      <w:r>
        <w:rPr>
          <w:rFonts w:hint="eastAsia" w:ascii="楷体_GB2312" w:hAnsi="楷体_GB2312" w:eastAsia="楷体_GB2312" w:cs="楷体_GB2312"/>
          <w:b/>
          <w:bCs/>
          <w:sz w:val="32"/>
          <w:szCs w:val="40"/>
        </w:rPr>
        <w:t>5.突出正身律己，打造实干争先的模范部门。</w:t>
      </w:r>
      <w:r>
        <w:rPr>
          <w:rFonts w:hint="eastAsia" w:ascii="仿宋_GB2312" w:hAnsi="仿宋_GB2312" w:eastAsia="仿宋_GB2312" w:cs="仿宋_GB2312"/>
          <w:sz w:val="32"/>
        </w:rPr>
        <w:t>认真落实“第一议题”、理论学习中心组等制度，带头规范落实“一月一片一课一实践”等党内组织生活制度。制定《关于加强全区组织系统自身建设的规定》，把政治纪律和政治规矩挺在前面，设“雷区”、划红线、明底线。</w:t>
      </w:r>
    </w:p>
    <w:p w14:paraId="5B720C41">
      <w:pPr>
        <w:pStyle w:val="7"/>
        <w:keepNext w:val="0"/>
        <w:keepLines w:val="0"/>
        <w:pageBreakBefore w:val="0"/>
        <w:kinsoku/>
        <w:wordWrap/>
        <w:overflowPunct/>
        <w:topLinePunct w:val="0"/>
        <w:autoSpaceDE/>
        <w:autoSpaceDN/>
        <w:bidi w:val="0"/>
        <w:spacing w:line="50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4BF57C3B">
      <w:pPr>
        <w:keepNext w:val="0"/>
        <w:keepLines w:val="0"/>
        <w:pageBreakBefore w:val="0"/>
        <w:kinsoku/>
        <w:wordWrap/>
        <w:overflowPunct/>
        <w:topLinePunct w:val="0"/>
        <w:autoSpaceDE/>
        <w:autoSpaceDN/>
        <w:bidi w:val="0"/>
        <w:spacing w:line="500" w:lineRule="exact"/>
        <w:ind w:firstLine="640" w:firstLineChars="200"/>
        <w:jc w:val="both"/>
        <w:textAlignment w:val="auto"/>
        <w:rPr>
          <w:rFonts w:hint="eastAsia" w:eastAsia="仿宋_GB2312"/>
          <w:sz w:val="32"/>
          <w:szCs w:val="32"/>
          <w:lang w:eastAsia="zh-CN"/>
        </w:rPr>
      </w:pPr>
      <w:r>
        <w:rPr>
          <w:rFonts w:hint="eastAsia" w:eastAsia="仿宋_GB2312"/>
          <w:sz w:val="32"/>
          <w:szCs w:val="32"/>
          <w:lang w:eastAsia="zh-CN"/>
        </w:rPr>
        <w:t>无</w:t>
      </w:r>
    </w:p>
    <w:p w14:paraId="58F9F27E">
      <w:pPr>
        <w:keepNext w:val="0"/>
        <w:keepLines w:val="0"/>
        <w:pageBreakBefore w:val="0"/>
        <w:kinsoku/>
        <w:wordWrap/>
        <w:overflowPunct/>
        <w:topLinePunct w:val="0"/>
        <w:autoSpaceDE/>
        <w:autoSpaceDN/>
        <w:bidi w:val="0"/>
        <w:spacing w:line="500" w:lineRule="exact"/>
        <w:ind w:firstLine="640" w:firstLineChars="200"/>
        <w:jc w:val="both"/>
        <w:textAlignment w:val="auto"/>
        <w:rPr>
          <w:rFonts w:eastAsia="黑体"/>
          <w:sz w:val="32"/>
          <w:szCs w:val="32"/>
        </w:rPr>
      </w:pPr>
      <w:r>
        <w:rPr>
          <w:rFonts w:eastAsia="黑体"/>
          <w:sz w:val="32"/>
          <w:szCs w:val="32"/>
        </w:rPr>
        <w:t>八、下一步改进措施</w:t>
      </w:r>
    </w:p>
    <w:p w14:paraId="5D14AB18">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pPr>
      <w:r>
        <w:rPr>
          <w:rFonts w:hint="eastAsia" w:ascii="仿宋_GB2312" w:hAnsi="仿宋_GB2312" w:eastAsia="仿宋_GB2312" w:cs="仿宋_GB2312"/>
          <w:color w:val="000000"/>
          <w:kern w:val="0"/>
          <w:sz w:val="32"/>
          <w:szCs w:val="32"/>
        </w:rPr>
        <w:t>进一步建立健全绩效评价相关的规章制度，制定可行的行政事业单位财政支出的绩效评价方法。要不断加强绩效评价工作的管理水平，建立专门的绩效评价机构，制定科学的绩效评价方法。有效提升单位的实际工作效率，并在此基础上，进一步提升对单位财政资金的管理和监督，加强对资金的使用效率和效果的重视。</w:t>
      </w:r>
    </w:p>
    <w:p w14:paraId="7DD855AF">
      <w:pPr>
        <w:keepNext w:val="0"/>
        <w:keepLines w:val="0"/>
        <w:pageBreakBefore w:val="0"/>
        <w:numPr>
          <w:ilvl w:val="0"/>
          <w:numId w:val="3"/>
        </w:numPr>
        <w:kinsoku/>
        <w:wordWrap/>
        <w:overflowPunct/>
        <w:topLinePunct w:val="0"/>
        <w:autoSpaceDE/>
        <w:autoSpaceDN/>
        <w:bidi w:val="0"/>
        <w:spacing w:line="500" w:lineRule="exact"/>
        <w:ind w:firstLine="640" w:firstLineChars="200"/>
        <w:jc w:val="both"/>
        <w:textAlignment w:val="auto"/>
        <w:rPr>
          <w:rFonts w:eastAsia="黑体"/>
          <w:sz w:val="32"/>
          <w:szCs w:val="32"/>
        </w:rPr>
      </w:pPr>
      <w:r>
        <w:rPr>
          <w:rFonts w:eastAsia="黑体"/>
          <w:sz w:val="32"/>
          <w:szCs w:val="32"/>
        </w:rPr>
        <w:t>部门整体支出绩效自评结果拟应用和公开情况</w:t>
      </w:r>
    </w:p>
    <w:p w14:paraId="1D7BE78B">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pPr>
      <w:r>
        <w:rPr>
          <w:rFonts w:hint="eastAsia" w:ascii="仿宋_GB2312" w:hAnsi="仿宋_GB2312" w:eastAsia="仿宋_GB2312" w:cs="仿宋_GB2312"/>
          <w:color w:val="000000"/>
          <w:kern w:val="0"/>
          <w:sz w:val="32"/>
          <w:szCs w:val="32"/>
        </w:rPr>
        <w:t>我单位部门整体支出绩效总体较好，各项目标基本达到了相应时期执行进度，使财政收支预算执行都得了较好的制度保障和实施效果。因本单位没有门户网站，请财政代为公开。</w:t>
      </w:r>
    </w:p>
    <w:p w14:paraId="6C29202B">
      <w:pPr>
        <w:keepNext w:val="0"/>
        <w:keepLines w:val="0"/>
        <w:pageBreakBefore w:val="0"/>
        <w:numPr>
          <w:ilvl w:val="0"/>
          <w:numId w:val="3"/>
        </w:numPr>
        <w:kinsoku/>
        <w:wordWrap/>
        <w:overflowPunct/>
        <w:topLinePunct w:val="0"/>
        <w:autoSpaceDE/>
        <w:autoSpaceDN/>
        <w:bidi w:val="0"/>
        <w:spacing w:line="500" w:lineRule="exact"/>
        <w:ind w:left="0" w:leftChars="0" w:firstLine="640" w:firstLineChars="200"/>
        <w:jc w:val="both"/>
        <w:textAlignment w:val="auto"/>
        <w:rPr>
          <w:rFonts w:eastAsia="黑体"/>
          <w:sz w:val="32"/>
          <w:szCs w:val="32"/>
        </w:rPr>
      </w:pPr>
      <w:r>
        <w:rPr>
          <w:rFonts w:eastAsia="黑体"/>
          <w:sz w:val="32"/>
          <w:szCs w:val="32"/>
        </w:rPr>
        <w:t>其他需要说明的情况</w:t>
      </w:r>
    </w:p>
    <w:p w14:paraId="5E5D7480">
      <w:pPr>
        <w:pStyle w:val="2"/>
        <w:keepNext w:val="0"/>
        <w:keepLines w:val="0"/>
        <w:pageBreakBefore w:val="0"/>
        <w:numPr>
          <w:ilvl w:val="0"/>
          <w:numId w:val="0"/>
        </w:numPr>
        <w:tabs>
          <w:tab w:val="left" w:pos="903"/>
        </w:tabs>
        <w:kinsoku/>
        <w:wordWrap/>
        <w:overflowPunct/>
        <w:topLinePunct w:val="0"/>
        <w:autoSpaceDE/>
        <w:autoSpaceDN/>
        <w:bidi w:val="0"/>
        <w:spacing w:line="500" w:lineRule="exact"/>
        <w:textAlignment w:val="auto"/>
        <w:rPr>
          <w:rFonts w:hint="eastAsia" w:eastAsia="宋体"/>
          <w:lang w:eastAsia="zh-CN"/>
        </w:rPr>
      </w:pPr>
      <w:r>
        <w:rPr>
          <w:rFonts w:hint="eastAsia"/>
          <w:lang w:eastAsia="zh-CN"/>
        </w:rPr>
        <w:tab/>
      </w:r>
      <w:r>
        <w:rPr>
          <w:rFonts w:hint="eastAsia"/>
          <w:lang w:eastAsia="zh-CN"/>
        </w:rPr>
        <w:t>无</w:t>
      </w:r>
    </w:p>
    <w:p w14:paraId="36D8E6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86152"/>
    <w:multiLevelType w:val="singleLevel"/>
    <w:tmpl w:val="D5686152"/>
    <w:lvl w:ilvl="0" w:tentative="0">
      <w:start w:val="2"/>
      <w:numFmt w:val="chineseCounting"/>
      <w:suff w:val="nothing"/>
      <w:lvlText w:val="（%1）"/>
      <w:lvlJc w:val="left"/>
      <w:rPr>
        <w:rFonts w:hint="eastAsia"/>
      </w:rPr>
    </w:lvl>
  </w:abstractNum>
  <w:abstractNum w:abstractNumId="1">
    <w:nsid w:val="E1CFC4C4"/>
    <w:multiLevelType w:val="singleLevel"/>
    <w:tmpl w:val="E1CFC4C4"/>
    <w:lvl w:ilvl="0" w:tentative="0">
      <w:start w:val="3"/>
      <w:numFmt w:val="chineseCounting"/>
      <w:suff w:val="nothing"/>
      <w:lvlText w:val="%1、"/>
      <w:lvlJc w:val="left"/>
      <w:rPr>
        <w:rFonts w:hint="eastAsia"/>
      </w:rPr>
    </w:lvl>
  </w:abstractNum>
  <w:abstractNum w:abstractNumId="2">
    <w:nsid w:val="7784EAB0"/>
    <w:multiLevelType w:val="singleLevel"/>
    <w:tmpl w:val="7784EAB0"/>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76019"/>
    <w:rsid w:val="1C276019"/>
    <w:rsid w:val="3943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Balloon Text"/>
    <w:basedOn w:val="1"/>
    <w:semiHidden/>
    <w:qFormat/>
    <w:uiPriority w:val="0"/>
    <w:rPr>
      <w:sz w:val="18"/>
      <w:szCs w:val="18"/>
    </w:rPr>
  </w:style>
  <w:style w:type="paragraph" w:styleId="4">
    <w:name w:val="Normal Indent"/>
    <w:basedOn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7">
    <w:name w:val="List Paragraph"/>
    <w:basedOn w:val="1"/>
    <w:qFormat/>
    <w:uiPriority w:val="99"/>
    <w:pPr>
      <w:ind w:firstLine="420" w:firstLineChars="200"/>
    </w:pPr>
    <w:rPr>
      <w:rFonts w:ascii="Calibri" w:hAnsi="Calibri"/>
      <w:kern w:val="0"/>
      <w:sz w:val="28"/>
      <w:szCs w:val="22"/>
    </w:rPr>
  </w:style>
  <w:style w:type="character" w:customStyle="1" w:styleId="8">
    <w:name w:val="ca-2"/>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3473</Words>
  <Characters>3618</Characters>
  <Lines>0</Lines>
  <Paragraphs>0</Paragraphs>
  <TotalTime>368</TotalTime>
  <ScaleCrop>false</ScaleCrop>
  <LinksUpToDate>false</LinksUpToDate>
  <CharactersWithSpaces>3632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2025-07-11T02:20:00Z</dcterms:created>
  <dc:creator>Administrator</dc:creator>
  <cp:lastModifiedBy>Administrator</cp:lastModifiedBy>
  <cp:lastPrinted>2025-07-14T03:14:12Z</cp:lastPrinted>
  <dcterms:modified xsi:type="dcterms:W3CDTF">2025-07-14T09:19:21Z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EB5D4BA0E21247ACA1BAF450F89A609D_11</vt:lpwstr>
  </property>
  <property fmtid="{D5CDD505-2E9C-101B-9397-08002B2CF9AE}" pid="4" name="KSOTemplateDocerSaveRecord">
    <vt:lpwstr>eyJoZGlkIjoiOTNjODJiMTA5NDZiOGI4MjQ1OTc4YjUyYTIzYjBjOTUifQ==</vt:lpwstr>
  </property>
</Properties>
</file>