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9DB55">
      <w:pPr>
        <w:pStyle w:val="12"/>
        <w:jc w:val="center"/>
        <w:rPr>
          <w:sz w:val="56"/>
          <w:szCs w:val="56"/>
        </w:rPr>
      </w:pPr>
    </w:p>
    <w:p w14:paraId="48F82F64">
      <w:pPr>
        <w:pStyle w:val="12"/>
        <w:jc w:val="center"/>
        <w:rPr>
          <w:sz w:val="56"/>
          <w:szCs w:val="56"/>
        </w:rPr>
      </w:pPr>
    </w:p>
    <w:p w14:paraId="1557A8BA">
      <w:pPr>
        <w:pStyle w:val="12"/>
        <w:jc w:val="center"/>
        <w:rPr>
          <w:sz w:val="84"/>
          <w:szCs w:val="84"/>
        </w:rPr>
      </w:pPr>
    </w:p>
    <w:p w14:paraId="2E6A7388">
      <w:pPr>
        <w:pStyle w:val="12"/>
        <w:jc w:val="center"/>
        <w:rPr>
          <w:sz w:val="84"/>
          <w:szCs w:val="84"/>
        </w:rPr>
      </w:pPr>
    </w:p>
    <w:p w14:paraId="1D00609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A530BBE">
      <w:pPr>
        <w:pStyle w:val="12"/>
        <w:jc w:val="center"/>
        <w:rPr>
          <w:rFonts w:hint="eastAsia" w:ascii="方正小标宋_GBK" w:hAnsi="方正小标宋_GBK" w:eastAsia="方正小标宋_GBK" w:cs="方正小标宋_GBK"/>
          <w:sz w:val="84"/>
          <w:szCs w:val="84"/>
        </w:rPr>
      </w:pPr>
      <w:r>
        <w:rPr>
          <w:rFonts w:hint="eastAsia" w:ascii="宋体" w:hAnsi="宋体" w:eastAsia="宋体" w:cs="宋体"/>
          <w:b/>
          <w:bCs/>
          <w:sz w:val="84"/>
          <w:szCs w:val="84"/>
          <w:lang w:val="en-US" w:eastAsia="zh-CN"/>
        </w:rPr>
        <w:t>永州市</w:t>
      </w:r>
      <w:r>
        <w:rPr>
          <w:rFonts w:hint="eastAsia" w:ascii="宋体" w:hAnsi="宋体" w:eastAsia="宋体" w:cs="宋体"/>
          <w:b/>
          <w:bCs/>
          <w:sz w:val="84"/>
          <w:szCs w:val="84"/>
          <w:lang w:eastAsia="zh-CN"/>
        </w:rPr>
        <w:t>生态环境局</w:t>
      </w:r>
      <w:r>
        <w:rPr>
          <w:rFonts w:hint="eastAsia" w:ascii="宋体" w:hAnsi="宋体" w:eastAsia="宋体" w:cs="宋体"/>
          <w:b/>
          <w:bCs/>
          <w:sz w:val="84"/>
          <w:szCs w:val="84"/>
          <w:lang w:val="en-US" w:eastAsia="zh-CN"/>
        </w:rPr>
        <w:t>零</w:t>
      </w:r>
      <w:r>
        <w:rPr>
          <w:rFonts w:hint="eastAsia" w:ascii="宋体" w:hAnsi="宋体" w:eastAsia="宋体" w:cs="宋体"/>
          <w:b/>
          <w:bCs/>
          <w:sz w:val="84"/>
          <w:szCs w:val="84"/>
          <w:lang w:eastAsia="zh-CN"/>
        </w:rPr>
        <w:t>陵分局</w:t>
      </w:r>
      <w:r>
        <w:rPr>
          <w:rFonts w:hint="eastAsia" w:ascii="方正小标宋_GBK" w:hAnsi="方正小标宋_GBK" w:eastAsia="方正小标宋_GBK" w:cs="方正小标宋_GBK"/>
          <w:sz w:val="84"/>
          <w:szCs w:val="84"/>
        </w:rPr>
        <w:t>部门决算</w:t>
      </w:r>
    </w:p>
    <w:p w14:paraId="72093538">
      <w:pPr>
        <w:pStyle w:val="12"/>
        <w:jc w:val="center"/>
        <w:rPr>
          <w:rFonts w:hint="eastAsia" w:ascii="方正小标宋_GBK" w:hAnsi="方正小标宋_GBK" w:eastAsia="方正小标宋_GBK" w:cs="方正小标宋_GBK"/>
          <w:sz w:val="56"/>
          <w:szCs w:val="56"/>
        </w:rPr>
      </w:pPr>
    </w:p>
    <w:p w14:paraId="7DDA1FB4">
      <w:pPr>
        <w:pStyle w:val="12"/>
        <w:jc w:val="center"/>
        <w:rPr>
          <w:sz w:val="56"/>
          <w:szCs w:val="56"/>
        </w:rPr>
      </w:pPr>
    </w:p>
    <w:p w14:paraId="210AFA82">
      <w:pPr>
        <w:pStyle w:val="12"/>
        <w:jc w:val="center"/>
        <w:rPr>
          <w:sz w:val="56"/>
          <w:szCs w:val="56"/>
        </w:rPr>
      </w:pPr>
    </w:p>
    <w:p w14:paraId="37B7A32B">
      <w:pPr>
        <w:pStyle w:val="12"/>
        <w:jc w:val="center"/>
        <w:rPr>
          <w:sz w:val="56"/>
          <w:szCs w:val="56"/>
        </w:rPr>
      </w:pPr>
    </w:p>
    <w:p w14:paraId="3AA74C47">
      <w:pPr>
        <w:pStyle w:val="12"/>
        <w:jc w:val="center"/>
        <w:rPr>
          <w:sz w:val="32"/>
          <w:szCs w:val="32"/>
        </w:rPr>
      </w:pPr>
    </w:p>
    <w:p w14:paraId="331D4CD7">
      <w:pPr>
        <w:pStyle w:val="12"/>
        <w:jc w:val="center"/>
        <w:rPr>
          <w:sz w:val="32"/>
          <w:szCs w:val="32"/>
        </w:rPr>
      </w:pPr>
    </w:p>
    <w:p w14:paraId="4490419D">
      <w:pPr>
        <w:pStyle w:val="12"/>
        <w:jc w:val="center"/>
        <w:rPr>
          <w:sz w:val="32"/>
          <w:szCs w:val="32"/>
        </w:rPr>
      </w:pPr>
    </w:p>
    <w:p w14:paraId="3039AECF">
      <w:pPr>
        <w:pStyle w:val="12"/>
        <w:spacing w:line="500" w:lineRule="exact"/>
        <w:jc w:val="both"/>
        <w:rPr>
          <w:b/>
          <w:sz w:val="36"/>
          <w:szCs w:val="28"/>
        </w:rPr>
      </w:pPr>
    </w:p>
    <w:p w14:paraId="5843813F">
      <w:pPr>
        <w:pStyle w:val="12"/>
        <w:spacing w:line="500" w:lineRule="exact"/>
        <w:jc w:val="center"/>
        <w:rPr>
          <w:b/>
          <w:sz w:val="36"/>
          <w:szCs w:val="28"/>
        </w:rPr>
      </w:pPr>
      <w:r>
        <w:rPr>
          <w:rFonts w:hint="eastAsia"/>
          <w:b/>
          <w:sz w:val="36"/>
          <w:szCs w:val="28"/>
        </w:rPr>
        <w:t>目录</w:t>
      </w:r>
    </w:p>
    <w:p w14:paraId="3C9A3A0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eastAsia="zh-CN"/>
        </w:rPr>
        <w:t>永州市生态环境局零陵分局</w:t>
      </w:r>
      <w:r>
        <w:rPr>
          <w:rFonts w:hint="eastAsia" w:ascii="黑体" w:hAnsi="黑体" w:eastAsia="黑体" w:cs="黑体"/>
          <w:b w:val="0"/>
          <w:bCs/>
          <w:sz w:val="28"/>
          <w:szCs w:val="28"/>
        </w:rPr>
        <w:t>概况</w:t>
      </w:r>
    </w:p>
    <w:p w14:paraId="7D74390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8CC75F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2423A27">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6F730A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B033C2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EF7729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53164E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146E46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2CB34E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EB9C62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0A6C96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1AB655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F236AB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0113A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FC44E6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9D1B98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3AC1F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167CFE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058578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8F1C7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14:paraId="51F8F7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DDB91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D77D19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B396F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A193A8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BDFE32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554C9244">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EB4E675">
      <w:pPr>
        <w:pStyle w:val="12"/>
        <w:spacing w:line="500" w:lineRule="exact"/>
        <w:rPr>
          <w:rFonts w:hint="default" w:ascii="黑体" w:hAnsi="黑体" w:eastAsia="黑体" w:cs="黑体"/>
          <w:b w:val="0"/>
          <w:bCs/>
          <w:sz w:val="28"/>
          <w:szCs w:val="28"/>
          <w:lang w:val="en-US" w:eastAsia="zh-CN"/>
        </w:rPr>
      </w:pPr>
      <w:r>
        <w:rPr>
          <w:rFonts w:hint="eastAsia" w:hAnsi="黑体" w:cs="黑体"/>
          <w:b w:val="0"/>
          <w:bCs/>
          <w:sz w:val="28"/>
          <w:szCs w:val="28"/>
          <w:lang w:val="en-US" w:eastAsia="zh-CN"/>
        </w:rPr>
        <w:t>第五部分 附件</w:t>
      </w:r>
    </w:p>
    <w:p w14:paraId="22F04CF7">
      <w:pPr>
        <w:jc w:val="center"/>
        <w:rPr>
          <w:sz w:val="72"/>
          <w:szCs w:val="72"/>
        </w:rPr>
      </w:pPr>
    </w:p>
    <w:p w14:paraId="097D1267">
      <w:pPr>
        <w:jc w:val="center"/>
        <w:rPr>
          <w:sz w:val="72"/>
          <w:szCs w:val="72"/>
        </w:rPr>
      </w:pPr>
    </w:p>
    <w:p w14:paraId="1C0FD814">
      <w:pPr>
        <w:jc w:val="center"/>
        <w:rPr>
          <w:sz w:val="72"/>
          <w:szCs w:val="72"/>
        </w:rPr>
      </w:pPr>
    </w:p>
    <w:p w14:paraId="0B3EB23A">
      <w:pPr>
        <w:jc w:val="center"/>
        <w:rPr>
          <w:sz w:val="72"/>
          <w:szCs w:val="72"/>
        </w:rPr>
      </w:pPr>
    </w:p>
    <w:p w14:paraId="43384387">
      <w:pPr>
        <w:rPr>
          <w:rFonts w:hint="eastAsia" w:ascii="方正小标宋_GBK" w:hAnsi="方正小标宋_GBK" w:eastAsia="方正小标宋_GBK" w:cs="方正小标宋_GBK"/>
          <w:sz w:val="72"/>
          <w:szCs w:val="72"/>
        </w:rPr>
      </w:pPr>
    </w:p>
    <w:p w14:paraId="6601333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61D6D25">
      <w:pPr>
        <w:pStyle w:val="12"/>
        <w:jc w:val="center"/>
        <w:rPr>
          <w:rFonts w:hint="eastAsia" w:ascii="宋体" w:hAnsi="宋体" w:eastAsia="宋体" w:cs="宋体"/>
          <w:b/>
          <w:bCs/>
          <w:sz w:val="84"/>
          <w:szCs w:val="84"/>
        </w:rPr>
      </w:pPr>
      <w:r>
        <w:rPr>
          <w:rFonts w:hint="eastAsia" w:ascii="宋体" w:hAnsi="宋体" w:eastAsia="宋体" w:cs="宋体"/>
          <w:b/>
          <w:bCs/>
          <w:sz w:val="84"/>
          <w:szCs w:val="84"/>
          <w:lang w:eastAsia="zh-CN"/>
        </w:rPr>
        <w:t>永州市生态环境局零陵分局</w:t>
      </w:r>
      <w:r>
        <w:rPr>
          <w:rFonts w:hint="eastAsia" w:ascii="宋体" w:hAnsi="宋体" w:eastAsia="宋体" w:cs="宋体"/>
          <w:b/>
          <w:bCs/>
          <w:sz w:val="84"/>
          <w:szCs w:val="84"/>
        </w:rPr>
        <w:t>概况</w:t>
      </w:r>
    </w:p>
    <w:p w14:paraId="2D0F4169">
      <w:pPr>
        <w:jc w:val="center"/>
        <w:rPr>
          <w:rFonts w:hint="eastAsia" w:ascii="方正小标宋_GBK" w:hAnsi="方正小标宋_GBK" w:eastAsia="方正小标宋_GBK" w:cs="方正小标宋_GBK"/>
          <w:sz w:val="72"/>
          <w:szCs w:val="72"/>
        </w:rPr>
      </w:pPr>
    </w:p>
    <w:p w14:paraId="4D6191CA">
      <w:pPr>
        <w:jc w:val="center"/>
        <w:rPr>
          <w:rFonts w:hint="eastAsia" w:ascii="方正小标宋_GBK" w:hAnsi="方正小标宋_GBK" w:eastAsia="方正小标宋_GBK" w:cs="方正小标宋_GBK"/>
          <w:sz w:val="72"/>
          <w:szCs w:val="72"/>
        </w:rPr>
      </w:pPr>
    </w:p>
    <w:p w14:paraId="22BBBBD8">
      <w:pPr>
        <w:jc w:val="center"/>
        <w:rPr>
          <w:sz w:val="72"/>
          <w:szCs w:val="72"/>
        </w:rPr>
      </w:pPr>
    </w:p>
    <w:p w14:paraId="0F7F7129">
      <w:pPr>
        <w:jc w:val="center"/>
        <w:rPr>
          <w:sz w:val="72"/>
          <w:szCs w:val="72"/>
        </w:rPr>
      </w:pPr>
    </w:p>
    <w:p w14:paraId="1E1500A8">
      <w:pPr>
        <w:jc w:val="both"/>
        <w:rPr>
          <w:sz w:val="72"/>
          <w:szCs w:val="72"/>
        </w:rPr>
      </w:pPr>
    </w:p>
    <w:p w14:paraId="600BCAB2">
      <w:pPr>
        <w:pStyle w:val="2"/>
        <w:rPr>
          <w:sz w:val="72"/>
          <w:szCs w:val="72"/>
        </w:rPr>
      </w:pPr>
    </w:p>
    <w:p w14:paraId="51CF30D4">
      <w:pPr>
        <w:pStyle w:val="13"/>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14:paraId="628761F8">
      <w:pPr>
        <w:pStyle w:val="13"/>
        <w:numPr>
          <w:ilvl w:val="0"/>
          <w:numId w:val="0"/>
        </w:numPr>
        <w:jc w:val="left"/>
        <w:rPr>
          <w:rFonts w:hint="eastAsia" w:ascii="仿宋" w:hAnsi="仿宋" w:eastAsia="仿宋" w:cs="仿宋"/>
          <w:kern w:val="2"/>
          <w:sz w:val="32"/>
          <w:szCs w:val="32"/>
        </w:rPr>
      </w:pPr>
      <w:r>
        <w:rPr>
          <w:rFonts w:hint="eastAsia" w:ascii="仿宋" w:hAnsi="仿宋" w:eastAsia="仿宋" w:cs="仿宋"/>
          <w:b w:val="0"/>
          <w:bCs/>
          <w:kern w:val="0"/>
          <w:sz w:val="32"/>
          <w:szCs w:val="32"/>
          <w:lang w:val="en-US" w:eastAsia="zh-CN"/>
        </w:rPr>
        <w:t>（一）</w:t>
      </w:r>
      <w:r>
        <w:rPr>
          <w:rFonts w:hint="eastAsia" w:ascii="仿宋" w:hAnsi="仿宋" w:eastAsia="仿宋" w:cs="仿宋"/>
          <w:kern w:val="2"/>
          <w:sz w:val="32"/>
          <w:szCs w:val="32"/>
        </w:rPr>
        <w:t>贯彻执行国家、省和市有关生态环境的法律法规和政策，负责生态环境保护方面的制度建设。会同同级有关部门制定辖区内生态环境规划、规范，并组织实施。会同同级有关部门编制并监督实施辖区内重点区域、流域、饮用水源地生态环境规划和水功能区划。</w:t>
      </w:r>
    </w:p>
    <w:p w14:paraId="3BB31A78">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统筹协调和监督管理生态环境保护工作。组织协调辖区内环境污染事故和生态破坏事件的调查处理，指导协调辖区内突发生态环境事件的应急、预警工作，参与实施生态环境损害赔偿制度。</w:t>
      </w:r>
    </w:p>
    <w:p w14:paraId="7EF1A152">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（三）</w:t>
      </w:r>
      <w:r>
        <w:rPr>
          <w:rFonts w:hint="eastAsia" w:ascii="仿宋" w:hAnsi="仿宋" w:eastAsia="仿宋" w:cs="仿宋"/>
          <w:kern w:val="2"/>
          <w:sz w:val="32"/>
          <w:szCs w:val="32"/>
        </w:rPr>
        <w:t>监督管理减排目标的落实。根据国家和省、市核定污染物减排指标，组织制定并监督实施本辖区内污染物排放总量控制计划及相关措施，监督实施排污许可制度，监督检查污染物减排任务完成情况，实施生态环境保护目标责任制。</w:t>
      </w:r>
    </w:p>
    <w:p w14:paraId="670EB654">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（四）</w:t>
      </w:r>
      <w:r>
        <w:rPr>
          <w:rFonts w:hint="eastAsia" w:ascii="仿宋" w:hAnsi="仿宋" w:eastAsia="仿宋" w:cs="仿宋"/>
          <w:kern w:val="2"/>
          <w:sz w:val="32"/>
          <w:szCs w:val="32"/>
        </w:rPr>
        <w:t>负责环境污染防治的监督管理。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14:paraId="1D124074">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（五）</w:t>
      </w:r>
      <w:r>
        <w:rPr>
          <w:rFonts w:hint="eastAsia" w:ascii="仿宋" w:hAnsi="仿宋" w:eastAsia="仿宋" w:cs="仿宋"/>
          <w:kern w:val="2"/>
          <w:sz w:val="32"/>
          <w:szCs w:val="32"/>
        </w:rPr>
        <w:t>指导协调和监督生态保护修复工作。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188B3C76">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（六）</w:t>
      </w:r>
      <w:r>
        <w:rPr>
          <w:rFonts w:hint="eastAsia" w:ascii="仿宋" w:hAnsi="仿宋" w:eastAsia="仿宋" w:cs="仿宋"/>
          <w:kern w:val="2"/>
          <w:sz w:val="32"/>
          <w:szCs w:val="32"/>
        </w:rPr>
        <w:t>负责核与辐射安全的监管工作。参与核事故和辐射环境事故应急处理；监管核设施和放射源安全，监督管理核设施、核技术应用、电磁辐射、伴有放射性矿产资源开发利用中的污染防治；对核材料管制核民用核安全设备的设计、制造、安装及无损检验活动实施监督管理。</w:t>
      </w:r>
    </w:p>
    <w:p w14:paraId="23591B57">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（七）</w:t>
      </w:r>
      <w:r>
        <w:rPr>
          <w:rFonts w:hint="eastAsia" w:ascii="仿宋" w:hAnsi="仿宋" w:eastAsia="仿宋" w:cs="仿宋"/>
          <w:kern w:val="2"/>
          <w:sz w:val="32"/>
          <w:szCs w:val="32"/>
        </w:rPr>
        <w:t>负责生态环境准入的监督管理。组织实施生态环境准入清单。按规定审批或审查开发建设区域、规划、项目环境影响评价文件。</w:t>
      </w:r>
    </w:p>
    <w:p w14:paraId="53C8EEC4">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（八）</w:t>
      </w:r>
      <w:r>
        <w:rPr>
          <w:rFonts w:hint="eastAsia" w:ascii="仿宋" w:hAnsi="仿宋" w:eastAsia="仿宋" w:cs="仿宋"/>
          <w:kern w:val="2"/>
          <w:sz w:val="32"/>
          <w:szCs w:val="32"/>
        </w:rPr>
        <w:t>负责生态环境监测工作。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744F6BBD">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（九）</w:t>
      </w:r>
      <w:r>
        <w:rPr>
          <w:rFonts w:hint="eastAsia" w:ascii="仿宋" w:hAnsi="仿宋" w:eastAsia="仿宋" w:cs="仿宋"/>
          <w:kern w:val="2"/>
          <w:sz w:val="32"/>
          <w:szCs w:val="32"/>
        </w:rPr>
        <w:t>协调配合生态环境保护督察。组织协调配合中央、省生态环境保护督察工作；对生态环境保护督察反馈问题整改情况进行跟踪督办，对贯彻落实不到位、整改不力的提请问责。</w:t>
      </w:r>
    </w:p>
    <w:p w14:paraId="0A0207E9">
      <w:pPr>
        <w:widowControl/>
        <w:spacing w:line="600" w:lineRule="exact"/>
        <w:rPr>
          <w:rFonts w:hint="eastAsia" w:ascii="仿宋" w:hAnsi="仿宋" w:eastAsia="仿宋" w:cs="仿宋"/>
          <w:kern w:val="2"/>
          <w:sz w:val="32"/>
          <w:szCs w:val="32"/>
        </w:rPr>
      </w:pPr>
      <w:r>
        <w:rPr>
          <w:rFonts w:hint="eastAsia" w:ascii="仿宋" w:hAnsi="仿宋" w:eastAsia="仿宋" w:cs="仿宋"/>
          <w:kern w:val="2"/>
          <w:sz w:val="32"/>
          <w:szCs w:val="32"/>
          <w:lang w:eastAsia="zh-CN"/>
        </w:rPr>
        <w:t>（十）</w:t>
      </w:r>
      <w:r>
        <w:rPr>
          <w:rFonts w:hint="eastAsia" w:ascii="仿宋" w:hAnsi="仿宋" w:eastAsia="仿宋" w:cs="仿宋"/>
          <w:kern w:val="2"/>
          <w:sz w:val="32"/>
          <w:szCs w:val="32"/>
        </w:rPr>
        <w:t>组织指导和协调生态环境宣传教育工作。推动社会组织和公众参与生态环境保护。开展生态环境科技工作，组织生态环境科学研究和技术工程示范，推动生态环境技术管理体系建设。</w:t>
      </w:r>
    </w:p>
    <w:p w14:paraId="54C16B48">
      <w:pPr>
        <w:pStyle w:val="6"/>
        <w:widowControl/>
        <w:shd w:val="clear" w:color="auto" w:fill="FFFFFF"/>
        <w:spacing w:before="0" w:beforeAutospacing="0" w:after="0" w:afterAutospacing="0"/>
        <w:rPr>
          <w:rFonts w:hint="eastAsia" w:ascii="仿宋" w:hAnsi="仿宋" w:eastAsia="仿宋" w:cs="仿宋"/>
          <w:kern w:val="2"/>
          <w:sz w:val="32"/>
          <w:szCs w:val="32"/>
        </w:rPr>
      </w:pPr>
      <w:r>
        <w:rPr>
          <w:rFonts w:hint="eastAsia" w:ascii="仿宋" w:hAnsi="仿宋" w:eastAsia="仿宋" w:cs="仿宋"/>
          <w:kern w:val="2"/>
          <w:sz w:val="32"/>
          <w:szCs w:val="32"/>
          <w:lang w:eastAsia="zh-CN"/>
        </w:rPr>
        <w:t>（十一）</w:t>
      </w:r>
      <w:r>
        <w:rPr>
          <w:rFonts w:hint="eastAsia" w:ascii="仿宋" w:hAnsi="仿宋" w:eastAsia="仿宋" w:cs="仿宋"/>
          <w:kern w:val="2"/>
          <w:sz w:val="32"/>
          <w:szCs w:val="32"/>
        </w:rPr>
        <w:t>完成市生态环境局交办的其他任务，协助区委、区政府开展生态环境保护工作，指导乡镇（街道）的生态环境保护工作</w:t>
      </w:r>
    </w:p>
    <w:p w14:paraId="2D3AD991">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14:paraId="169C4A77">
      <w:pPr>
        <w:widowControl/>
        <w:spacing w:line="600" w:lineRule="exact"/>
        <w:ind w:firstLine="960" w:firstLineChars="300"/>
        <w:rPr>
          <w:rFonts w:hint="eastAsia" w:ascii="仿宋_GB2312" w:hAnsi="仿宋_GB2312" w:eastAsia="仿宋_GB2312" w:cs="仿宋_GB2312"/>
          <w:b/>
          <w:bCs w:val="0"/>
          <w:color w:val="FF0000"/>
          <w:kern w:val="0"/>
          <w:sz w:val="32"/>
          <w:szCs w:val="32"/>
        </w:rPr>
      </w:pPr>
      <w:r>
        <w:rPr>
          <w:rFonts w:hint="eastAsia" w:ascii="楷体_GB2312" w:hAnsi="楷体_GB2312" w:eastAsia="楷体_GB2312" w:cs="楷体_GB2312"/>
          <w:b/>
          <w:bCs w:val="0"/>
          <w:kern w:val="0"/>
          <w:sz w:val="32"/>
          <w:szCs w:val="32"/>
        </w:rPr>
        <w:t>（一）内设机构设置。</w:t>
      </w:r>
      <w:r>
        <w:rPr>
          <w:rFonts w:hint="eastAsia" w:ascii="仿宋" w:hAnsi="仿宋" w:eastAsia="仿宋" w:cs="仿宋"/>
          <w:b w:val="0"/>
          <w:bCs w:val="0"/>
          <w:sz w:val="32"/>
          <w:szCs w:val="32"/>
          <w:lang w:val="en-US" w:eastAsia="zh-CN"/>
        </w:rPr>
        <w:t>永州市生态环境局零陵分局</w:t>
      </w:r>
      <w:r>
        <w:rPr>
          <w:rFonts w:hint="eastAsia" w:ascii="仿宋_GB2312" w:hAnsi="仿宋_GB2312" w:eastAsia="仿宋_GB2312" w:cs="仿宋_GB2312"/>
          <w:bCs/>
          <w:kern w:val="0"/>
          <w:sz w:val="32"/>
          <w:szCs w:val="32"/>
        </w:rPr>
        <w:t>内设机构包括：</w:t>
      </w:r>
      <w:r>
        <w:rPr>
          <w:rFonts w:hint="eastAsia" w:ascii="仿宋" w:hAnsi="仿宋" w:eastAsia="仿宋" w:cs="仿宋"/>
          <w:kern w:val="2"/>
          <w:sz w:val="32"/>
          <w:szCs w:val="32"/>
        </w:rPr>
        <w:t>办公室、人事宣教法规股、自然生态保护与环境监测股、环境影响评价与排放管理股、污染防治监管股</w:t>
      </w:r>
      <w:r>
        <w:rPr>
          <w:rFonts w:hint="eastAsia" w:ascii="仿宋" w:hAnsi="仿宋" w:eastAsia="仿宋" w:cs="仿宋"/>
          <w:kern w:val="2"/>
          <w:sz w:val="32"/>
          <w:szCs w:val="32"/>
          <w:lang w:eastAsia="zh-CN"/>
        </w:rPr>
        <w:t>、永州市</w:t>
      </w:r>
      <w:r>
        <w:rPr>
          <w:rFonts w:hint="eastAsia" w:ascii="仿宋" w:hAnsi="仿宋" w:eastAsia="仿宋" w:cs="仿宋"/>
          <w:kern w:val="2"/>
          <w:sz w:val="32"/>
          <w:szCs w:val="32"/>
        </w:rPr>
        <w:t>零陵生态环境监测站</w:t>
      </w:r>
      <w:r>
        <w:rPr>
          <w:rFonts w:hint="eastAsia" w:ascii="仿宋" w:hAnsi="仿宋" w:eastAsia="仿宋" w:cs="仿宋"/>
          <w:kern w:val="2"/>
          <w:sz w:val="32"/>
          <w:szCs w:val="32"/>
          <w:lang w:eastAsia="zh-CN"/>
        </w:rPr>
        <w:t>。</w:t>
      </w:r>
    </w:p>
    <w:p w14:paraId="02A457A6">
      <w:pPr>
        <w:widowControl/>
        <w:numPr>
          <w:ilvl w:val="0"/>
          <w:numId w:val="0"/>
        </w:numPr>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b/>
          <w:bCs w:val="0"/>
          <w:kern w:val="0"/>
          <w:sz w:val="32"/>
          <w:szCs w:val="32"/>
        </w:rPr>
        <w:t>（二）决算单位构成。</w:t>
      </w:r>
      <w:r>
        <w:rPr>
          <w:rFonts w:hint="eastAsia" w:ascii="仿宋" w:hAnsi="仿宋" w:eastAsia="仿宋" w:cs="仿宋"/>
          <w:b w:val="0"/>
          <w:bCs w:val="0"/>
          <w:sz w:val="32"/>
          <w:szCs w:val="32"/>
          <w:lang w:val="en-US" w:eastAsia="zh-CN"/>
        </w:rPr>
        <w:t>永州市生态环境局零陵分局</w:t>
      </w:r>
      <w:r>
        <w:rPr>
          <w:rFonts w:hint="eastAsia" w:ascii="Times New Roman" w:hAnsi="Times New Roman" w:eastAsia="仿宋_GB2312" w:cs="黑体"/>
          <w:color w:val="000000"/>
          <w:kern w:val="0"/>
          <w:sz w:val="32"/>
          <w:szCs w:val="32"/>
          <w:lang w:val="en-US" w:eastAsia="zh-CN" w:bidi="ar-SA"/>
        </w:rPr>
        <w:t>2023年部门决算汇总公开单位构成包括：</w:t>
      </w:r>
      <w:r>
        <w:rPr>
          <w:rFonts w:hint="eastAsia" w:ascii="仿宋" w:hAnsi="仿宋" w:eastAsia="仿宋" w:cs="仿宋"/>
          <w:b w:val="0"/>
          <w:bCs w:val="0"/>
          <w:sz w:val="32"/>
          <w:szCs w:val="32"/>
          <w:lang w:val="en-US" w:eastAsia="zh-CN"/>
        </w:rPr>
        <w:t>永州市生态环境局零陵分局</w:t>
      </w:r>
      <w:r>
        <w:rPr>
          <w:rFonts w:hint="eastAsia" w:ascii="Times New Roman" w:hAnsi="Times New Roman" w:eastAsia="仿宋_GB2312" w:cs="黑体"/>
          <w:color w:val="000000"/>
          <w:kern w:val="0"/>
          <w:sz w:val="32"/>
          <w:szCs w:val="32"/>
          <w:lang w:val="en-US" w:eastAsia="zh-CN" w:bidi="ar-SA"/>
        </w:rPr>
        <w:t>本级以及</w:t>
      </w:r>
      <w:r>
        <w:rPr>
          <w:rFonts w:hint="eastAsia" w:ascii="仿宋" w:hAnsi="仿宋" w:eastAsia="仿宋" w:cs="仿宋"/>
          <w:b w:val="0"/>
          <w:bCs w:val="0"/>
          <w:sz w:val="32"/>
          <w:szCs w:val="32"/>
          <w:lang w:val="en-US" w:eastAsia="zh-CN"/>
        </w:rPr>
        <w:t>3个下属事业单位：</w:t>
      </w:r>
      <w:r>
        <w:rPr>
          <w:rFonts w:hint="eastAsia" w:ascii="仿宋" w:hAnsi="仿宋" w:eastAsia="仿宋" w:cs="仿宋"/>
          <w:kern w:val="2"/>
          <w:sz w:val="32"/>
          <w:szCs w:val="32"/>
          <w:lang w:eastAsia="zh-CN"/>
        </w:rPr>
        <w:t>永州市</w:t>
      </w:r>
      <w:r>
        <w:rPr>
          <w:rFonts w:hint="eastAsia" w:ascii="仿宋" w:hAnsi="仿宋" w:eastAsia="仿宋" w:cs="仿宋"/>
          <w:kern w:val="2"/>
          <w:sz w:val="32"/>
          <w:szCs w:val="32"/>
        </w:rPr>
        <w:t>零陵生态环境监测站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零陵区固体废物与辐射管理站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零陵区生态环境事务中心</w:t>
      </w:r>
      <w:r>
        <w:rPr>
          <w:rFonts w:hint="eastAsia" w:ascii="仿宋" w:hAnsi="仿宋" w:eastAsia="仿宋" w:cs="仿宋"/>
          <w:kern w:val="2"/>
          <w:sz w:val="32"/>
          <w:szCs w:val="32"/>
          <w:lang w:eastAsia="zh-CN"/>
        </w:rPr>
        <w:t>。</w:t>
      </w:r>
    </w:p>
    <w:p w14:paraId="4BFB6CCE">
      <w:pPr>
        <w:pStyle w:val="12"/>
        <w:jc w:val="center"/>
        <w:rPr>
          <w:rFonts w:hint="eastAsia" w:ascii="方正小标宋_GBK" w:hAnsi="方正小标宋_GBK" w:eastAsia="方正小标宋_GBK" w:cs="方正小标宋_GBK"/>
          <w:sz w:val="84"/>
          <w:szCs w:val="84"/>
        </w:rPr>
      </w:pPr>
      <w:bookmarkStart w:id="1" w:name="_GoBack"/>
      <w:bookmarkEnd w:id="1"/>
    </w:p>
    <w:p w14:paraId="79AA376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4DCF11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055D586">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794F25E7">
      <w:pPr>
        <w:pStyle w:val="12"/>
        <w:jc w:val="center"/>
        <w:rPr>
          <w:rFonts w:hint="eastAsia" w:ascii="方正小标宋_GBK" w:hAnsi="方正小标宋_GBK" w:eastAsia="方正小标宋_GBK" w:cs="方正小标宋_GBK"/>
          <w:sz w:val="84"/>
          <w:szCs w:val="84"/>
        </w:rPr>
      </w:pPr>
    </w:p>
    <w:p w14:paraId="29D770D3">
      <w:pPr>
        <w:jc w:val="center"/>
        <w:rPr>
          <w:sz w:val="72"/>
          <w:szCs w:val="72"/>
        </w:rPr>
      </w:pPr>
    </w:p>
    <w:p w14:paraId="4F5CD1DE">
      <w:pPr>
        <w:pStyle w:val="12"/>
        <w:jc w:val="both"/>
        <w:rPr>
          <w:sz w:val="72"/>
          <w:szCs w:val="72"/>
        </w:rPr>
      </w:pPr>
    </w:p>
    <w:p w14:paraId="042C434C">
      <w:pPr>
        <w:pStyle w:val="12"/>
        <w:jc w:val="center"/>
        <w:rPr>
          <w:rFonts w:hint="eastAsia" w:ascii="方正小标宋_GBK" w:hAnsi="方正小标宋_GBK" w:eastAsia="方正小标宋_GBK" w:cs="方正小标宋_GBK"/>
          <w:sz w:val="72"/>
          <w:szCs w:val="72"/>
        </w:rPr>
      </w:pPr>
    </w:p>
    <w:p w14:paraId="3BA822DB">
      <w:pPr>
        <w:pStyle w:val="12"/>
        <w:jc w:val="center"/>
        <w:rPr>
          <w:rFonts w:hint="eastAsia" w:ascii="方正小标宋_GBK" w:hAnsi="方正小标宋_GBK" w:eastAsia="方正小标宋_GBK" w:cs="方正小标宋_GBK"/>
          <w:sz w:val="72"/>
          <w:szCs w:val="72"/>
        </w:rPr>
      </w:pPr>
    </w:p>
    <w:p w14:paraId="6851D6C1">
      <w:pPr>
        <w:pStyle w:val="12"/>
        <w:jc w:val="center"/>
        <w:rPr>
          <w:rFonts w:hint="eastAsia" w:ascii="方正小标宋_GBK" w:hAnsi="方正小标宋_GBK" w:eastAsia="方正小标宋_GBK" w:cs="方正小标宋_GBK"/>
          <w:sz w:val="72"/>
          <w:szCs w:val="72"/>
        </w:rPr>
      </w:pPr>
    </w:p>
    <w:p w14:paraId="42FBFEA2">
      <w:pPr>
        <w:pStyle w:val="12"/>
        <w:jc w:val="center"/>
        <w:rPr>
          <w:rFonts w:hint="eastAsia" w:ascii="方正小标宋_GBK" w:hAnsi="方正小标宋_GBK" w:eastAsia="方正小标宋_GBK" w:cs="方正小标宋_GBK"/>
          <w:sz w:val="72"/>
          <w:szCs w:val="72"/>
        </w:rPr>
      </w:pPr>
    </w:p>
    <w:p w14:paraId="4DB529D6">
      <w:pPr>
        <w:pStyle w:val="12"/>
        <w:jc w:val="center"/>
        <w:rPr>
          <w:rFonts w:hint="eastAsia" w:ascii="方正小标宋_GBK" w:hAnsi="方正小标宋_GBK" w:eastAsia="方正小标宋_GBK" w:cs="方正小标宋_GBK"/>
          <w:sz w:val="72"/>
          <w:szCs w:val="72"/>
        </w:rPr>
      </w:pPr>
    </w:p>
    <w:p w14:paraId="37E0707E">
      <w:pPr>
        <w:pStyle w:val="12"/>
        <w:jc w:val="center"/>
        <w:rPr>
          <w:rFonts w:hint="eastAsia" w:ascii="方正小标宋_GBK" w:hAnsi="方正小标宋_GBK" w:eastAsia="方正小标宋_GBK" w:cs="方正小标宋_GBK"/>
          <w:sz w:val="72"/>
          <w:szCs w:val="72"/>
        </w:rPr>
      </w:pPr>
    </w:p>
    <w:p w14:paraId="3C6694E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201BA8">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AEA4ED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10D50A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C90658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2570.39</w:t>
      </w:r>
      <w:r>
        <w:rPr>
          <w:rFonts w:hint="eastAsia" w:ascii="Times New Roman" w:hAnsi="Times New Roman" w:eastAsia="仿宋_GB2312"/>
          <w:sz w:val="32"/>
          <w:szCs w:val="32"/>
        </w:rPr>
        <w:t>万元。与上年相比，减少-292.02万元，减少</w:t>
      </w:r>
      <w:r>
        <w:rPr>
          <w:rFonts w:hint="eastAsia" w:ascii="Times New Roman" w:hAnsi="Times New Roman" w:eastAsia="仿宋_GB2312"/>
          <w:sz w:val="32"/>
          <w:szCs w:val="32"/>
          <w:lang w:val="en-US" w:eastAsia="zh-CN"/>
        </w:rPr>
        <w:t>10.20</w:t>
      </w:r>
      <w:r>
        <w:rPr>
          <w:rFonts w:hint="eastAsia" w:ascii="Times New Roman" w:hAnsi="Times New Roman" w:eastAsia="仿宋_GB2312"/>
          <w:sz w:val="32"/>
          <w:szCs w:val="32"/>
        </w:rPr>
        <w:t>%，主要是因为上级部门安排的生态环保项目资金减少</w:t>
      </w:r>
      <w:r>
        <w:rPr>
          <w:rFonts w:hint="eastAsia" w:ascii="Times New Roman" w:hAnsi="Times New Roman" w:eastAsia="仿宋_GB2312"/>
          <w:sz w:val="32"/>
          <w:szCs w:val="32"/>
          <w:lang w:eastAsia="zh-CN"/>
        </w:rPr>
        <w:t>。</w:t>
      </w:r>
    </w:p>
    <w:p w14:paraId="207D048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2570.39</w:t>
      </w:r>
      <w:r>
        <w:rPr>
          <w:rFonts w:hint="eastAsia" w:ascii="Times New Roman" w:hAnsi="Times New Roman" w:eastAsia="仿宋_GB2312"/>
          <w:sz w:val="32"/>
          <w:szCs w:val="32"/>
        </w:rPr>
        <w:t>万元。与上年相比，减少-292.02万元，减少</w:t>
      </w:r>
      <w:r>
        <w:rPr>
          <w:rFonts w:hint="eastAsia" w:ascii="Times New Roman" w:hAnsi="Times New Roman" w:eastAsia="仿宋_GB2312"/>
          <w:sz w:val="32"/>
          <w:szCs w:val="32"/>
          <w:lang w:val="en-US" w:eastAsia="zh-CN"/>
        </w:rPr>
        <w:t>10.20</w:t>
      </w:r>
      <w:r>
        <w:rPr>
          <w:rFonts w:hint="eastAsia" w:ascii="Times New Roman" w:hAnsi="Times New Roman" w:eastAsia="仿宋_GB2312"/>
          <w:sz w:val="32"/>
          <w:szCs w:val="32"/>
        </w:rPr>
        <w:t>%，主要是因为上级部门安排的生态环保项目资金减少</w:t>
      </w:r>
      <w:r>
        <w:rPr>
          <w:rFonts w:hint="eastAsia" w:ascii="Times New Roman" w:hAnsi="Times New Roman" w:eastAsia="仿宋_GB2312"/>
          <w:sz w:val="32"/>
          <w:szCs w:val="32"/>
          <w:lang w:eastAsia="zh-CN"/>
        </w:rPr>
        <w:t>。</w:t>
      </w:r>
    </w:p>
    <w:p w14:paraId="0C7936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7FE14C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2570.39</w:t>
      </w:r>
      <w:r>
        <w:rPr>
          <w:rFonts w:hint="eastAsia" w:ascii="Times New Roman" w:hAnsi="Times New Roman" w:eastAsia="仿宋_GB2312"/>
          <w:sz w:val="32"/>
          <w:szCs w:val="32"/>
        </w:rPr>
        <w:t>万元，其中：财政拨款收入1016.28万元，占</w:t>
      </w:r>
      <w:r>
        <w:rPr>
          <w:rFonts w:hint="eastAsia" w:ascii="Times New Roman" w:hAnsi="Times New Roman" w:eastAsia="仿宋_GB2312"/>
          <w:sz w:val="32"/>
          <w:szCs w:val="32"/>
          <w:lang w:val="en-US" w:eastAsia="zh-CN"/>
        </w:rPr>
        <w:t>39.54</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%；其他收入1554.1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60.46</w:t>
      </w:r>
      <w:r>
        <w:rPr>
          <w:rFonts w:hint="eastAsia" w:ascii="Times New Roman" w:hAnsi="Times New Roman" w:eastAsia="仿宋_GB2312"/>
          <w:sz w:val="32"/>
          <w:szCs w:val="32"/>
        </w:rPr>
        <w:t>%。</w:t>
      </w:r>
    </w:p>
    <w:p w14:paraId="31DBFE5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2FBAC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2570.39</w:t>
      </w:r>
      <w:r>
        <w:rPr>
          <w:rFonts w:hint="eastAsia" w:ascii="Times New Roman" w:hAnsi="Times New Roman" w:eastAsia="仿宋_GB2312"/>
          <w:sz w:val="32"/>
          <w:szCs w:val="32"/>
        </w:rPr>
        <w:t>万元，其中：基本支出1128.8</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43.92</w:t>
      </w:r>
      <w:r>
        <w:rPr>
          <w:rFonts w:hint="eastAsia" w:ascii="Times New Roman" w:hAnsi="Times New Roman" w:eastAsia="仿宋_GB2312"/>
          <w:sz w:val="32"/>
          <w:szCs w:val="32"/>
        </w:rPr>
        <w:t>%；项目支出1441.54万元，占</w:t>
      </w:r>
      <w:r>
        <w:rPr>
          <w:rFonts w:hint="eastAsia" w:ascii="Times New Roman" w:hAnsi="Times New Roman" w:eastAsia="仿宋_GB2312"/>
          <w:sz w:val="32"/>
          <w:szCs w:val="32"/>
          <w:lang w:val="en-US" w:eastAsia="zh-CN"/>
        </w:rPr>
        <w:t>56.08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638D2B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444AE3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总计1016.2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万元，与上年相比，增加40.13万元,增长</w:t>
      </w:r>
      <w:r>
        <w:rPr>
          <w:rFonts w:hint="eastAsia" w:ascii="Times New Roman" w:hAnsi="Times New Roman" w:eastAsia="仿宋_GB2312"/>
          <w:sz w:val="32"/>
          <w:szCs w:val="32"/>
          <w:lang w:val="en-US" w:eastAsia="zh-CN"/>
        </w:rPr>
        <w:t>4.11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市本级公用经费增加</w:t>
      </w:r>
      <w:r>
        <w:rPr>
          <w:rFonts w:hint="eastAsia" w:ascii="Times New Roman" w:hAnsi="Times New Roman" w:eastAsia="仿宋_GB2312"/>
          <w:sz w:val="32"/>
          <w:szCs w:val="32"/>
          <w:lang w:eastAsia="zh-CN"/>
        </w:rPr>
        <w:t>。</w:t>
      </w:r>
    </w:p>
    <w:p w14:paraId="3CAA5AE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总计1016.2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万元，与上年相比，增加40.13万元,增长</w:t>
      </w:r>
      <w:r>
        <w:rPr>
          <w:rFonts w:hint="eastAsia" w:ascii="Times New Roman" w:hAnsi="Times New Roman" w:eastAsia="仿宋_GB2312"/>
          <w:sz w:val="32"/>
          <w:szCs w:val="32"/>
          <w:lang w:val="en-US" w:eastAsia="zh-CN"/>
        </w:rPr>
        <w:t>4.11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市本级公用经费增加</w:t>
      </w:r>
      <w:r>
        <w:rPr>
          <w:rFonts w:hint="eastAsia" w:ascii="Times New Roman" w:hAnsi="Times New Roman" w:eastAsia="仿宋_GB2312"/>
          <w:sz w:val="32"/>
          <w:szCs w:val="32"/>
          <w:lang w:eastAsia="zh-CN"/>
        </w:rPr>
        <w:t>。</w:t>
      </w:r>
    </w:p>
    <w:p w14:paraId="278D750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9BB37E9">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财政拨款支出决算总体情况</w:t>
      </w:r>
    </w:p>
    <w:p w14:paraId="7A2B828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年度财政拨款支出1016.2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39.54</w:t>
      </w:r>
      <w:r>
        <w:rPr>
          <w:rFonts w:hint="eastAsia" w:ascii="Times New Roman" w:hAnsi="Times New Roman" w:eastAsia="仿宋_GB2312"/>
          <w:sz w:val="32"/>
          <w:szCs w:val="32"/>
        </w:rPr>
        <w:t>%，与上年相比，财政拨款支出增加40.13万元,增长</w:t>
      </w:r>
      <w:r>
        <w:rPr>
          <w:rFonts w:hint="eastAsia" w:ascii="Times New Roman" w:hAnsi="Times New Roman" w:eastAsia="仿宋_GB2312"/>
          <w:sz w:val="32"/>
          <w:szCs w:val="32"/>
          <w:lang w:val="en-US" w:eastAsia="zh-CN"/>
        </w:rPr>
        <w:t>4.11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市本级公用经费增加</w:t>
      </w:r>
      <w:r>
        <w:rPr>
          <w:rFonts w:hint="eastAsia" w:ascii="Times New Roman" w:hAnsi="Times New Roman" w:eastAsia="仿宋_GB2312"/>
          <w:sz w:val="32"/>
          <w:szCs w:val="32"/>
          <w:lang w:eastAsia="zh-CN"/>
        </w:rPr>
        <w:t>。</w:t>
      </w:r>
    </w:p>
    <w:p w14:paraId="74B5985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7137CC3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财政拨款支出决算结构情况</w:t>
      </w:r>
    </w:p>
    <w:p w14:paraId="5497693D">
      <w:pPr>
        <w:pStyle w:val="12"/>
        <w:ind w:firstLine="640" w:firstLineChars="200"/>
        <w:rPr>
          <w:rFonts w:hint="eastAsia" w:eastAsia="仿宋_GB2312" w:asciiTheme="minorEastAsia" w:hAnsiTheme="minorEastAsia"/>
          <w:b w:val="0"/>
          <w:bCs w:val="0"/>
          <w:color w:val="FF0000"/>
          <w:sz w:val="32"/>
          <w:szCs w:val="32"/>
          <w:lang w:val="en-US"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年度财政拨款支出1016.2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万元，主要用于以下方</w:t>
      </w:r>
      <w:r>
        <w:rPr>
          <w:rFonts w:hint="eastAsia" w:ascii="Times New Roman" w:hAnsi="Times New Roman" w:eastAsia="仿宋_GB2312"/>
          <w:color w:val="auto"/>
          <w:sz w:val="32"/>
          <w:szCs w:val="32"/>
        </w:rPr>
        <w:t>面</w:t>
      </w:r>
      <w:r>
        <w:rPr>
          <w:rFonts w:hint="eastAsia" w:ascii="Times New Roman" w:hAnsi="Times New Roman" w:eastAsia="仿宋_GB2312"/>
          <w:color w:val="auto"/>
          <w:sz w:val="32"/>
          <w:szCs w:val="32"/>
          <w:lang w:eastAsia="zh-CN"/>
        </w:rPr>
        <w:t>：</w:t>
      </w:r>
      <w:r>
        <w:rPr>
          <w:rFonts w:hint="eastAsia" w:ascii="Times New Roman" w:hAnsi="Times New Roman" w:eastAsia="仿宋_GB2312"/>
          <w:b w:val="0"/>
          <w:bCs w:val="0"/>
          <w:color w:val="auto"/>
          <w:sz w:val="32"/>
          <w:szCs w:val="32"/>
          <w:lang w:val="en-US" w:eastAsia="zh-CN"/>
        </w:rPr>
        <w:t>社会保障和就业（类）</w:t>
      </w:r>
      <w:r>
        <w:rPr>
          <w:rFonts w:hint="eastAsia" w:ascii="Times New Roman" w:hAnsi="Times New Roman" w:eastAsia="仿宋_GB2312"/>
          <w:b w:val="0"/>
          <w:bCs w:val="0"/>
          <w:color w:val="auto"/>
          <w:sz w:val="32"/>
          <w:szCs w:val="32"/>
        </w:rPr>
        <w:t>支出103</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9</w:t>
      </w:r>
      <w:r>
        <w:rPr>
          <w:rFonts w:hint="eastAsia" w:ascii="Times New Roman" w:hAnsi="Times New Roman" w:eastAsia="仿宋_GB2312"/>
          <w:b w:val="0"/>
          <w:bCs w:val="0"/>
          <w:color w:val="auto"/>
          <w:sz w:val="32"/>
          <w:szCs w:val="32"/>
          <w:lang w:val="en-US" w:eastAsia="zh-CN"/>
        </w:rPr>
        <w:t>3</w:t>
      </w:r>
      <w:r>
        <w:rPr>
          <w:rFonts w:hint="eastAsia" w:ascii="Times New Roman" w:hAnsi="Times New Roman" w:eastAsia="仿宋_GB2312"/>
          <w:b w:val="0"/>
          <w:bCs w:val="0"/>
          <w:color w:val="auto"/>
          <w:sz w:val="32"/>
          <w:szCs w:val="32"/>
        </w:rPr>
        <w:t>万元，占</w:t>
      </w:r>
      <w:r>
        <w:rPr>
          <w:rFonts w:hint="eastAsia" w:ascii="Times New Roman" w:hAnsi="Times New Roman" w:eastAsia="仿宋_GB2312"/>
          <w:b w:val="0"/>
          <w:bCs w:val="0"/>
          <w:color w:val="auto"/>
          <w:sz w:val="32"/>
          <w:szCs w:val="32"/>
          <w:lang w:val="en-US" w:eastAsia="zh-CN"/>
        </w:rPr>
        <w:t>10.23</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卫生健康（类）</w:t>
      </w:r>
      <w:r>
        <w:rPr>
          <w:rFonts w:hint="eastAsia" w:ascii="Times New Roman" w:hAnsi="Times New Roman" w:eastAsia="仿宋_GB2312"/>
          <w:b w:val="0"/>
          <w:bCs w:val="0"/>
          <w:color w:val="auto"/>
          <w:sz w:val="32"/>
          <w:szCs w:val="32"/>
        </w:rPr>
        <w:t>支出46</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24万元，占</w:t>
      </w:r>
      <w:r>
        <w:rPr>
          <w:rFonts w:hint="eastAsia" w:ascii="Times New Roman" w:hAnsi="Times New Roman" w:eastAsia="仿宋_GB2312"/>
          <w:b w:val="0"/>
          <w:bCs w:val="0"/>
          <w:color w:val="auto"/>
          <w:sz w:val="32"/>
          <w:szCs w:val="32"/>
          <w:lang w:val="en-US" w:eastAsia="zh-CN"/>
        </w:rPr>
        <w:t>4.55</w:t>
      </w:r>
      <w:r>
        <w:rPr>
          <w:rFonts w:hint="eastAsia" w:ascii="Times New Roman" w:hAnsi="Times New Roman" w:eastAsia="仿宋_GB2312"/>
          <w:b w:val="0"/>
          <w:bCs w:val="0"/>
          <w:color w:val="auto"/>
          <w:sz w:val="32"/>
          <w:szCs w:val="32"/>
        </w:rPr>
        <w:t>%;节能环保</w:t>
      </w:r>
      <w:r>
        <w:rPr>
          <w:rFonts w:hint="eastAsia" w:ascii="Times New Roman" w:hAnsi="Times New Roman" w:eastAsia="仿宋_GB2312"/>
          <w:b w:val="0"/>
          <w:bCs w:val="0"/>
          <w:color w:val="auto"/>
          <w:sz w:val="32"/>
          <w:szCs w:val="32"/>
          <w:lang w:val="en-US" w:eastAsia="zh-CN"/>
        </w:rPr>
        <w:t>（类）</w:t>
      </w:r>
      <w:r>
        <w:rPr>
          <w:rFonts w:hint="eastAsia" w:ascii="Times New Roman" w:hAnsi="Times New Roman" w:eastAsia="仿宋_GB2312"/>
          <w:b w:val="0"/>
          <w:bCs w:val="0"/>
          <w:color w:val="auto"/>
          <w:sz w:val="32"/>
          <w:szCs w:val="32"/>
        </w:rPr>
        <w:t>支出780</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55</w:t>
      </w:r>
      <w:r>
        <w:rPr>
          <w:rFonts w:hint="eastAsia" w:ascii="Times New Roman" w:hAnsi="Times New Roman" w:eastAsia="仿宋_GB2312"/>
          <w:b w:val="0"/>
          <w:bCs w:val="0"/>
          <w:color w:val="auto"/>
          <w:sz w:val="32"/>
          <w:szCs w:val="32"/>
          <w:lang w:val="en-US" w:eastAsia="zh-CN"/>
        </w:rPr>
        <w:t>万元，</w:t>
      </w:r>
      <w:r>
        <w:rPr>
          <w:rFonts w:hint="eastAsia" w:ascii="Times New Roman" w:hAnsi="Times New Roman" w:eastAsia="仿宋_GB2312"/>
          <w:b w:val="0"/>
          <w:bCs w:val="0"/>
          <w:color w:val="auto"/>
          <w:sz w:val="32"/>
          <w:szCs w:val="32"/>
        </w:rPr>
        <w:t>占</w:t>
      </w:r>
      <w:r>
        <w:rPr>
          <w:rFonts w:hint="eastAsia" w:ascii="Times New Roman" w:hAnsi="Times New Roman" w:eastAsia="仿宋_GB2312"/>
          <w:b w:val="0"/>
          <w:bCs w:val="0"/>
          <w:color w:val="auto"/>
          <w:sz w:val="32"/>
          <w:szCs w:val="32"/>
          <w:lang w:val="en-US" w:eastAsia="zh-CN"/>
        </w:rPr>
        <w:t>76.80</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住房保障</w:t>
      </w:r>
      <w:r>
        <w:rPr>
          <w:rFonts w:hint="eastAsia" w:ascii="Times New Roman" w:hAnsi="Times New Roman" w:eastAsia="仿宋_GB2312"/>
          <w:b w:val="0"/>
          <w:bCs w:val="0"/>
          <w:color w:val="auto"/>
          <w:sz w:val="32"/>
          <w:szCs w:val="32"/>
          <w:lang w:val="en-US" w:eastAsia="zh-CN"/>
        </w:rPr>
        <w:t>（类）</w:t>
      </w:r>
      <w:r>
        <w:rPr>
          <w:rFonts w:hint="eastAsia" w:ascii="Times New Roman" w:hAnsi="Times New Roman" w:eastAsia="仿宋_GB2312"/>
          <w:b w:val="0"/>
          <w:bCs w:val="0"/>
          <w:color w:val="auto"/>
          <w:sz w:val="32"/>
          <w:szCs w:val="32"/>
        </w:rPr>
        <w:t>支出85</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56</w:t>
      </w:r>
      <w:r>
        <w:rPr>
          <w:rFonts w:hint="eastAsia" w:ascii="Times New Roman" w:hAnsi="Times New Roman" w:eastAsia="仿宋_GB2312"/>
          <w:b w:val="0"/>
          <w:bCs w:val="0"/>
          <w:color w:val="auto"/>
          <w:sz w:val="32"/>
          <w:szCs w:val="32"/>
          <w:lang w:val="en-US" w:eastAsia="zh-CN"/>
        </w:rPr>
        <w:t>万元，</w:t>
      </w:r>
      <w:r>
        <w:rPr>
          <w:rFonts w:hint="eastAsia" w:ascii="Times New Roman" w:hAnsi="Times New Roman" w:eastAsia="仿宋_GB2312"/>
          <w:b w:val="0"/>
          <w:bCs w:val="0"/>
          <w:color w:val="auto"/>
          <w:sz w:val="32"/>
          <w:szCs w:val="32"/>
        </w:rPr>
        <w:t>占</w:t>
      </w:r>
      <w:r>
        <w:rPr>
          <w:rFonts w:hint="eastAsia" w:ascii="Times New Roman" w:hAnsi="Times New Roman" w:eastAsia="仿宋_GB2312"/>
          <w:b w:val="0"/>
          <w:bCs w:val="0"/>
          <w:color w:val="auto"/>
          <w:sz w:val="32"/>
          <w:szCs w:val="32"/>
          <w:lang w:val="en-US" w:eastAsia="zh-CN"/>
        </w:rPr>
        <w:t>8.42</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eastAsia="zh-CN"/>
        </w:rPr>
        <w:t>。</w:t>
      </w:r>
    </w:p>
    <w:p w14:paraId="59CF00B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w:t>
      </w:r>
      <w:r>
        <w:rPr>
          <w:rFonts w:hint="eastAsia" w:ascii="楷体_GB2312" w:hAnsi="楷体_GB2312" w:eastAsia="楷体_GB2312" w:cs="楷体_GB2312"/>
          <w:b/>
          <w:bCs w:val="0"/>
          <w:sz w:val="32"/>
          <w:szCs w:val="32"/>
          <w:lang w:eastAsia="zh-CN"/>
        </w:rPr>
        <w:t>一般公共预算</w:t>
      </w:r>
      <w:r>
        <w:rPr>
          <w:rFonts w:hint="eastAsia" w:ascii="楷体_GB2312" w:hAnsi="楷体_GB2312" w:eastAsia="楷体_GB2312" w:cs="楷体_GB2312"/>
          <w:b/>
          <w:bCs w:val="0"/>
          <w:sz w:val="32"/>
          <w:szCs w:val="32"/>
        </w:rPr>
        <w:t>财政拨款支出决算具体情况</w:t>
      </w:r>
    </w:p>
    <w:p w14:paraId="184B936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年度财政拨款支出年初预算数为989.3</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万元，支出决算数为1016.28万元，完成年初预算的</w:t>
      </w:r>
      <w:r>
        <w:rPr>
          <w:rFonts w:hint="eastAsia" w:ascii="Times New Roman" w:hAnsi="Times New Roman" w:eastAsia="仿宋_GB2312"/>
          <w:sz w:val="32"/>
          <w:szCs w:val="32"/>
          <w:lang w:val="en-US" w:eastAsia="zh-CN"/>
        </w:rPr>
        <w:t>102.72</w:t>
      </w:r>
      <w:r>
        <w:rPr>
          <w:rFonts w:hint="eastAsia" w:ascii="Times New Roman" w:hAnsi="Times New Roman" w:eastAsia="仿宋_GB2312"/>
          <w:sz w:val="32"/>
          <w:szCs w:val="32"/>
        </w:rPr>
        <w:t>%，其中：</w:t>
      </w:r>
    </w:p>
    <w:p w14:paraId="0C80DC9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1、社会保障和就业支出（类）行政事业单位养老支出（款）机关事业单位基本养老保险缴费支出（项）。</w:t>
      </w:r>
    </w:p>
    <w:p w14:paraId="053EAF5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87.28</w:t>
      </w:r>
      <w:r>
        <w:rPr>
          <w:rFonts w:hint="eastAsia" w:ascii="Times New Roman" w:hAnsi="Times New Roman" w:eastAsia="仿宋_GB2312"/>
          <w:sz w:val="32"/>
          <w:szCs w:val="32"/>
        </w:rPr>
        <w:t>万元，支出决算为</w:t>
      </w:r>
      <w:r>
        <w:rPr>
          <w:rFonts w:hint="eastAsia" w:ascii="Times New Roman" w:hAnsi="Times New Roman" w:eastAsia="仿宋_GB2312"/>
          <w:b w:val="0"/>
          <w:bCs w:val="0"/>
          <w:color w:val="auto"/>
          <w:sz w:val="32"/>
          <w:szCs w:val="32"/>
        </w:rPr>
        <w:t>103</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9</w:t>
      </w:r>
      <w:r>
        <w:rPr>
          <w:rFonts w:hint="eastAsia" w:ascii="Times New Roman" w:hAnsi="Times New Roman" w:eastAsia="仿宋_GB2312"/>
          <w:b w:val="0"/>
          <w:bCs w:val="0"/>
          <w:color w:val="auto"/>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110.08</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2023年单位人员补缴2023年绩效工资养老保险。</w:t>
      </w:r>
    </w:p>
    <w:p w14:paraId="2B9A805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eastAsia="zh-CN"/>
        </w:rPr>
        <w:t>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卫生健康支出（类）行政事业单位医疗（款）行政单位医疗（项）。</w:t>
      </w:r>
    </w:p>
    <w:p w14:paraId="709E510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47.46</w:t>
      </w:r>
      <w:r>
        <w:rPr>
          <w:rFonts w:hint="eastAsia" w:ascii="Times New Roman" w:hAnsi="Times New Roman" w:eastAsia="仿宋_GB2312"/>
          <w:sz w:val="32"/>
          <w:szCs w:val="32"/>
        </w:rPr>
        <w:t>万元，支出决算为46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24万元，完成年初预算的</w:t>
      </w:r>
      <w:r>
        <w:rPr>
          <w:rFonts w:hint="eastAsia" w:ascii="Times New Roman" w:hAnsi="Times New Roman" w:eastAsia="仿宋_GB2312"/>
          <w:sz w:val="32"/>
          <w:szCs w:val="32"/>
          <w:lang w:val="en-US" w:eastAsia="zh-CN"/>
        </w:rPr>
        <w:t>97.42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2023年单位人员减少，社保负担减少。</w:t>
      </w:r>
    </w:p>
    <w:p w14:paraId="5F99FFB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eastAsia="zh-CN"/>
        </w:rPr>
        <w:t>3.</w:t>
      </w:r>
      <w:r>
        <w:rPr>
          <w:rFonts w:hint="eastAsia" w:ascii="Times New Roman" w:hAnsi="Times New Roman" w:eastAsia="仿宋_GB2312"/>
          <w:sz w:val="32"/>
          <w:szCs w:val="32"/>
        </w:rPr>
        <w:t>节能环保支出（类）环境保护管理事务（款）行政运行（项）。</w:t>
      </w:r>
    </w:p>
    <w:p w14:paraId="57450AE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789.16</w:t>
      </w:r>
      <w:r>
        <w:rPr>
          <w:rFonts w:hint="eastAsia" w:ascii="Times New Roman" w:hAnsi="Times New Roman" w:eastAsia="仿宋_GB2312"/>
          <w:sz w:val="32"/>
          <w:szCs w:val="32"/>
        </w:rPr>
        <w:t>万元，支出决算为699</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88.66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单位2023年减少该功能分类的公用经费支出。</w:t>
      </w:r>
    </w:p>
    <w:p w14:paraId="66EC40D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节能环保支出（类）环境保护管理事务（款）其他环境保护管理事务支出（项）</w:t>
      </w:r>
    </w:p>
    <w:p w14:paraId="21ADE48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80</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rPr>
        <w:t>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134.83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2023年年中追加该功能分类的公用经费支出。</w:t>
      </w:r>
    </w:p>
    <w:p w14:paraId="6ECF2B4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住房保障支出（类）住房改革支出（款）住房公积金（项）。</w:t>
      </w:r>
    </w:p>
    <w:p w14:paraId="30FA651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65.46</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lang w:eastAsia="zh-CN"/>
        </w:rPr>
        <w:t>85</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eastAsia="zh-CN"/>
        </w:rPr>
        <w:t>56</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的130.71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:2023年发放了2022年未发完部分住房公积金。</w:t>
      </w:r>
    </w:p>
    <w:p w14:paraId="07D472D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894470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年度财政拨款基本支出929</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w:t>
      </w:r>
    </w:p>
    <w:p w14:paraId="5063934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775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82万元，占基本支出的</w:t>
      </w:r>
      <w:r>
        <w:rPr>
          <w:rFonts w:hint="eastAsia" w:ascii="Times New Roman" w:hAnsi="Times New Roman" w:eastAsia="仿宋_GB2312"/>
          <w:sz w:val="32"/>
          <w:szCs w:val="32"/>
          <w:lang w:val="en-US" w:eastAsia="zh-CN"/>
        </w:rPr>
        <w:t>83.45</w:t>
      </w:r>
      <w:r>
        <w:rPr>
          <w:rFonts w:hint="eastAsia" w:ascii="Times New Roman" w:hAnsi="Times New Roman" w:eastAsia="仿宋_GB2312"/>
          <w:sz w:val="32"/>
          <w:szCs w:val="32"/>
        </w:rPr>
        <w:t>%,主要包括基本工资、津贴补贴、奖金、绩效工资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、职工基本医疗保险缴费、其他社会保障缴费、住房公积金。</w:t>
      </w:r>
    </w:p>
    <w:p w14:paraId="7B2AC426">
      <w:pPr>
        <w:pStyle w:val="12"/>
        <w:ind w:firstLine="640" w:firstLineChars="200"/>
        <w:rPr>
          <w:rFonts w:hint="eastAsia" w:asciiTheme="minorEastAsia" w:hAnsiTheme="minorEastAsia" w:eastAsiaTheme="minorEastAsia"/>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153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16.55</w:t>
      </w:r>
      <w:r>
        <w:rPr>
          <w:rFonts w:hint="eastAsia" w:ascii="Times New Roman" w:hAnsi="Times New Roman" w:eastAsia="仿宋_GB2312"/>
          <w:sz w:val="32"/>
          <w:szCs w:val="32"/>
        </w:rPr>
        <w:t>%，主要包括办公费、印刷费、水费</w:t>
      </w:r>
      <w:r>
        <w:rPr>
          <w:rFonts w:hint="eastAsia" w:ascii="Times New Roman" w:hAnsi="Times New Roman" w:eastAsia="仿宋_GB2312"/>
          <w:sz w:val="32"/>
          <w:szCs w:val="32"/>
          <w:lang w:eastAsia="zh-CN"/>
        </w:rPr>
        <w:t>、电费、邮电费、差旅费、维修（护）费、租赁费、培训费、公务接待费、劳务费、工会经费、福利费、其他交通费用、其他商品和服务支出、</w:t>
      </w:r>
      <w:r>
        <w:rPr>
          <w:rFonts w:hint="eastAsia" w:ascii="Times New Roman" w:hAnsi="Times New Roman" w:eastAsia="仿宋_GB2312"/>
          <w:sz w:val="32"/>
          <w:szCs w:val="32"/>
        </w:rPr>
        <w:t>办公设备购置。</w:t>
      </w:r>
    </w:p>
    <w:p w14:paraId="1855299E">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471C87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11D884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%，与上年相比增加3.54万元，增长95.85%,增长的主要原因是</w:t>
      </w:r>
      <w:r>
        <w:rPr>
          <w:rFonts w:ascii="Helvetica" w:hAnsi="Helvetica" w:eastAsia="Helvetica" w:cs="Helvetica"/>
          <w:i w:val="0"/>
          <w:iCs w:val="0"/>
          <w:caps w:val="0"/>
          <w:color w:val="424242"/>
          <w:spacing w:val="0"/>
          <w:sz w:val="16"/>
          <w:szCs w:val="16"/>
          <w:shd w:val="clear" w:fill="FFFFFF"/>
        </w:rPr>
        <w:t>本</w:t>
      </w:r>
      <w:r>
        <w:rPr>
          <w:rFonts w:hint="eastAsia" w:ascii="Times New Roman" w:hAnsi="Times New Roman" w:eastAsia="仿宋_GB2312"/>
          <w:sz w:val="32"/>
          <w:szCs w:val="32"/>
        </w:rPr>
        <w:t>单位2023年比去年多了上级检查巡查，导致三公经费增加。其中：</w:t>
      </w:r>
    </w:p>
    <w:p w14:paraId="4E332B7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C88EB1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%，与上年相比增加3.54万元，增长95.85%,增长的主要原因是</w:t>
      </w:r>
      <w:r>
        <w:rPr>
          <w:rFonts w:hint="eastAsia" w:ascii="仿宋_GB2312" w:hAnsi="仿宋_GB2312" w:eastAsia="仿宋_GB2312" w:cs="仿宋_GB2312"/>
          <w:b w:val="0"/>
          <w:bCs w:val="0"/>
          <w:sz w:val="32"/>
          <w:szCs w:val="32"/>
          <w:lang w:val="en-US" w:eastAsia="zh-CN"/>
        </w:rPr>
        <w:t>2022年本单三公经费预算数5.6万元，三公经费决算数3.69万元，由于2022年12月部分接待费用资料不齐全，余1.91万元未支付，导致剩余公务接待费结转至2023年才支付</w:t>
      </w:r>
    </w:p>
    <w:p w14:paraId="6D2128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110D6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684CCF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7C4D4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56E2FE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b/>
          <w:bCs/>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cstheme="minorBidi"/>
          <w:color w:val="auto"/>
          <w:kern w:val="2"/>
          <w:sz w:val="32"/>
          <w:szCs w:val="32"/>
          <w:lang w:val="en-US" w:eastAsia="zh-CN" w:bidi="ar-SA"/>
        </w:rPr>
        <w:t>2023年度我单位未开展因公出国（境）活动。</w:t>
      </w:r>
    </w:p>
    <w:p w14:paraId="20DB8DEE">
      <w:pPr>
        <w:keepNext w:val="0"/>
        <w:keepLines w:val="0"/>
        <w:pageBreakBefore w:val="0"/>
        <w:widowControl w:val="0"/>
        <w:kinsoku/>
        <w:wordWrap/>
        <w:overflowPunct/>
        <w:topLinePunct w:val="0"/>
        <w:autoSpaceDE/>
        <w:autoSpaceDN/>
        <w:bidi w:val="0"/>
        <w:adjustRightInd/>
        <w:snapToGrid w:val="0"/>
        <w:spacing w:beforeLines="-2147483648" w:afterLines="-2147483648" w:line="50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7.24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人次，主要是</w:t>
      </w:r>
      <w:r>
        <w:rPr>
          <w:rFonts w:hint="eastAsia" w:ascii="仿宋_GB2312" w:hAnsi="仿宋_GB2312" w:eastAsia="仿宋_GB2312" w:cs="仿宋_GB2312"/>
          <w:b w:val="0"/>
          <w:bCs w:val="0"/>
          <w:sz w:val="32"/>
          <w:szCs w:val="32"/>
          <w:lang w:val="en-US" w:eastAsia="zh-CN"/>
        </w:rPr>
        <w:t>①2023年公务接待当年预算金额5.6万元，截止2023年12月共支付5.4923万元；②公务接待费用上年结转资金指标1.9049万元于2023年3月3日下达，截止2023年12月共支付1.7445万元；两个指标合计共支付7.2368万元，因此才导致2023年“三公”经费超预算情况</w:t>
      </w:r>
    </w:p>
    <w:p w14:paraId="5638998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单位本级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E31389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12B4AB3">
      <w:pPr>
        <w:pStyle w:val="12"/>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2023年度本单位无政府性基金收支。</w:t>
      </w:r>
    </w:p>
    <w:p w14:paraId="541CF6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766BE4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年度机关运行经费支出153.81万元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比上年决算数）增加5.35 万元，增长3.61%。主要原因是：</w:t>
      </w:r>
      <w:r>
        <w:rPr>
          <w:rFonts w:hint="eastAsia" w:ascii="Times New Roman" w:hAnsi="Times New Roman" w:eastAsia="仿宋_GB2312"/>
          <w:sz w:val="32"/>
          <w:szCs w:val="32"/>
          <w:lang w:val="en-US" w:eastAsia="zh-CN"/>
        </w:rPr>
        <w:t>增加了排污权出让收入</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0A81DE6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0FC4C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专业技能</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人，内容为参加执法证考试费</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w:t>
      </w:r>
    </w:p>
    <w:p w14:paraId="69FB2D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44A3FF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9.72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9.72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9.72</w:t>
      </w:r>
      <w:r>
        <w:rPr>
          <w:rFonts w:hint="eastAsia" w:ascii="Times New Roman" w:hAnsi="Times New Roman" w:eastAsia="仿宋_GB2312"/>
          <w:sz w:val="32"/>
          <w:szCs w:val="32"/>
        </w:rPr>
        <w:t>万元，占授予中小企业合同总额的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14:paraId="259A7D1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392CB3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永州市生态环境局零陵分局</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C5966E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lang w:eastAsia="zh-CN"/>
        </w:rPr>
        <w:t>2023</w:t>
      </w:r>
      <w:r>
        <w:rPr>
          <w:rFonts w:hint="eastAsia" w:ascii="黑体" w:hAnsi="黑体" w:eastAsia="黑体" w:cs="黑体"/>
          <w:b w:val="0"/>
          <w:bCs/>
          <w:sz w:val="32"/>
          <w:szCs w:val="32"/>
        </w:rPr>
        <w:t>年度预算绩效情况的说明</w:t>
      </w:r>
    </w:p>
    <w:p w14:paraId="2BD6AA9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ADAEB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本单位以绩效目标实现为导向，进一步加强制度建设，提升自评质量。一是抓好绩效目标编制；二是深入开展财政支出绩效评价，对专项资金实施绩效自评和项目核查；三是强化评价结果应用，组织绩效自评和绩效跟踪监控，对发现的问题及时改进；四是健全绩效管理工作机制，明确职责分工，努力提高了绩效管理工作水平。</w:t>
      </w:r>
    </w:p>
    <w:p w14:paraId="322FB49E">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部门整体支出绩效情况</w:t>
      </w:r>
    </w:p>
    <w:p w14:paraId="75F057E3">
      <w:pPr>
        <w:pStyle w:val="12"/>
        <w:keepNext w:val="0"/>
        <w:keepLines w:val="0"/>
        <w:pageBreakBefore w:val="0"/>
        <w:widowControl w:val="0"/>
        <w:numPr>
          <w:ilvl w:val="0"/>
          <w:numId w:val="0"/>
        </w:numPr>
        <w:kinsoku/>
        <w:wordWrap/>
        <w:overflowPunct/>
        <w:topLinePunct w:val="0"/>
        <w:bidi w:val="0"/>
        <w:snapToGrid/>
        <w:spacing w:line="600" w:lineRule="exact"/>
        <w:ind w:leftChars="200"/>
        <w:jc w:val="left"/>
        <w:textAlignment w:val="auto"/>
        <w:rPr>
          <w:rFonts w:hint="default"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2023年本单位整体支出绩效取得良好成效。</w:t>
      </w:r>
    </w:p>
    <w:p w14:paraId="3418F65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2ACAC6A">
      <w:pPr>
        <w:keepLines/>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仿宋" w:hAnsi="仿宋" w:eastAsia="仿宋" w:cs="仿宋"/>
          <w:color w:val="auto"/>
          <w:sz w:val="32"/>
          <w:szCs w:val="32"/>
        </w:rPr>
        <w:t>永州市生态环境局零陵分局严格按照要求进行绩效评估、财务管理、决算组织、编报、审核。按时完成了202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年度公开财政预决算，按时完成了202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年度的决算报表编制工作。</w:t>
      </w:r>
      <w:r>
        <w:rPr>
          <w:rFonts w:hint="eastAsia" w:ascii="Times New Roman" w:hAnsi="Times New Roman" w:eastAsia="仿宋_GB2312" w:cs="黑体"/>
          <w:color w:val="000000"/>
          <w:kern w:val="0"/>
          <w:sz w:val="32"/>
          <w:szCs w:val="32"/>
          <w:lang w:val="en-US" w:eastAsia="zh-CN" w:bidi="ar-SA"/>
        </w:rPr>
        <w:t xml:space="preserve">存在的主要问题是：政府采购执行率较低。原因是政府采购预算编制时本着应编尽编的原则，未考虑年中财政资金到位、项目进度情况，造成政府采购预算与实际采购不相符，政府采购执行率低。 </w:t>
      </w:r>
    </w:p>
    <w:p w14:paraId="52C43A5F">
      <w:pPr>
        <w:pStyle w:val="12"/>
        <w:jc w:val="center"/>
        <w:rPr>
          <w:sz w:val="72"/>
          <w:szCs w:val="72"/>
        </w:rPr>
      </w:pPr>
    </w:p>
    <w:p w14:paraId="5CBDEA18">
      <w:pPr>
        <w:pStyle w:val="12"/>
        <w:jc w:val="center"/>
        <w:rPr>
          <w:sz w:val="72"/>
          <w:szCs w:val="72"/>
        </w:rPr>
      </w:pPr>
    </w:p>
    <w:p w14:paraId="2C6D4BFC">
      <w:pPr>
        <w:pStyle w:val="12"/>
        <w:jc w:val="center"/>
        <w:rPr>
          <w:sz w:val="72"/>
          <w:szCs w:val="72"/>
        </w:rPr>
      </w:pPr>
    </w:p>
    <w:p w14:paraId="748BC55D">
      <w:pPr>
        <w:pStyle w:val="12"/>
        <w:jc w:val="center"/>
        <w:rPr>
          <w:sz w:val="72"/>
          <w:szCs w:val="72"/>
        </w:rPr>
      </w:pPr>
    </w:p>
    <w:p w14:paraId="0AC5A057">
      <w:pPr>
        <w:pStyle w:val="12"/>
        <w:jc w:val="center"/>
        <w:rPr>
          <w:sz w:val="72"/>
          <w:szCs w:val="72"/>
        </w:rPr>
      </w:pPr>
    </w:p>
    <w:p w14:paraId="40CAD9B2">
      <w:pPr>
        <w:pStyle w:val="12"/>
        <w:jc w:val="both"/>
        <w:rPr>
          <w:rFonts w:hint="eastAsia" w:ascii="方正小标宋_GBK" w:hAnsi="方正小标宋_GBK" w:eastAsia="方正小标宋_GBK" w:cs="方正小标宋_GBK"/>
          <w:sz w:val="72"/>
          <w:szCs w:val="72"/>
        </w:rPr>
      </w:pPr>
    </w:p>
    <w:p w14:paraId="677F4B56">
      <w:pPr>
        <w:pStyle w:val="12"/>
        <w:jc w:val="center"/>
        <w:rPr>
          <w:rFonts w:hint="eastAsia" w:ascii="方正小标宋_GBK" w:hAnsi="方正小标宋_GBK" w:eastAsia="方正小标宋_GBK" w:cs="方正小标宋_GBK"/>
          <w:sz w:val="72"/>
          <w:szCs w:val="72"/>
        </w:rPr>
      </w:pPr>
    </w:p>
    <w:p w14:paraId="5F3D9C62">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9C8428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B6E067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2D7D9C4">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14:paraId="474473A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14:paraId="263E8FA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14:paraId="68EA4A6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14:paraId="5E2237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14:paraId="30C235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14:paraId="4A0978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14:paraId="30EE03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14:paraId="29A4478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14:paraId="05D569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67EEA5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5917038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80DD5D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D41809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52375D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3244F7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27B9486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FF5123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BD4FC0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2190AE7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B1F009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139E83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3F6C69E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71AE9B8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AD4E4DA">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885D304">
      <w:pPr>
        <w:pStyle w:val="12"/>
        <w:jc w:val="center"/>
        <w:rPr>
          <w:rFonts w:hint="eastAsia" w:ascii="方正小标宋_GBK" w:hAnsi="方正小标宋_GBK" w:eastAsia="方正小标宋_GBK" w:cs="方正小标宋_GBK"/>
          <w:sz w:val="70"/>
          <w:szCs w:val="70"/>
          <w:lang w:eastAsia="zh-CN"/>
        </w:rPr>
      </w:pPr>
    </w:p>
    <w:p w14:paraId="1055646D">
      <w:pPr>
        <w:pStyle w:val="12"/>
        <w:jc w:val="center"/>
        <w:rPr>
          <w:rFonts w:hint="eastAsia" w:ascii="Times New Roman" w:hAnsi="Times New Roman" w:eastAsia="仿宋_GB2312"/>
          <w:sz w:val="32"/>
          <w:szCs w:val="32"/>
          <w:lang w:val="en-US" w:eastAsia="zh-CN"/>
        </w:rPr>
      </w:pPr>
    </w:p>
    <w:p w14:paraId="56F35492">
      <w:pPr>
        <w:pStyle w:val="12"/>
        <w:jc w:val="center"/>
        <w:rPr>
          <w:rFonts w:hint="eastAsia" w:ascii="Times New Roman" w:hAnsi="Times New Roman" w:eastAsia="仿宋_GB2312"/>
          <w:sz w:val="32"/>
          <w:szCs w:val="32"/>
          <w:lang w:val="en-US" w:eastAsia="zh-CN"/>
        </w:rPr>
      </w:pPr>
    </w:p>
    <w:p w14:paraId="2EB26452">
      <w:pPr>
        <w:pStyle w:val="12"/>
        <w:jc w:val="center"/>
        <w:rPr>
          <w:rFonts w:hint="eastAsia" w:ascii="Times New Roman" w:hAnsi="Times New Roman" w:eastAsia="仿宋_GB2312"/>
          <w:sz w:val="32"/>
          <w:szCs w:val="32"/>
          <w:lang w:val="en-US" w:eastAsia="zh-CN"/>
        </w:rPr>
      </w:pPr>
    </w:p>
    <w:p w14:paraId="449B4839">
      <w:pPr>
        <w:pStyle w:val="12"/>
        <w:jc w:val="center"/>
        <w:rPr>
          <w:rFonts w:hint="eastAsia" w:ascii="Times New Roman" w:hAnsi="Times New Roman" w:eastAsia="仿宋_GB2312"/>
          <w:sz w:val="32"/>
          <w:szCs w:val="32"/>
          <w:lang w:val="en-US" w:eastAsia="zh-CN"/>
        </w:rPr>
      </w:pPr>
    </w:p>
    <w:p w14:paraId="13A39EEE">
      <w:pPr>
        <w:pStyle w:val="12"/>
        <w:jc w:val="center"/>
        <w:rPr>
          <w:rFonts w:hint="eastAsia" w:ascii="Times New Roman" w:hAnsi="Times New Roman" w:eastAsia="仿宋_GB2312"/>
          <w:sz w:val="32"/>
          <w:szCs w:val="32"/>
          <w:lang w:val="en-US" w:eastAsia="zh-CN"/>
        </w:rPr>
      </w:pPr>
    </w:p>
    <w:p w14:paraId="5B01B8C1">
      <w:pPr>
        <w:pStyle w:val="12"/>
        <w:jc w:val="center"/>
        <w:rPr>
          <w:rFonts w:hint="eastAsia" w:ascii="Times New Roman" w:hAnsi="Times New Roman" w:eastAsia="仿宋_GB2312"/>
          <w:sz w:val="32"/>
          <w:szCs w:val="32"/>
          <w:lang w:val="en-US" w:eastAsia="zh-CN"/>
        </w:rPr>
      </w:pPr>
    </w:p>
    <w:p w14:paraId="3B1A1558">
      <w:pPr>
        <w:pStyle w:val="12"/>
        <w:jc w:val="center"/>
        <w:rPr>
          <w:rFonts w:hint="eastAsia" w:ascii="Times New Roman" w:hAnsi="Times New Roman" w:eastAsia="仿宋_GB2312"/>
          <w:sz w:val="32"/>
          <w:szCs w:val="32"/>
          <w:lang w:val="en-US" w:eastAsia="zh-CN"/>
        </w:rPr>
      </w:pPr>
    </w:p>
    <w:p w14:paraId="1FA25166">
      <w:pPr>
        <w:pStyle w:val="12"/>
        <w:jc w:val="center"/>
        <w:rPr>
          <w:rFonts w:hint="eastAsia" w:ascii="Times New Roman" w:hAnsi="Times New Roman" w:eastAsia="仿宋_GB2312"/>
          <w:sz w:val="32"/>
          <w:szCs w:val="32"/>
          <w:lang w:val="en-US" w:eastAsia="zh-CN"/>
        </w:rPr>
      </w:pPr>
    </w:p>
    <w:p w14:paraId="12692EED">
      <w:pPr>
        <w:pStyle w:val="12"/>
        <w:jc w:val="center"/>
        <w:rPr>
          <w:rFonts w:hint="eastAsia" w:ascii="Times New Roman" w:hAnsi="Times New Roman" w:eastAsia="仿宋_GB2312"/>
          <w:sz w:val="32"/>
          <w:szCs w:val="32"/>
          <w:lang w:val="en-US" w:eastAsia="zh-CN"/>
        </w:rPr>
      </w:pPr>
    </w:p>
    <w:p w14:paraId="2967F33F">
      <w:pPr>
        <w:keepLines/>
        <w:snapToGrid w:val="0"/>
        <w:spacing w:line="480" w:lineRule="exact"/>
        <w:rPr>
          <w:rFonts w:hint="eastAsia" w:ascii="仿宋" w:hAnsi="仿宋" w:eastAsia="仿宋" w:cs="仿宋"/>
          <w:color w:val="auto"/>
          <w:sz w:val="32"/>
          <w:szCs w:val="32"/>
        </w:rPr>
      </w:pPr>
    </w:p>
    <w:p w14:paraId="4C8874C3">
      <w:pPr>
        <w:keepLines/>
        <w:snapToGrid w:val="0"/>
        <w:spacing w:line="480" w:lineRule="exact"/>
        <w:rPr>
          <w:rFonts w:hint="eastAsia" w:ascii="仿宋" w:hAnsi="仿宋" w:eastAsia="仿宋" w:cs="仿宋"/>
          <w:color w:val="auto"/>
          <w:sz w:val="32"/>
          <w:szCs w:val="32"/>
        </w:rPr>
      </w:pPr>
    </w:p>
    <w:p w14:paraId="127F2E66">
      <w:pPr>
        <w:keepLines/>
        <w:snapToGrid w:val="0"/>
        <w:spacing w:line="4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永州市生态环境局零陵分局2023年度整体支出</w:t>
      </w:r>
    </w:p>
    <w:p w14:paraId="37ECF72C">
      <w:pPr>
        <w:keepLines/>
        <w:snapToGrid w:val="0"/>
        <w:spacing w:line="4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5495110D">
      <w:pPr>
        <w:keepLines/>
        <w:snapToGrid w:val="0"/>
        <w:spacing w:line="480" w:lineRule="exact"/>
        <w:ind w:firstLine="880" w:firstLineChars="200"/>
        <w:jc w:val="center"/>
        <w:rPr>
          <w:rFonts w:hint="eastAsia" w:ascii="方正小标宋简体" w:hAnsi="方正小标宋简体" w:eastAsia="方正小标宋简体" w:cs="方正小标宋简体"/>
          <w:sz w:val="44"/>
          <w:szCs w:val="44"/>
        </w:rPr>
      </w:pPr>
    </w:p>
    <w:p w14:paraId="785C319D">
      <w:pPr>
        <w:keepLines/>
        <w:numPr>
          <w:ilvl w:val="0"/>
          <w:numId w:val="4"/>
        </w:numPr>
        <w:snapToGrid w:val="0"/>
        <w:spacing w:line="240" w:lineRule="auto"/>
        <w:rPr>
          <w:rFonts w:hint="eastAsia" w:ascii="仿宋" w:hAnsi="仿宋" w:eastAsia="仿宋" w:cs="仿宋"/>
          <w:sz w:val="28"/>
          <w:szCs w:val="28"/>
        </w:rPr>
      </w:pPr>
      <w:bookmarkStart w:id="0" w:name="YS060101"/>
      <w:r>
        <w:rPr>
          <w:rFonts w:hint="eastAsia" w:ascii="仿宋" w:hAnsi="仿宋" w:eastAsia="仿宋" w:cs="仿宋"/>
          <w:b/>
          <w:bCs/>
          <w:sz w:val="28"/>
          <w:szCs w:val="28"/>
        </w:rPr>
        <w:t>单位情况</w:t>
      </w:r>
      <w:bookmarkEnd w:id="0"/>
    </w:p>
    <w:p w14:paraId="00973DC7">
      <w:pPr>
        <w:keepLines/>
        <w:numPr>
          <w:ilvl w:val="0"/>
          <w:numId w:val="0"/>
        </w:numPr>
        <w:snapToGrid w:val="0"/>
        <w:spacing w:line="240" w:lineRule="auto"/>
        <w:rPr>
          <w:rFonts w:hint="eastAsia" w:ascii="仿宋" w:hAnsi="仿宋" w:eastAsia="仿宋" w:cs="仿宋"/>
          <w:b/>
          <w:sz w:val="28"/>
          <w:szCs w:val="28"/>
        </w:rPr>
      </w:pPr>
      <w:r>
        <w:rPr>
          <w:rFonts w:hint="eastAsia" w:ascii="仿宋" w:hAnsi="仿宋" w:eastAsia="仿宋" w:cs="仿宋"/>
          <w:b/>
          <w:sz w:val="28"/>
          <w:szCs w:val="28"/>
        </w:rPr>
        <w:t>（一）基本情况。</w:t>
      </w:r>
    </w:p>
    <w:p w14:paraId="05123C30">
      <w:pPr>
        <w:keepLines/>
        <w:snapToGrid w:val="0"/>
        <w:spacing w:line="240" w:lineRule="auto"/>
        <w:rPr>
          <w:rFonts w:hint="eastAsia" w:ascii="仿宋" w:hAnsi="仿宋" w:eastAsia="仿宋" w:cs="仿宋"/>
          <w:b/>
          <w:bCs w:val="0"/>
          <w:color w:val="0C0C0C"/>
          <w:sz w:val="28"/>
          <w:szCs w:val="28"/>
        </w:rPr>
      </w:pPr>
      <w:r>
        <w:rPr>
          <w:rFonts w:hint="eastAsia" w:ascii="仿宋" w:hAnsi="仿宋" w:eastAsia="仿宋" w:cs="仿宋"/>
          <w:b/>
          <w:bCs w:val="0"/>
          <w:color w:val="0C0C0C"/>
          <w:sz w:val="28"/>
          <w:szCs w:val="28"/>
        </w:rPr>
        <w:t>1．主要职能</w:t>
      </w:r>
    </w:p>
    <w:p w14:paraId="7757C757">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①</w:t>
      </w:r>
      <w:r>
        <w:rPr>
          <w:rFonts w:hint="eastAsia" w:ascii="仿宋" w:hAnsi="仿宋" w:eastAsia="仿宋" w:cs="仿宋"/>
          <w:kern w:val="2"/>
          <w:sz w:val="28"/>
          <w:szCs w:val="28"/>
        </w:rPr>
        <w:t>贯彻执行国家、省和市有关生态环境的法律法规和政策，负责生态环境保护方面的制度建设。会同同级有关部门制定辖区内生态环境规划、规范，并组织实施。会同同级有关部门编制并监督实施辖区内重点区域、流域、饮用水源地生态环境规划和水功能区划。</w:t>
      </w:r>
    </w:p>
    <w:p w14:paraId="5261D1F5">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②</w:t>
      </w:r>
      <w:r>
        <w:rPr>
          <w:rFonts w:hint="eastAsia" w:ascii="仿宋" w:hAnsi="仿宋" w:eastAsia="仿宋" w:cs="仿宋"/>
          <w:kern w:val="2"/>
          <w:sz w:val="28"/>
          <w:szCs w:val="28"/>
        </w:rPr>
        <w:t>统筹协调和监督管理生态环境保护工作。组织协调辖区内环境污染事故和生态破坏事件的调查处理，指导协调辖区内突发生态环境事件的应急、预警工作，参与实施生态环境损害赔偿制度。</w:t>
      </w:r>
    </w:p>
    <w:p w14:paraId="73A37DA8">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③</w:t>
      </w:r>
      <w:r>
        <w:rPr>
          <w:rFonts w:hint="eastAsia" w:ascii="仿宋" w:hAnsi="仿宋" w:eastAsia="仿宋" w:cs="仿宋"/>
          <w:kern w:val="2"/>
          <w:sz w:val="28"/>
          <w:szCs w:val="28"/>
        </w:rPr>
        <w:t>监督管理减排目标的落实。根据国家和省、市核定污染物减排指标，组织制定并监督实施本辖区内污染物排放总量控制计划及相关措施，监督实施排污许可制度，监督检查污染物减排任务完成情况，实施生态环境保护目标责任制。</w:t>
      </w:r>
    </w:p>
    <w:p w14:paraId="3E2E8A03">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④</w:t>
      </w:r>
      <w:r>
        <w:rPr>
          <w:rFonts w:hint="eastAsia" w:ascii="仿宋" w:hAnsi="仿宋" w:eastAsia="仿宋" w:cs="仿宋"/>
          <w:kern w:val="2"/>
          <w:sz w:val="28"/>
          <w:szCs w:val="28"/>
        </w:rPr>
        <w:t>负责环境污染防治的监督管理。组织拟订本辖区大气、水、土壤、噪声、光、恶臭、固体废物、化学品、机动车等的污染防治管理制度并监督实施。会同有关部门监督管理饮用水水源地生态环境保护工作，组织指导城乡生态环境综合整治工作，监督指导农业面源污染治理工作。监督指导区域大气环境保护工作，组织协调区域大气污染联防联控工作。</w:t>
      </w:r>
    </w:p>
    <w:p w14:paraId="57F8574B">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⑤</w:t>
      </w:r>
      <w:r>
        <w:rPr>
          <w:rFonts w:hint="eastAsia" w:ascii="仿宋" w:hAnsi="仿宋" w:eastAsia="仿宋" w:cs="仿宋"/>
          <w:kern w:val="2"/>
          <w:sz w:val="28"/>
          <w:szCs w:val="28"/>
        </w:rPr>
        <w:t>指导协调和监督生态保护修复工作。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6AD4B968">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⑥</w:t>
      </w:r>
      <w:r>
        <w:rPr>
          <w:rFonts w:hint="eastAsia" w:ascii="仿宋" w:hAnsi="仿宋" w:eastAsia="仿宋" w:cs="仿宋"/>
          <w:kern w:val="2"/>
          <w:sz w:val="28"/>
          <w:szCs w:val="28"/>
        </w:rPr>
        <w:t>负责核与辐射安全的监管工作。参与核事故和辐射环境事故应急处理；监管核设施和放射源安全，监督管理核设施、核技术应用、电磁辐射、伴有放射性矿产资源开发利用中的污染防治；对核材料管制核民用核安全设备的设计、制造、安装及无损检验活动实施监督管理。</w:t>
      </w:r>
    </w:p>
    <w:p w14:paraId="5394F7CE">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⑦</w:t>
      </w:r>
      <w:r>
        <w:rPr>
          <w:rFonts w:hint="eastAsia" w:ascii="仿宋" w:hAnsi="仿宋" w:eastAsia="仿宋" w:cs="仿宋"/>
          <w:kern w:val="2"/>
          <w:sz w:val="28"/>
          <w:szCs w:val="28"/>
        </w:rPr>
        <w:t>负责生态环境准入的监督管理。组织实施生态环境准入清单。按规定审批或审查开发建设区域、规划、项目环境影响评价文件。</w:t>
      </w:r>
    </w:p>
    <w:p w14:paraId="43D47AAA">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⑧</w:t>
      </w:r>
      <w:r>
        <w:rPr>
          <w:rFonts w:hint="eastAsia" w:ascii="仿宋" w:hAnsi="仿宋" w:eastAsia="仿宋" w:cs="仿宋"/>
          <w:kern w:val="2"/>
          <w:sz w:val="28"/>
          <w:szCs w:val="28"/>
        </w:rPr>
        <w:t>负责生态环境监测工作。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2639E3D1">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⑨</w:t>
      </w:r>
      <w:r>
        <w:rPr>
          <w:rFonts w:hint="eastAsia" w:ascii="仿宋" w:hAnsi="仿宋" w:eastAsia="仿宋" w:cs="仿宋"/>
          <w:kern w:val="2"/>
          <w:sz w:val="28"/>
          <w:szCs w:val="28"/>
        </w:rPr>
        <w:t>协调配合生态环境保护督察。组织协调配合中央、省生态环境保护督察工作；对生态环境保护督察反馈问题整改情况进行跟踪督办，对贯彻落实不到位、整改不力的提请问责。</w:t>
      </w:r>
    </w:p>
    <w:p w14:paraId="35BA1113">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⑩</w:t>
      </w:r>
      <w:r>
        <w:rPr>
          <w:rFonts w:hint="eastAsia" w:ascii="仿宋" w:hAnsi="仿宋" w:eastAsia="仿宋" w:cs="仿宋"/>
          <w:kern w:val="2"/>
          <w:sz w:val="28"/>
          <w:szCs w:val="28"/>
        </w:rPr>
        <w:t>组织指导和协调生态环境宣传教育工作。推动社会组织和公众参与生态环境保护。开展生态环境科技工作，组织生态环境科学研究和技术工程示范，推动生态环境技术管理体系建设。</w:t>
      </w:r>
    </w:p>
    <w:p w14:paraId="3A50380B">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eastAsia="zh-CN"/>
        </w:rPr>
        <w:t>⒒</w:t>
      </w:r>
      <w:r>
        <w:rPr>
          <w:rFonts w:hint="eastAsia" w:ascii="仿宋" w:hAnsi="仿宋" w:eastAsia="仿宋" w:cs="仿宋"/>
          <w:kern w:val="2"/>
          <w:sz w:val="28"/>
          <w:szCs w:val="28"/>
        </w:rPr>
        <w:t>区生态环境保护综合行政执法局以本级生态环境部门的名义，统一负责辖区内生态环境保护综合行政执法，依法统一行使污染防治、生态保护、核与辐射安全的行政处罚权以及与行政处罚相关的行政检查、行政强制权等执法职能。除法律法规另有规定外，相关部门不再行使上述行政处罚权和行政强制权。</w:t>
      </w:r>
    </w:p>
    <w:p w14:paraId="06AA79F6">
      <w:pPr>
        <w:pStyle w:val="6"/>
        <w:widowControl/>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lang w:eastAsia="zh-CN"/>
        </w:rPr>
        <w:t>⒓</w:t>
      </w:r>
      <w:r>
        <w:rPr>
          <w:rFonts w:hint="eastAsia" w:ascii="仿宋" w:hAnsi="仿宋" w:eastAsia="仿宋" w:cs="仿宋"/>
          <w:kern w:val="2"/>
          <w:sz w:val="28"/>
          <w:szCs w:val="28"/>
        </w:rPr>
        <w:t>完成市生态环境局交办的其他任务，协助区委、区政府开展生态环境保护工作，指导乡镇（街道）的生态环境保护工作</w:t>
      </w:r>
    </w:p>
    <w:p w14:paraId="2AED63CF">
      <w:pPr>
        <w:keepLines/>
        <w:snapToGrid w:val="0"/>
        <w:spacing w:line="240" w:lineRule="auto"/>
        <w:rPr>
          <w:rFonts w:hint="eastAsia" w:ascii="仿宋" w:hAnsi="仿宋" w:eastAsia="仿宋" w:cs="仿宋"/>
          <w:sz w:val="28"/>
          <w:szCs w:val="28"/>
        </w:rPr>
      </w:pPr>
      <w:r>
        <w:rPr>
          <w:rFonts w:hint="eastAsia" w:ascii="仿宋" w:hAnsi="仿宋" w:eastAsia="仿宋" w:cs="仿宋"/>
          <w:b/>
          <w:bCs/>
          <w:sz w:val="28"/>
          <w:szCs w:val="28"/>
        </w:rPr>
        <w:t>2．机构情况，包括当年变动情况及原因。</w:t>
      </w:r>
    </w:p>
    <w:p w14:paraId="2622E393">
      <w:pPr>
        <w:pStyle w:val="18"/>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rPr>
        <w:t>有</w:t>
      </w: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个内设股室办公室、人事宣教法规股、自然生态保护与环境监测股、环境影响评价与排放管理股、污染防治监管股。</w:t>
      </w:r>
      <w:r>
        <w:rPr>
          <w:rFonts w:hint="eastAsia" w:ascii="仿宋" w:hAnsi="仿宋" w:eastAsia="仿宋" w:cs="仿宋"/>
          <w:kern w:val="2"/>
          <w:sz w:val="28"/>
          <w:szCs w:val="28"/>
          <w:lang w:val="en-US" w:eastAsia="zh-CN"/>
        </w:rPr>
        <w:t>3个</w:t>
      </w:r>
      <w:r>
        <w:rPr>
          <w:rFonts w:hint="eastAsia" w:ascii="仿宋" w:hAnsi="仿宋" w:eastAsia="仿宋" w:cs="仿宋"/>
          <w:kern w:val="2"/>
          <w:sz w:val="28"/>
          <w:szCs w:val="28"/>
        </w:rPr>
        <w:t>下属二级机构</w:t>
      </w:r>
      <w:r>
        <w:rPr>
          <w:rFonts w:hint="eastAsia" w:ascii="仿宋" w:hAnsi="仿宋" w:eastAsia="仿宋" w:cs="仿宋"/>
          <w:kern w:val="2"/>
          <w:sz w:val="28"/>
          <w:szCs w:val="28"/>
          <w:lang w:eastAsia="zh-CN"/>
        </w:rPr>
        <w:t>：永州市</w:t>
      </w:r>
      <w:r>
        <w:rPr>
          <w:rFonts w:hint="eastAsia" w:ascii="仿宋" w:hAnsi="仿宋" w:eastAsia="仿宋" w:cs="仿宋"/>
          <w:kern w:val="2"/>
          <w:sz w:val="28"/>
          <w:szCs w:val="28"/>
        </w:rPr>
        <w:t>零陵生态环境监测站、零陵区固体废物与辐射管理站、零陵区生态环境事务中心</w:t>
      </w:r>
      <w:r>
        <w:rPr>
          <w:rFonts w:hint="eastAsia" w:ascii="仿宋" w:hAnsi="仿宋" w:eastAsia="仿宋" w:cs="仿宋"/>
          <w:sz w:val="28"/>
          <w:szCs w:val="28"/>
        </w:rPr>
        <w:t>。</w:t>
      </w:r>
    </w:p>
    <w:p w14:paraId="1782617A">
      <w:pPr>
        <w:pStyle w:val="18"/>
        <w:shd w:val="clear" w:color="auto" w:fill="FFFFFF"/>
        <w:spacing w:before="0" w:beforeAutospacing="0" w:after="0" w:afterAutospacing="0" w:line="240" w:lineRule="auto"/>
        <w:rPr>
          <w:rFonts w:hint="eastAsia" w:ascii="仿宋" w:hAnsi="仿宋" w:eastAsia="仿宋" w:cs="仿宋"/>
          <w:b/>
          <w:bCs/>
          <w:kern w:val="2"/>
          <w:sz w:val="28"/>
          <w:szCs w:val="28"/>
        </w:rPr>
      </w:pPr>
      <w:r>
        <w:rPr>
          <w:rFonts w:hint="eastAsia" w:ascii="仿宋" w:hAnsi="仿宋" w:eastAsia="仿宋" w:cs="仿宋"/>
          <w:b/>
          <w:bCs/>
          <w:kern w:val="2"/>
          <w:sz w:val="28"/>
          <w:szCs w:val="28"/>
        </w:rPr>
        <w:t>3.人员情况，包括当年变动情况及原因。</w:t>
      </w:r>
    </w:p>
    <w:p w14:paraId="3C6030F9">
      <w:pPr>
        <w:pStyle w:val="18"/>
        <w:shd w:val="clear" w:color="auto" w:fill="FFFFFF"/>
        <w:spacing w:before="0" w:beforeAutospacing="0" w:after="0" w:afterAutospacing="0" w:line="24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rPr>
        <w:t>2023 年1月异动调走1人，调入1人，实有在编在岗人员86人,其中公务员及参照公务员管理人员7人，事业人员79人;实有在编在</w:t>
      </w:r>
    </w:p>
    <w:p w14:paraId="664D8B8B">
      <w:pPr>
        <w:pStyle w:val="18"/>
        <w:shd w:val="clear" w:color="auto" w:fill="FFFFFF"/>
        <w:spacing w:before="0" w:beforeAutospacing="0" w:after="0" w:afterAutospacing="0" w:line="240" w:lineRule="auto"/>
        <w:rPr>
          <w:rFonts w:hint="eastAsia" w:ascii="仿宋" w:hAnsi="仿宋" w:eastAsia="仿宋" w:cs="仿宋"/>
          <w:kern w:val="2"/>
          <w:sz w:val="28"/>
          <w:szCs w:val="28"/>
        </w:rPr>
      </w:pPr>
      <w:r>
        <w:rPr>
          <w:rFonts w:hint="eastAsia" w:ascii="仿宋" w:hAnsi="仿宋" w:eastAsia="仿宋" w:cs="仿宋"/>
          <w:kern w:val="2"/>
          <w:sz w:val="28"/>
          <w:szCs w:val="28"/>
        </w:rPr>
        <w:t>岗人员 86人，其中公务员及参照公务员管理人员7人，事业人员79</w:t>
      </w:r>
    </w:p>
    <w:p w14:paraId="2AA0CA34">
      <w:pPr>
        <w:pStyle w:val="18"/>
        <w:shd w:val="clear" w:color="auto" w:fill="FFFFFF"/>
        <w:spacing w:before="0" w:beforeAutospacing="0" w:after="0" w:afterAutospacing="0" w:line="240" w:lineRule="auto"/>
        <w:rPr>
          <w:rFonts w:hint="eastAsia" w:ascii="仿宋" w:hAnsi="仿宋" w:eastAsia="仿宋" w:cs="仿宋"/>
          <w:kern w:val="2"/>
          <w:sz w:val="28"/>
          <w:szCs w:val="28"/>
        </w:rPr>
      </w:pPr>
      <w:r>
        <w:rPr>
          <w:rFonts w:hint="eastAsia" w:ascii="仿宋" w:hAnsi="仿宋" w:eastAsia="仿宋" w:cs="仿宋"/>
          <w:kern w:val="2"/>
          <w:sz w:val="28"/>
          <w:szCs w:val="28"/>
        </w:rPr>
        <w:t>人。</w:t>
      </w:r>
    </w:p>
    <w:p w14:paraId="5BEBA35B">
      <w:pPr>
        <w:pStyle w:val="18"/>
        <w:numPr>
          <w:ilvl w:val="0"/>
          <w:numId w:val="5"/>
        </w:numPr>
        <w:shd w:val="clear" w:color="auto" w:fill="FFFFFF"/>
        <w:spacing w:before="0" w:beforeAutospacing="0" w:after="0" w:afterAutospacing="0" w:line="240" w:lineRule="auto"/>
        <w:rPr>
          <w:rFonts w:hint="eastAsia" w:ascii="仿宋" w:hAnsi="仿宋" w:eastAsia="仿宋" w:cs="仿宋"/>
          <w:b/>
          <w:bCs/>
          <w:kern w:val="2"/>
          <w:sz w:val="28"/>
          <w:szCs w:val="28"/>
          <w:lang w:eastAsia="zh-CN"/>
        </w:rPr>
      </w:pPr>
      <w:r>
        <w:rPr>
          <w:rFonts w:hint="eastAsia" w:ascii="仿宋" w:hAnsi="仿宋" w:eastAsia="仿宋" w:cs="仿宋"/>
          <w:b/>
          <w:bCs/>
          <w:kern w:val="2"/>
          <w:sz w:val="28"/>
          <w:szCs w:val="28"/>
          <w:lang w:eastAsia="zh-CN"/>
        </w:rPr>
        <w:t>部门（单位）整体支出规模</w:t>
      </w:r>
    </w:p>
    <w:p w14:paraId="44E6FC31">
      <w:pPr>
        <w:pStyle w:val="18"/>
        <w:numPr>
          <w:ilvl w:val="0"/>
          <w:numId w:val="0"/>
        </w:numPr>
        <w:shd w:val="clear" w:color="auto" w:fill="FFFFFF"/>
        <w:spacing w:before="0" w:beforeAutospacing="0" w:after="0" w:afterAutospacing="0" w:line="240" w:lineRule="auto"/>
        <w:ind w:firstLine="280" w:firstLineChars="100"/>
        <w:rPr>
          <w:rFonts w:hint="eastAsia" w:ascii="仿宋" w:hAnsi="仿宋" w:eastAsia="仿宋" w:cs="仿宋"/>
          <w:b w:val="0"/>
          <w:bCs w:val="0"/>
          <w:kern w:val="2"/>
          <w:sz w:val="28"/>
          <w:szCs w:val="28"/>
          <w:lang w:val="en-US" w:eastAsia="zh-CN"/>
        </w:rPr>
      </w:pPr>
      <w:r>
        <w:rPr>
          <w:rFonts w:hint="eastAsia" w:ascii="仿宋" w:hAnsi="仿宋" w:eastAsia="仿宋" w:cs="仿宋"/>
          <w:kern w:val="2"/>
          <w:sz w:val="28"/>
          <w:szCs w:val="28"/>
          <w:lang w:val="en-US" w:eastAsia="zh-CN"/>
        </w:rPr>
        <w:t>1.2023年</w:t>
      </w:r>
      <w:r>
        <w:rPr>
          <w:rFonts w:hint="eastAsia" w:ascii="仿宋" w:hAnsi="仿宋" w:eastAsia="仿宋" w:cs="仿宋"/>
          <w:kern w:val="2"/>
          <w:sz w:val="28"/>
          <w:szCs w:val="28"/>
          <w:lang w:eastAsia="zh-CN"/>
        </w:rPr>
        <w:t>度本年年初预算收入为</w:t>
      </w:r>
      <w:r>
        <w:rPr>
          <w:rFonts w:hint="eastAsia" w:ascii="仿宋" w:hAnsi="仿宋" w:eastAsia="仿宋" w:cs="仿宋"/>
          <w:kern w:val="2"/>
          <w:sz w:val="28"/>
          <w:szCs w:val="28"/>
          <w:lang w:val="en-US" w:eastAsia="zh-CN"/>
        </w:rPr>
        <w:t>989.37万元，全年预算收入为1016.28万元，其他收入1554.11万元，</w:t>
      </w:r>
      <w:r>
        <w:rPr>
          <w:rFonts w:hint="eastAsia" w:ascii="仿宋" w:hAnsi="仿宋" w:eastAsia="仿宋" w:cs="仿宋"/>
          <w:kern w:val="2"/>
          <w:sz w:val="28"/>
          <w:szCs w:val="28"/>
          <w:lang w:eastAsia="zh-CN"/>
        </w:rPr>
        <w:t>收入支出合计</w:t>
      </w:r>
      <w:r>
        <w:rPr>
          <w:rFonts w:hint="eastAsia" w:ascii="仿宋" w:hAnsi="仿宋" w:eastAsia="仿宋" w:cs="仿宋"/>
          <w:kern w:val="2"/>
          <w:sz w:val="28"/>
          <w:szCs w:val="28"/>
          <w:lang w:val="en-US" w:eastAsia="zh-CN"/>
        </w:rPr>
        <w:t>2570.39万元，</w:t>
      </w:r>
      <w:r>
        <w:rPr>
          <w:rFonts w:hint="eastAsia" w:ascii="仿宋" w:hAnsi="仿宋" w:eastAsia="仿宋" w:cs="仿宋"/>
          <w:b/>
          <w:bCs/>
          <w:kern w:val="2"/>
          <w:sz w:val="28"/>
          <w:szCs w:val="28"/>
          <w:lang w:val="en-US" w:eastAsia="zh-CN"/>
        </w:rPr>
        <w:t>基本支出1128.85万元</w:t>
      </w:r>
      <w:r>
        <w:rPr>
          <w:rFonts w:hint="eastAsia" w:ascii="仿宋" w:hAnsi="仿宋" w:eastAsia="仿宋" w:cs="仿宋"/>
          <w:kern w:val="2"/>
          <w:sz w:val="28"/>
          <w:szCs w:val="28"/>
          <w:lang w:val="en-US" w:eastAsia="zh-CN"/>
        </w:rPr>
        <w:t>，其中人员经费支出974.03万元，公用经费支出154.81万元；</w:t>
      </w:r>
      <w:r>
        <w:rPr>
          <w:rFonts w:hint="eastAsia" w:ascii="仿宋" w:hAnsi="仿宋" w:eastAsia="仿宋" w:cs="仿宋"/>
          <w:b/>
          <w:bCs/>
          <w:kern w:val="2"/>
          <w:sz w:val="28"/>
          <w:szCs w:val="28"/>
          <w:lang w:val="en-US" w:eastAsia="zh-CN"/>
        </w:rPr>
        <w:t>项目支出1441.54万元。</w:t>
      </w:r>
      <w:r>
        <w:rPr>
          <w:rFonts w:hint="eastAsia" w:ascii="仿宋" w:hAnsi="仿宋" w:eastAsia="仿宋" w:cs="仿宋"/>
          <w:b w:val="0"/>
          <w:bCs w:val="0"/>
          <w:kern w:val="2"/>
          <w:sz w:val="28"/>
          <w:szCs w:val="28"/>
          <w:lang w:val="en-US" w:eastAsia="zh-CN"/>
        </w:rPr>
        <w:t>三公经费支出数为7.24万元；培训费支出3万元；会议费没有支出；机关运行经费153.81万元。</w:t>
      </w:r>
    </w:p>
    <w:p w14:paraId="685D2499">
      <w:pPr>
        <w:pStyle w:val="18"/>
        <w:numPr>
          <w:ilvl w:val="0"/>
          <w:numId w:val="0"/>
        </w:numPr>
        <w:shd w:val="clear" w:color="auto" w:fill="FFFFFF"/>
        <w:spacing w:before="0" w:beforeAutospacing="0" w:after="0" w:afterAutospacing="0" w:line="24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差异原因分析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w:t>
      </w:r>
      <w:r>
        <w:rPr>
          <w:rFonts w:hint="eastAsia" w:ascii="仿宋" w:hAnsi="仿宋" w:eastAsia="仿宋" w:cs="仿宋"/>
          <w:sz w:val="28"/>
          <w:szCs w:val="28"/>
        </w:rPr>
        <w:t>年度</w:t>
      </w:r>
      <w:r>
        <w:rPr>
          <w:rFonts w:hint="eastAsia" w:ascii="仿宋" w:hAnsi="仿宋" w:eastAsia="仿宋" w:cs="仿宋"/>
          <w:sz w:val="28"/>
          <w:szCs w:val="28"/>
          <w:lang w:eastAsia="zh-CN"/>
        </w:rPr>
        <w:t>本单位上收为市级财政预算单位，年度</w:t>
      </w:r>
      <w:r>
        <w:rPr>
          <w:rFonts w:hint="eastAsia" w:ascii="仿宋" w:hAnsi="仿宋" w:eastAsia="仿宋" w:cs="仿宋"/>
          <w:sz w:val="28"/>
          <w:szCs w:val="28"/>
        </w:rPr>
        <w:t>收入支出中包含</w:t>
      </w:r>
      <w:r>
        <w:rPr>
          <w:rFonts w:hint="eastAsia" w:ascii="仿宋" w:hAnsi="仿宋" w:eastAsia="仿宋" w:cs="仿宋"/>
          <w:sz w:val="28"/>
          <w:szCs w:val="28"/>
          <w:lang w:eastAsia="zh-CN"/>
        </w:rPr>
        <w:t>市级财政拨款收入支出及非市级财政（区财政）拨款收入支出，超预算支出主要原因为非市级财政（区财政）拨款用于项目建设支出</w:t>
      </w:r>
      <w:r>
        <w:rPr>
          <w:rFonts w:hint="eastAsia" w:ascii="仿宋" w:hAnsi="仿宋" w:eastAsia="仿宋" w:cs="仿宋"/>
          <w:color w:val="7030A0"/>
          <w:sz w:val="28"/>
          <w:szCs w:val="28"/>
          <w:lang w:eastAsia="zh-CN"/>
        </w:rPr>
        <w:t>。</w:t>
      </w:r>
    </w:p>
    <w:p w14:paraId="66F02E2D">
      <w:pPr>
        <w:keepLines/>
        <w:numPr>
          <w:ilvl w:val="0"/>
          <w:numId w:val="4"/>
        </w:numPr>
        <w:snapToGrid w:val="0"/>
        <w:spacing w:line="240" w:lineRule="auto"/>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eastAsia="zh-CN"/>
        </w:rPr>
        <w:t>一般公共预算支出情况</w:t>
      </w:r>
    </w:p>
    <w:p w14:paraId="53389CAB">
      <w:pPr>
        <w:keepLines/>
        <w:numPr>
          <w:ilvl w:val="0"/>
          <w:numId w:val="0"/>
        </w:numPr>
        <w:snapToGrid w:val="0"/>
        <w:spacing w:line="240" w:lineRule="auto"/>
        <w:ind w:leftChars="0"/>
        <w:rPr>
          <w:rFonts w:hint="eastAsia" w:ascii="仿宋" w:hAnsi="仿宋" w:eastAsia="仿宋" w:cs="仿宋"/>
          <w:b/>
          <w:sz w:val="28"/>
          <w:szCs w:val="28"/>
          <w:lang w:eastAsia="zh-CN"/>
        </w:rPr>
      </w:pPr>
      <w:r>
        <w:rPr>
          <w:rFonts w:hint="eastAsia" w:ascii="仿宋" w:hAnsi="仿宋" w:eastAsia="仿宋" w:cs="仿宋"/>
          <w:b/>
          <w:sz w:val="28"/>
          <w:szCs w:val="28"/>
          <w:lang w:eastAsia="zh-CN"/>
        </w:rPr>
        <w:t>（一）基本支出情况</w:t>
      </w:r>
    </w:p>
    <w:p w14:paraId="35A4F905">
      <w:pPr>
        <w:pStyle w:val="18"/>
        <w:numPr>
          <w:ilvl w:val="0"/>
          <w:numId w:val="0"/>
        </w:numPr>
        <w:shd w:val="clear" w:color="auto" w:fill="FFFFFF"/>
        <w:spacing w:before="0" w:beforeAutospacing="0" w:after="0" w:afterAutospacing="0" w:line="240" w:lineRule="auto"/>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2023年度本单位</w:t>
      </w:r>
      <w:r>
        <w:rPr>
          <w:rFonts w:hint="eastAsia" w:ascii="仿宋" w:hAnsi="仿宋" w:eastAsia="仿宋" w:cs="仿宋"/>
          <w:b/>
          <w:bCs/>
          <w:kern w:val="2"/>
          <w:sz w:val="28"/>
          <w:szCs w:val="28"/>
          <w:lang w:val="en-US" w:eastAsia="zh-CN"/>
        </w:rPr>
        <w:t>基本支出合计929.64万元</w:t>
      </w:r>
      <w:r>
        <w:rPr>
          <w:rFonts w:hint="eastAsia" w:ascii="仿宋" w:hAnsi="仿宋" w:eastAsia="仿宋" w:cs="仿宋"/>
          <w:kern w:val="2"/>
          <w:sz w:val="28"/>
          <w:szCs w:val="28"/>
          <w:lang w:val="en-US" w:eastAsia="zh-CN"/>
        </w:rPr>
        <w:t>，主要包括社会保障和就业支出103.93万元，卫生健康支出46.24万元，节能环保支出693.91万元，住房保障支出85.56万元。</w:t>
      </w:r>
    </w:p>
    <w:p w14:paraId="7B8E94EF">
      <w:pPr>
        <w:keepLines/>
        <w:numPr>
          <w:ilvl w:val="0"/>
          <w:numId w:val="0"/>
        </w:numPr>
        <w:snapToGrid w:val="0"/>
        <w:spacing w:line="24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（二）项目支出情况</w:t>
      </w:r>
    </w:p>
    <w:p w14:paraId="016510D3">
      <w:pPr>
        <w:pStyle w:val="2"/>
        <w:numPr>
          <w:ilvl w:val="0"/>
          <w:numId w:val="0"/>
        </w:numPr>
        <w:spacing w:line="24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2023年度单位项目支出全年预算数为</w:t>
      </w:r>
      <w:r>
        <w:rPr>
          <w:rFonts w:hint="eastAsia" w:ascii="仿宋" w:hAnsi="仿宋" w:eastAsia="仿宋" w:cs="仿宋"/>
          <w:b/>
          <w:bCs/>
          <w:kern w:val="2"/>
          <w:sz w:val="28"/>
          <w:szCs w:val="28"/>
          <w:lang w:val="en-US" w:eastAsia="zh-CN"/>
        </w:rPr>
        <w:t>86.64</w:t>
      </w:r>
      <w:r>
        <w:rPr>
          <w:rFonts w:hint="eastAsia" w:ascii="仿宋" w:hAnsi="仿宋" w:eastAsia="仿宋" w:cs="仿宋"/>
          <w:color w:val="auto"/>
          <w:sz w:val="28"/>
          <w:szCs w:val="28"/>
          <w:lang w:val="en-US" w:eastAsia="zh-CN"/>
        </w:rPr>
        <w:t>万元,其中</w:t>
      </w:r>
      <w:r>
        <w:rPr>
          <w:rFonts w:hint="eastAsia" w:ascii="仿宋" w:hAnsi="仿宋" w:eastAsia="仿宋" w:cs="仿宋"/>
          <w:b w:val="0"/>
          <w:bCs w:val="0"/>
          <w:color w:val="auto"/>
          <w:sz w:val="28"/>
          <w:szCs w:val="28"/>
          <w:lang w:val="en-US" w:eastAsia="zh-CN"/>
        </w:rPr>
        <w:t>主要包括：</w:t>
      </w:r>
      <w:r>
        <w:rPr>
          <w:rFonts w:hint="eastAsia" w:ascii="仿宋" w:hAnsi="仿宋" w:eastAsia="仿宋" w:cs="仿宋"/>
          <w:b/>
          <w:bCs/>
          <w:color w:val="auto"/>
          <w:sz w:val="28"/>
          <w:szCs w:val="28"/>
          <w:lang w:val="en-US" w:eastAsia="zh-CN"/>
        </w:rPr>
        <w:t>①市生态环境局零陵分局基本监测经费60万元</w:t>
      </w:r>
      <w:r>
        <w:rPr>
          <w:rFonts w:hint="eastAsia" w:ascii="仿宋" w:hAnsi="仿宋" w:eastAsia="仿宋" w:cs="仿宋"/>
          <w:color w:val="auto"/>
          <w:sz w:val="28"/>
          <w:szCs w:val="28"/>
          <w:lang w:val="en-US" w:eastAsia="zh-CN"/>
        </w:rPr>
        <w:t>,主要完成年度监测工作（污染源监测、涉铊专项监测、排污口监测、生态环境质量监测网质量控制、农村环境质量监测、饮用水水源地水质重金属专项监测等工作），2023年全年执行数为60万元；</w:t>
      </w:r>
      <w:r>
        <w:rPr>
          <w:rFonts w:hint="eastAsia" w:ascii="仿宋" w:hAnsi="仿宋" w:eastAsia="仿宋" w:cs="仿宋"/>
          <w:b/>
          <w:bCs/>
          <w:color w:val="auto"/>
          <w:sz w:val="28"/>
          <w:szCs w:val="28"/>
          <w:lang w:val="en-US" w:eastAsia="zh-CN"/>
        </w:rPr>
        <w:t>②永州市生态环境局零陵分局2023年单位排污权有偿使用收入安排支出19.08万元</w:t>
      </w:r>
      <w:r>
        <w:rPr>
          <w:rFonts w:hint="eastAsia" w:ascii="仿宋" w:hAnsi="仿宋" w:eastAsia="仿宋" w:cs="仿宋"/>
          <w:color w:val="auto"/>
          <w:sz w:val="28"/>
          <w:szCs w:val="28"/>
          <w:lang w:val="en-US" w:eastAsia="zh-CN"/>
        </w:rPr>
        <w:t>,在“总量控制”前提下，珍惜有限的排污权，减少污染物排放，同时使企业成本真实反映环境保护的要求，从而达到防治污染的目的，2023年全年执行数为18.66万元。</w:t>
      </w:r>
    </w:p>
    <w:p w14:paraId="6789DE54">
      <w:pPr>
        <w:keepLines/>
        <w:numPr>
          <w:ilvl w:val="0"/>
          <w:numId w:val="4"/>
        </w:numPr>
        <w:snapToGrid w:val="0"/>
        <w:spacing w:line="240" w:lineRule="auto"/>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政府性基金预算支出情况</w:t>
      </w:r>
    </w:p>
    <w:p w14:paraId="573EC2B8">
      <w:pPr>
        <w:pStyle w:val="13"/>
        <w:spacing w:line="240" w:lineRule="auto"/>
        <w:ind w:left="0" w:leftChars="0" w:firstLine="280" w:firstLineChars="100"/>
        <w:jc w:val="left"/>
        <w:outlineLvl w:val="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rPr>
        <w:t>我单位无政府性基金预算支出情况</w:t>
      </w:r>
    </w:p>
    <w:p w14:paraId="347DCBAB">
      <w:pPr>
        <w:pStyle w:val="13"/>
        <w:numPr>
          <w:ilvl w:val="0"/>
          <w:numId w:val="4"/>
        </w:numPr>
        <w:spacing w:line="240" w:lineRule="auto"/>
        <w:ind w:left="0" w:leftChars="0" w:firstLine="0" w:firstLineChars="0"/>
        <w:jc w:val="left"/>
        <w:outlineLvl w:val="0"/>
        <w:rPr>
          <w:rFonts w:hint="eastAsia" w:ascii="仿宋" w:hAnsi="仿宋" w:eastAsia="仿宋" w:cs="仿宋"/>
          <w:b/>
          <w:bCs/>
          <w:sz w:val="28"/>
          <w:szCs w:val="28"/>
        </w:rPr>
      </w:pPr>
      <w:r>
        <w:rPr>
          <w:rFonts w:hint="eastAsia" w:ascii="仿宋" w:hAnsi="仿宋" w:eastAsia="仿宋" w:cs="仿宋"/>
          <w:b/>
          <w:bCs/>
          <w:sz w:val="28"/>
          <w:szCs w:val="28"/>
        </w:rPr>
        <w:t>国有资本经营预算支出情况</w:t>
      </w:r>
    </w:p>
    <w:p w14:paraId="390AD7C1">
      <w:pPr>
        <w:pStyle w:val="13"/>
        <w:numPr>
          <w:ilvl w:val="0"/>
          <w:numId w:val="0"/>
        </w:numPr>
        <w:spacing w:line="240" w:lineRule="auto"/>
        <w:ind w:leftChars="0" w:firstLine="280" w:firstLineChars="100"/>
        <w:jc w:val="left"/>
        <w:outlineLvl w:val="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2023年</w:t>
      </w:r>
      <w:r>
        <w:rPr>
          <w:rFonts w:hint="eastAsia" w:ascii="仿宋" w:hAnsi="仿宋" w:eastAsia="仿宋" w:cs="仿宋"/>
          <w:color w:val="000000"/>
          <w:sz w:val="28"/>
          <w:szCs w:val="28"/>
        </w:rPr>
        <w:t>我单位无国有资本经营预算支出情况</w:t>
      </w:r>
    </w:p>
    <w:p w14:paraId="1DEE6D6E">
      <w:pPr>
        <w:pStyle w:val="13"/>
        <w:numPr>
          <w:ilvl w:val="0"/>
          <w:numId w:val="4"/>
        </w:numPr>
        <w:spacing w:line="240" w:lineRule="auto"/>
        <w:ind w:left="0" w:leftChars="0" w:firstLine="0" w:firstLineChars="0"/>
        <w:jc w:val="left"/>
        <w:outlineLvl w:val="0"/>
        <w:rPr>
          <w:rFonts w:hint="eastAsia" w:ascii="仿宋" w:hAnsi="仿宋" w:eastAsia="仿宋" w:cs="仿宋"/>
          <w:b/>
          <w:bCs/>
          <w:sz w:val="28"/>
          <w:szCs w:val="28"/>
        </w:rPr>
      </w:pPr>
      <w:r>
        <w:rPr>
          <w:rFonts w:hint="eastAsia" w:ascii="仿宋" w:hAnsi="仿宋" w:eastAsia="仿宋" w:cs="仿宋"/>
          <w:b/>
          <w:bCs/>
          <w:sz w:val="28"/>
          <w:szCs w:val="28"/>
        </w:rPr>
        <w:t>社会保险基金预算支出情况</w:t>
      </w:r>
    </w:p>
    <w:p w14:paraId="2DB6EBDB">
      <w:pPr>
        <w:pStyle w:val="13"/>
        <w:numPr>
          <w:ilvl w:val="0"/>
          <w:numId w:val="0"/>
        </w:numPr>
        <w:spacing w:line="240" w:lineRule="auto"/>
        <w:ind w:leftChars="0" w:firstLine="280" w:firstLineChars="100"/>
        <w:jc w:val="left"/>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2023年</w:t>
      </w:r>
      <w:r>
        <w:rPr>
          <w:rFonts w:hint="eastAsia" w:ascii="仿宋" w:hAnsi="仿宋" w:eastAsia="仿宋" w:cs="仿宋"/>
          <w:b w:val="0"/>
          <w:bCs w:val="0"/>
          <w:color w:val="auto"/>
          <w:sz w:val="28"/>
          <w:szCs w:val="28"/>
        </w:rPr>
        <w:t>我单位</w:t>
      </w:r>
      <w:r>
        <w:rPr>
          <w:rFonts w:hint="eastAsia" w:ascii="仿宋" w:hAnsi="仿宋" w:eastAsia="仿宋" w:cs="仿宋"/>
          <w:b/>
          <w:bCs/>
          <w:color w:val="auto"/>
          <w:sz w:val="28"/>
          <w:szCs w:val="28"/>
        </w:rPr>
        <w:t>行政事业单位养老支出</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103.93万元；其中机关事业单位基本养老保险缴费支出103.93万元，</w:t>
      </w:r>
      <w:r>
        <w:rPr>
          <w:rFonts w:hint="eastAsia" w:ascii="仿宋" w:hAnsi="仿宋" w:eastAsia="仿宋" w:cs="仿宋"/>
          <w:b/>
          <w:bCs/>
          <w:color w:val="auto"/>
          <w:sz w:val="28"/>
          <w:szCs w:val="28"/>
          <w:lang w:val="en-US" w:eastAsia="zh-CN"/>
        </w:rPr>
        <w:t>卫生健康支出</w:t>
      </w:r>
      <w:r>
        <w:rPr>
          <w:rFonts w:hint="eastAsia" w:ascii="仿宋" w:hAnsi="仿宋" w:eastAsia="仿宋" w:cs="仿宋"/>
          <w:b w:val="0"/>
          <w:bCs w:val="0"/>
          <w:color w:val="auto"/>
          <w:sz w:val="28"/>
          <w:szCs w:val="28"/>
          <w:lang w:val="en-US" w:eastAsia="zh-CN"/>
        </w:rPr>
        <w:t>：46.24万元，其中 行政单位医疗46.24万元。</w:t>
      </w:r>
    </w:p>
    <w:p w14:paraId="6D73FC37">
      <w:pPr>
        <w:numPr>
          <w:ilvl w:val="0"/>
          <w:numId w:val="4"/>
        </w:numPr>
        <w:spacing w:line="240" w:lineRule="auto"/>
        <w:ind w:left="0" w:leftChars="0" w:firstLine="0" w:firstLineChars="0"/>
        <w:jc w:val="left"/>
        <w:outlineLvl w:val="0"/>
        <w:rPr>
          <w:rFonts w:hint="eastAsia"/>
        </w:rPr>
      </w:pPr>
      <w:r>
        <w:rPr>
          <w:rFonts w:hint="eastAsia" w:ascii="仿宋" w:hAnsi="仿宋" w:eastAsia="仿宋" w:cs="仿宋"/>
          <w:b/>
          <w:bCs/>
          <w:color w:val="auto"/>
          <w:sz w:val="28"/>
          <w:szCs w:val="28"/>
        </w:rPr>
        <w:t>部门整体支出绩效情况</w:t>
      </w:r>
    </w:p>
    <w:p w14:paraId="3FA103AE">
      <w:pPr>
        <w:keepNext w:val="0"/>
        <w:keepLines w:val="0"/>
        <w:pageBreakBefore w:val="0"/>
        <w:widowControl w:val="0"/>
        <w:kinsoku/>
        <w:wordWrap/>
        <w:overflowPunct/>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Style w:val="19"/>
          <w:rFonts w:hint="eastAsia" w:ascii="仿宋_GB2312" w:hAnsi="仿宋_GB2312" w:eastAsia="仿宋_GB2312" w:cs="仿宋_GB2312"/>
          <w:b w:val="0"/>
          <w:bCs w:val="0"/>
          <w:color w:val="auto"/>
          <w:sz w:val="32"/>
          <w:szCs w:val="32"/>
          <w:lang w:val="en-US" w:eastAsia="zh-CN"/>
        </w:rPr>
        <w:t>2023年，零陵区空气质量综合指数3.33，同比下降3.2%，优良率同比增加6.2个百分点</w:t>
      </w:r>
      <w:r>
        <w:rPr>
          <w:rStyle w:val="19"/>
          <w:rFonts w:hint="eastAsia" w:ascii="仿宋_GB2312" w:hAnsi="仿宋_GB2312" w:cs="仿宋_GB2312"/>
          <w:b w:val="0"/>
          <w:bCs w:val="0"/>
          <w:color w:val="auto"/>
          <w:sz w:val="32"/>
          <w:szCs w:val="32"/>
          <w:lang w:val="en-US" w:eastAsia="zh-CN"/>
        </w:rPr>
        <w:t>；</w:t>
      </w:r>
      <w:r>
        <w:rPr>
          <w:rStyle w:val="19"/>
          <w:rFonts w:hint="default" w:ascii="仿宋_GB2312" w:hAnsi="仿宋_GB2312" w:cs="仿宋_GB2312"/>
          <w:b w:val="0"/>
          <w:bCs w:val="0"/>
          <w:color w:val="auto"/>
          <w:sz w:val="32"/>
          <w:szCs w:val="32"/>
          <w:lang w:val="en-US" w:eastAsia="zh-CN"/>
        </w:rPr>
        <w:t>全区</w:t>
      </w:r>
      <w:r>
        <w:rPr>
          <w:rFonts w:hint="eastAsia" w:ascii="仿宋_GB2312" w:hAnsi="仿宋_GB2312" w:eastAsia="仿宋_GB2312" w:cs="仿宋_GB2312"/>
          <w:color w:val="auto"/>
          <w:sz w:val="32"/>
          <w:szCs w:val="32"/>
        </w:rPr>
        <w:t>国、省控断面</w:t>
      </w:r>
      <w:r>
        <w:rPr>
          <w:rFonts w:hint="eastAsia" w:ascii="仿宋_GB2312" w:hAnsi="仿宋_GB2312" w:cs="仿宋_GB2312"/>
          <w:color w:val="auto"/>
          <w:sz w:val="32"/>
          <w:szCs w:val="32"/>
          <w:lang w:val="en-US" w:eastAsia="zh-CN"/>
        </w:rPr>
        <w:t>均</w:t>
      </w:r>
      <w:r>
        <w:rPr>
          <w:rFonts w:hint="default" w:ascii="仿宋_GB2312" w:hAnsi="仿宋_GB2312" w:eastAsia="仿宋_GB2312" w:cs="仿宋_GB2312"/>
          <w:color w:val="auto"/>
          <w:sz w:val="32"/>
          <w:szCs w:val="32"/>
          <w:lang w:val="en-US"/>
        </w:rPr>
        <w:t>保持Ⅱ类并稳中有升，达标率100%，综合指数2.66，同比改善4.7%</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土壤</w:t>
      </w:r>
      <w:r>
        <w:rPr>
          <w:rFonts w:hint="default"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val="en-US" w:eastAsia="zh-CN"/>
        </w:rPr>
        <w:t>质量状况稳定，</w:t>
      </w:r>
      <w:r>
        <w:rPr>
          <w:rFonts w:hint="default" w:ascii="仿宋_GB2312" w:hAnsi="仿宋_GB2312" w:eastAsia="仿宋_GB2312" w:cs="仿宋_GB2312"/>
          <w:color w:val="auto"/>
          <w:sz w:val="32"/>
          <w:szCs w:val="32"/>
          <w:lang w:val="en-US" w:eastAsia="zh-CN"/>
        </w:rPr>
        <w:t>重点建设用地安全利用率100%，受污染耕地安全利用率93.23%。</w:t>
      </w:r>
      <w:r>
        <w:rPr>
          <w:rFonts w:hint="eastAsia" w:ascii="仿宋_GB2312" w:hAnsi="仿宋_GB2312" w:eastAsia="仿宋_GB2312" w:cs="仿宋_GB2312"/>
          <w:color w:val="auto"/>
          <w:sz w:val="32"/>
          <w:szCs w:val="32"/>
          <w:lang w:val="en-US" w:eastAsia="zh-CN"/>
        </w:rPr>
        <w:t>未发生环境污染以及生态破坏事件。</w:t>
      </w:r>
    </w:p>
    <w:p w14:paraId="62E31040">
      <w:pPr>
        <w:pStyle w:val="7"/>
        <w:keepNext w:val="0"/>
        <w:keepLines w:val="0"/>
        <w:pageBreakBefore w:val="0"/>
        <w:widowControl w:val="0"/>
        <w:kinsoku/>
        <w:wordWrap/>
        <w:overflowPunct/>
        <w:autoSpaceDE/>
        <w:autoSpaceDN/>
        <w:bidi w:val="0"/>
        <w:adjustRightInd/>
        <w:snapToGrid/>
        <w:spacing w:after="0" w:line="600" w:lineRule="exact"/>
        <w:ind w:left="0" w:leftChars="0" w:firstLine="640"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高位推动，坚决抗牢生态政治责任</w:t>
      </w:r>
    </w:p>
    <w:p w14:paraId="3E9F3300">
      <w:pPr>
        <w:pStyle w:val="7"/>
        <w:keepNext w:val="0"/>
        <w:keepLines w:val="0"/>
        <w:pageBreakBefore w:val="0"/>
        <w:widowControl w:val="0"/>
        <w:kinsoku/>
        <w:wordWrap/>
        <w:overflowPunct/>
        <w:autoSpaceDE/>
        <w:autoSpaceDN/>
        <w:bidi w:val="0"/>
        <w:adjustRightInd/>
        <w:snapToGrid/>
        <w:spacing w:after="0" w:line="600" w:lineRule="exact"/>
        <w:ind w:left="0" w:leftChars="0" w:firstLine="640" w:firstLineChars="200"/>
        <w:rPr>
          <w:rStyle w:val="19"/>
          <w:rFonts w:hint="eastAsia" w:ascii="仿宋_GB2312" w:hAnsi="仿宋_GB2312" w:eastAsia="仿宋_GB2312" w:cs="仿宋_GB2312"/>
          <w:b w:val="0"/>
          <w:bCs w:val="0"/>
          <w:color w:val="auto"/>
          <w:kern w:val="2"/>
          <w:sz w:val="32"/>
          <w:szCs w:val="32"/>
          <w:lang w:val="en-US" w:eastAsia="zh-CN" w:bidi="ar-SA"/>
        </w:rPr>
      </w:pPr>
      <w:r>
        <w:rPr>
          <w:rStyle w:val="19"/>
          <w:rFonts w:hint="eastAsia" w:ascii="仿宋_GB2312" w:hAnsi="仿宋_GB2312" w:eastAsia="仿宋_GB2312" w:cs="仿宋_GB2312"/>
          <w:b w:val="0"/>
          <w:bCs w:val="0"/>
          <w:color w:val="auto"/>
          <w:kern w:val="2"/>
          <w:sz w:val="32"/>
          <w:szCs w:val="32"/>
          <w:lang w:val="en-US" w:eastAsia="zh-CN" w:bidi="ar-SA"/>
        </w:rPr>
        <w:t>坚持以污染防治攻坚为引领，把绿水青山就是金山银山理念贯穿于经济社会发展的全过程。</w:t>
      </w:r>
      <w:r>
        <w:rPr>
          <w:rFonts w:hint="eastAsia" w:ascii="仿宋_GB2312" w:hAnsi="仿宋_GB2312" w:eastAsia="仿宋_GB2312" w:cs="仿宋_GB2312"/>
          <w:b w:val="0"/>
          <w:bCs w:val="0"/>
          <w:color w:val="auto"/>
          <w:sz w:val="32"/>
          <w:szCs w:val="32"/>
          <w:lang w:val="en-US" w:eastAsia="zh-CN"/>
        </w:rPr>
        <w:t>区委常委会、区政府常务会先后8次专题研究</w:t>
      </w:r>
      <w:r>
        <w:rPr>
          <w:rFonts w:hint="eastAsia" w:ascii="仿宋_GB2312" w:hAnsi="仿宋_GB2312" w:cs="仿宋_GB2312"/>
          <w:b w:val="0"/>
          <w:bCs w:val="0"/>
          <w:color w:val="auto"/>
          <w:sz w:val="32"/>
          <w:szCs w:val="32"/>
          <w:lang w:val="en-US" w:eastAsia="zh-CN"/>
        </w:rPr>
        <w:t>生态环境</w:t>
      </w:r>
      <w:r>
        <w:rPr>
          <w:rFonts w:hint="eastAsia" w:ascii="仿宋_GB2312" w:hAnsi="仿宋_GB2312" w:eastAsia="仿宋_GB2312" w:cs="仿宋_GB2312"/>
          <w:b w:val="0"/>
          <w:bCs w:val="0"/>
          <w:color w:val="auto"/>
          <w:sz w:val="32"/>
          <w:szCs w:val="32"/>
          <w:lang w:val="en-US" w:eastAsia="zh-CN"/>
        </w:rPr>
        <w:t>工作。</w:t>
      </w:r>
      <w:r>
        <w:rPr>
          <w:rStyle w:val="19"/>
          <w:rFonts w:hint="eastAsia" w:ascii="仿宋_GB2312" w:hAnsi="仿宋_GB2312" w:eastAsia="仿宋_GB2312" w:cs="仿宋_GB2312"/>
          <w:b w:val="0"/>
          <w:bCs w:val="0"/>
          <w:color w:val="auto"/>
          <w:kern w:val="2"/>
          <w:sz w:val="32"/>
          <w:szCs w:val="32"/>
          <w:lang w:val="en-US" w:eastAsia="zh-CN" w:bidi="ar-SA"/>
        </w:rPr>
        <w:t>推行“清单化”管理，印发《2023年零陵区生态环境保护工作要点》等4个文件，严格落实“一个问题、一个方案、一套班子、一抓到底”要求。</w:t>
      </w:r>
    </w:p>
    <w:p w14:paraId="79ACD116">
      <w:pPr>
        <w:pStyle w:val="7"/>
        <w:keepNext w:val="0"/>
        <w:keepLines w:val="0"/>
        <w:pageBreakBefore w:val="0"/>
        <w:widowControl w:val="0"/>
        <w:kinsoku/>
        <w:wordWrap/>
        <w:overflowPunct/>
        <w:autoSpaceDE/>
        <w:autoSpaceDN/>
        <w:bidi w:val="0"/>
        <w:adjustRightInd/>
        <w:snapToGrid/>
        <w:spacing w:after="0" w:line="600" w:lineRule="exact"/>
        <w:ind w:left="0" w:leftChars="0" w:firstLine="640"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）综合治理，持续推进环境</w:t>
      </w:r>
      <w:r>
        <w:rPr>
          <w:rFonts w:hint="eastAsia" w:ascii="楷体_GB2312" w:hAnsi="楷体_GB2312" w:eastAsia="楷体_GB2312" w:cs="楷体_GB2312"/>
          <w:b/>
          <w:bCs/>
          <w:color w:val="auto"/>
          <w:sz w:val="32"/>
          <w:szCs w:val="32"/>
          <w:lang w:val="en-US" w:eastAsia="zh-CN"/>
        </w:rPr>
        <w:t>质量改善</w:t>
      </w:r>
    </w:p>
    <w:p w14:paraId="08BFD5FC">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1.大气攻坚全力推进。</w:t>
      </w:r>
      <w:r>
        <w:rPr>
          <w:rStyle w:val="19"/>
          <w:rFonts w:hint="eastAsia" w:ascii="仿宋_GB2312" w:hAnsi="仿宋_GB2312" w:eastAsia="仿宋_GB2312" w:cs="仿宋_GB2312"/>
          <w:b w:val="0"/>
          <w:bCs w:val="0"/>
          <w:color w:val="auto"/>
          <w:sz w:val="32"/>
          <w:szCs w:val="32"/>
          <w:lang w:val="en-US" w:eastAsia="zh-CN"/>
        </w:rPr>
        <w:t>推进大气污染防治十大领域九大攻坚行动，成立工作专班，下设8个工作组。制定了《零陵区大气污染防治攻坚行动推进方案》《零陵区大气污染防治攻坚行动专项督查方案》。</w:t>
      </w:r>
      <w:r>
        <w:rPr>
          <w:rStyle w:val="19"/>
          <w:rFonts w:hint="eastAsia" w:ascii="仿宋_GB2312" w:hAnsi="仿宋_GB2312" w:cs="仿宋_GB2312"/>
          <w:b w:val="0"/>
          <w:bCs w:val="0"/>
          <w:color w:val="auto"/>
          <w:sz w:val="32"/>
          <w:szCs w:val="32"/>
          <w:lang w:val="en-US" w:eastAsia="zh-CN"/>
        </w:rPr>
        <w:t>完成</w:t>
      </w:r>
      <w:r>
        <w:rPr>
          <w:rStyle w:val="19"/>
          <w:rFonts w:hint="eastAsia" w:ascii="仿宋_GB2312" w:hAnsi="仿宋_GB2312" w:eastAsia="仿宋_GB2312" w:cs="仿宋_GB2312"/>
          <w:b w:val="0"/>
          <w:bCs w:val="0"/>
          <w:color w:val="auto"/>
          <w:sz w:val="32"/>
          <w:szCs w:val="32"/>
          <w:lang w:val="en-US" w:eastAsia="zh-CN"/>
        </w:rPr>
        <w:t>盛业有机LDAR检测</w:t>
      </w:r>
      <w:r>
        <w:rPr>
          <w:rStyle w:val="19"/>
          <w:rFonts w:hint="eastAsia" w:ascii="仿宋_GB2312" w:hAnsi="仿宋_GB2312" w:cs="仿宋_GB2312"/>
          <w:b w:val="0"/>
          <w:bCs w:val="0"/>
          <w:color w:val="auto"/>
          <w:sz w:val="32"/>
          <w:szCs w:val="32"/>
          <w:lang w:val="en-US" w:eastAsia="zh-CN"/>
        </w:rPr>
        <w:t>、</w:t>
      </w:r>
      <w:r>
        <w:rPr>
          <w:rStyle w:val="19"/>
          <w:rFonts w:hint="eastAsia" w:ascii="仿宋_GB2312" w:hAnsi="仿宋_GB2312" w:eastAsia="仿宋_GB2312" w:cs="仿宋_GB2312"/>
          <w:b w:val="0"/>
          <w:bCs w:val="0"/>
          <w:color w:val="auto"/>
          <w:sz w:val="32"/>
          <w:szCs w:val="32"/>
          <w:lang w:val="en-US" w:eastAsia="zh-CN"/>
        </w:rPr>
        <w:t>金鸥医药包装</w:t>
      </w:r>
      <w:r>
        <w:rPr>
          <w:rStyle w:val="19"/>
          <w:rFonts w:hint="eastAsia" w:ascii="仿宋_GB2312" w:hAnsi="仿宋_GB2312" w:cs="仿宋_GB2312"/>
          <w:b w:val="0"/>
          <w:bCs w:val="0"/>
          <w:color w:val="auto"/>
          <w:sz w:val="32"/>
          <w:szCs w:val="32"/>
          <w:lang w:val="en-US" w:eastAsia="zh-CN"/>
        </w:rPr>
        <w:t>提标改造项目</w:t>
      </w:r>
      <w:r>
        <w:rPr>
          <w:rStyle w:val="19"/>
          <w:rFonts w:hint="eastAsia" w:ascii="仿宋_GB2312" w:hAnsi="仿宋_GB2312" w:eastAsia="仿宋_GB2312" w:cs="仿宋_GB2312"/>
          <w:b w:val="0"/>
          <w:bCs w:val="0"/>
          <w:color w:val="auto"/>
          <w:sz w:val="32"/>
          <w:szCs w:val="32"/>
          <w:lang w:val="en-US" w:eastAsia="zh-CN"/>
        </w:rPr>
        <w:t>。完成125台非道机械检测挂牌、201台柴油货车路检路查、淘汰老旧机动车20台。</w:t>
      </w:r>
      <w:r>
        <w:rPr>
          <w:rStyle w:val="19"/>
          <w:rFonts w:hint="eastAsia" w:ascii="仿宋_GB2312" w:hAnsi="仿宋_GB2312" w:cs="仿宋_GB2312"/>
          <w:b w:val="0"/>
          <w:bCs w:val="0"/>
          <w:color w:val="auto"/>
          <w:sz w:val="32"/>
          <w:szCs w:val="32"/>
          <w:lang w:val="en-US" w:eastAsia="zh-CN"/>
        </w:rPr>
        <w:t>开展</w:t>
      </w:r>
      <w:r>
        <w:rPr>
          <w:rStyle w:val="19"/>
          <w:rFonts w:hint="eastAsia" w:ascii="仿宋_GB2312" w:hAnsi="仿宋_GB2312" w:eastAsia="仿宋_GB2312" w:cs="仿宋_GB2312"/>
          <w:b w:val="0"/>
          <w:bCs w:val="0"/>
          <w:color w:val="auto"/>
          <w:sz w:val="32"/>
          <w:szCs w:val="32"/>
          <w:lang w:val="en-US" w:eastAsia="zh-CN"/>
        </w:rPr>
        <w:t>督查300余次，</w:t>
      </w:r>
      <w:r>
        <w:rPr>
          <w:rFonts w:hint="eastAsia" w:ascii="仿宋_GB2312" w:hAnsi="仿宋_GB2312" w:eastAsia="仿宋_GB2312" w:cs="仿宋_GB2312"/>
          <w:color w:val="auto"/>
          <w:sz w:val="32"/>
          <w:szCs w:val="32"/>
          <w:lang w:val="en-US" w:eastAsia="zh-CN"/>
        </w:rPr>
        <w:t>制止露天焚烧300余起，</w:t>
      </w:r>
      <w:r>
        <w:rPr>
          <w:rStyle w:val="19"/>
          <w:rFonts w:hint="eastAsia" w:ascii="仿宋_GB2312" w:hAnsi="仿宋_GB2312" w:eastAsia="仿宋_GB2312" w:cs="仿宋_GB2312"/>
          <w:b w:val="0"/>
          <w:bCs w:val="0"/>
          <w:color w:val="auto"/>
          <w:sz w:val="32"/>
          <w:szCs w:val="32"/>
          <w:lang w:val="en-US" w:eastAsia="zh-CN"/>
        </w:rPr>
        <w:t>下发交办函35份</w:t>
      </w:r>
      <w:r>
        <w:rPr>
          <w:rStyle w:val="19"/>
          <w:rFonts w:hint="eastAsia" w:ascii="仿宋_GB2312" w:hAnsi="仿宋_GB2312" w:cs="仿宋_GB2312"/>
          <w:b w:val="0"/>
          <w:bCs w:val="0"/>
          <w:color w:val="auto"/>
          <w:sz w:val="32"/>
          <w:szCs w:val="32"/>
          <w:lang w:val="en-US" w:eastAsia="zh-CN"/>
        </w:rPr>
        <w:t>、</w:t>
      </w:r>
      <w:r>
        <w:rPr>
          <w:rStyle w:val="19"/>
          <w:rFonts w:hint="eastAsia" w:ascii="仿宋_GB2312" w:hAnsi="仿宋_GB2312" w:eastAsia="仿宋_GB2312" w:cs="仿宋_GB2312"/>
          <w:b w:val="0"/>
          <w:bCs w:val="0"/>
          <w:color w:val="auto"/>
          <w:sz w:val="32"/>
          <w:szCs w:val="32"/>
          <w:lang w:val="en-US" w:eastAsia="zh-CN"/>
        </w:rPr>
        <w:t>通报20期，约谈3次</w:t>
      </w:r>
      <w:r>
        <w:rPr>
          <w:rFonts w:hint="eastAsia" w:ascii="仿宋_GB2312" w:hAnsi="仿宋_GB2312" w:eastAsia="仿宋_GB2312" w:cs="仿宋_GB2312"/>
          <w:color w:val="auto"/>
          <w:sz w:val="32"/>
          <w:szCs w:val="32"/>
          <w:lang w:val="en-US" w:eastAsia="zh-CN"/>
        </w:rPr>
        <w:t>。</w:t>
      </w:r>
    </w:p>
    <w:p w14:paraId="34D25C0D">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2.水域质量持续改善。</w:t>
      </w:r>
      <w:r>
        <w:rPr>
          <w:rFonts w:hint="eastAsia" w:ascii="仿宋_GB2312" w:hAnsi="仿宋_GB2312" w:eastAsia="仿宋_GB2312" w:cs="仿宋_GB2312"/>
          <w:b w:val="0"/>
          <w:bCs w:val="0"/>
          <w:color w:val="auto"/>
          <w:sz w:val="32"/>
          <w:szCs w:val="32"/>
          <w:lang w:val="en-US" w:eastAsia="zh-CN"/>
        </w:rPr>
        <w:t>完成19个入河排污口整治和规范化建设</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完成2个县级以上、7个千吨万人、4个乡镇级千人以上和64个农村千人以上饮用水水源保护区勘界定标</w:t>
      </w:r>
      <w:r>
        <w:rPr>
          <w:rFonts w:hint="default"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val="en-US" w:eastAsia="zh-CN"/>
        </w:rPr>
        <w:t>环境状况评估、应急预案编制备案工作</w:t>
      </w:r>
      <w:r>
        <w:rPr>
          <w:rFonts w:hint="default"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val="en-US" w:eastAsia="zh-CN"/>
        </w:rPr>
        <w:t>规范化建设和环境整治工作。</w:t>
      </w:r>
      <w:r>
        <w:rPr>
          <w:rFonts w:hint="default" w:ascii="仿宋_GB2312" w:hAnsi="仿宋_GB2312" w:eastAsia="仿宋_GB2312" w:cs="仿宋_GB2312"/>
          <w:b w:val="0"/>
          <w:bCs w:val="0"/>
          <w:color w:val="auto"/>
          <w:sz w:val="32"/>
          <w:szCs w:val="32"/>
          <w:lang w:val="en-US" w:eastAsia="zh-CN"/>
        </w:rPr>
        <w:t>晓理塘村和大庙头村饮用水水源地规范化建设和环境整治作为民生实事典型被</w:t>
      </w:r>
      <w:r>
        <w:rPr>
          <w:rFonts w:hint="eastAsia" w:ascii="仿宋_GB2312" w:hAnsi="仿宋_GB2312" w:cs="仿宋_GB2312"/>
          <w:b w:val="0"/>
          <w:bCs w:val="0"/>
          <w:color w:val="auto"/>
          <w:sz w:val="32"/>
          <w:szCs w:val="32"/>
          <w:lang w:val="en-US" w:eastAsia="zh-CN"/>
        </w:rPr>
        <w:t>省</w:t>
      </w:r>
      <w:r>
        <w:rPr>
          <w:rFonts w:hint="default" w:ascii="仿宋_GB2312" w:hAnsi="仿宋_GB2312" w:eastAsia="仿宋_GB2312" w:cs="仿宋_GB2312"/>
          <w:b w:val="0"/>
          <w:bCs w:val="0"/>
          <w:color w:val="auto"/>
          <w:sz w:val="32"/>
          <w:szCs w:val="32"/>
          <w:lang w:val="en-US" w:eastAsia="zh-CN"/>
        </w:rPr>
        <w:t>、市、</w:t>
      </w:r>
      <w:r>
        <w:rPr>
          <w:rFonts w:hint="eastAsia" w:ascii="仿宋_GB2312" w:hAnsi="仿宋_GB2312" w:cs="仿宋_GB2312"/>
          <w:b w:val="0"/>
          <w:bCs w:val="0"/>
          <w:color w:val="auto"/>
          <w:sz w:val="32"/>
          <w:szCs w:val="32"/>
          <w:lang w:val="en-US" w:eastAsia="zh-CN"/>
        </w:rPr>
        <w:t>区</w:t>
      </w:r>
      <w:r>
        <w:rPr>
          <w:rFonts w:hint="default" w:ascii="仿宋_GB2312" w:hAnsi="仿宋_GB2312" w:eastAsia="仿宋_GB2312" w:cs="仿宋_GB2312"/>
          <w:b w:val="0"/>
          <w:bCs w:val="0"/>
          <w:color w:val="auto"/>
          <w:sz w:val="32"/>
          <w:szCs w:val="32"/>
          <w:lang w:val="en-US" w:eastAsia="zh-CN"/>
        </w:rPr>
        <w:t>级媒体多次宣传推介。</w:t>
      </w:r>
    </w:p>
    <w:p w14:paraId="295219BC">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3.土壤治理稳步实施。</w:t>
      </w:r>
      <w:r>
        <w:rPr>
          <w:rFonts w:hint="eastAsia" w:ascii="仿宋_GB2312" w:hAnsi="仿宋_GB2312" w:eastAsia="仿宋_GB2312" w:cs="仿宋_GB2312"/>
          <w:color w:val="auto"/>
          <w:sz w:val="32"/>
          <w:szCs w:val="32"/>
          <w:lang w:val="en-US" w:eastAsia="zh-CN"/>
        </w:rPr>
        <w:t>强力推进农村环境整治，</w:t>
      </w:r>
      <w:r>
        <w:rPr>
          <w:rFonts w:hint="eastAsia" w:ascii="仿宋_GB2312" w:hAnsi="仿宋_GB2312" w:eastAsia="仿宋_GB2312" w:cs="仿宋_GB2312"/>
          <w:b w:val="0"/>
          <w:bCs w:val="0"/>
          <w:color w:val="auto"/>
          <w:sz w:val="32"/>
          <w:szCs w:val="32"/>
          <w:lang w:val="en-US" w:eastAsia="zh-CN"/>
        </w:rPr>
        <w:t>完成6个行政村农村生活污水治理和1条农村黑臭水体治理销号。</w:t>
      </w:r>
      <w:r>
        <w:rPr>
          <w:rFonts w:hint="default" w:ascii="仿宋_GB2312" w:hAnsi="仿宋_GB2312" w:eastAsia="仿宋_GB2312" w:cs="仿宋_GB2312"/>
          <w:b w:val="0"/>
          <w:bCs w:val="0"/>
          <w:color w:val="auto"/>
          <w:sz w:val="32"/>
          <w:szCs w:val="32"/>
          <w:lang w:val="en-US" w:eastAsia="zh-CN"/>
        </w:rPr>
        <w:t>完成5家土壤重点监管单位隐患排查及自行监测</w:t>
      </w:r>
      <w:r>
        <w:rPr>
          <w:rFonts w:hint="eastAsia" w:ascii="仿宋_GB2312" w:hAnsi="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2家企业隐患排查“回头看”。</w:t>
      </w:r>
      <w:r>
        <w:rPr>
          <w:rFonts w:hint="eastAsia" w:ascii="仿宋_GB2312" w:hAnsi="仿宋_GB2312" w:eastAsia="仿宋_GB2312" w:cs="仿宋_GB2312"/>
          <w:b w:val="0"/>
          <w:bCs w:val="0"/>
          <w:color w:val="auto"/>
          <w:sz w:val="32"/>
          <w:szCs w:val="32"/>
          <w:lang w:val="en-US" w:eastAsia="zh-CN"/>
        </w:rPr>
        <w:t>开展企业用地土壤污染状况调查全覆盖，完成1</w:t>
      </w:r>
      <w:r>
        <w:rPr>
          <w:rFonts w:hint="default"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个用途变更为“一住两公”地块土壤污染状况调查</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19个优先监管地块土壤污染状况初步调查并销号</w:t>
      </w:r>
      <w:r>
        <w:rPr>
          <w:rFonts w:hint="default" w:ascii="仿宋_GB2312" w:hAnsi="仿宋_GB2312" w:eastAsia="仿宋_GB2312" w:cs="仿宋_GB2312"/>
          <w:b w:val="0"/>
          <w:bCs w:val="0"/>
          <w:color w:val="auto"/>
          <w:sz w:val="32"/>
          <w:szCs w:val="32"/>
          <w:lang w:val="en-US" w:eastAsia="zh-CN"/>
        </w:rPr>
        <w:t>，优先监管地块管控工作在全省作为典型推介。</w:t>
      </w:r>
      <w:r>
        <w:rPr>
          <w:rFonts w:hint="eastAsia" w:ascii="仿宋_GB2312" w:hAnsi="仿宋_GB2312" w:cs="仿宋_GB2312"/>
          <w:color w:val="auto"/>
          <w:sz w:val="32"/>
          <w:szCs w:val="32"/>
          <w:lang w:val="en-US" w:eastAsia="zh-CN"/>
        </w:rPr>
        <w:t xml:space="preserve">    </w:t>
      </w:r>
    </w:p>
    <w:p w14:paraId="73AF8F53">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攻坚克难</w:t>
      </w:r>
      <w:r>
        <w:rPr>
          <w:rFonts w:hint="eastAsia" w:ascii="楷体_GB2312" w:hAnsi="楷体_GB2312" w:eastAsia="楷体_GB2312" w:cs="楷体_GB2312"/>
          <w:b/>
          <w:bCs/>
          <w:color w:val="auto"/>
          <w:sz w:val="32"/>
          <w:szCs w:val="32"/>
          <w:lang w:eastAsia="zh-CN"/>
        </w:rPr>
        <w:t>，污染防治攻坚取得</w:t>
      </w:r>
      <w:r>
        <w:rPr>
          <w:rFonts w:hint="eastAsia" w:ascii="楷体_GB2312" w:hAnsi="楷体_GB2312" w:eastAsia="楷体_GB2312" w:cs="楷体_GB2312"/>
          <w:b/>
          <w:bCs/>
          <w:color w:val="auto"/>
          <w:sz w:val="32"/>
          <w:szCs w:val="32"/>
          <w:lang w:val="en-US" w:eastAsia="zh-CN"/>
        </w:rPr>
        <w:t>实效</w:t>
      </w:r>
    </w:p>
    <w:p w14:paraId="182A9639">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4.“夏季攻势”卓有成效。</w:t>
      </w:r>
      <w:r>
        <w:rPr>
          <w:rFonts w:hint="eastAsia" w:ascii="仿宋_GB2312" w:hAnsi="仿宋_GB2312" w:eastAsia="仿宋_GB2312" w:cs="仿宋_GB2312"/>
          <w:color w:val="auto"/>
          <w:sz w:val="32"/>
          <w:szCs w:val="32"/>
          <w:lang w:val="en-US" w:eastAsia="zh-CN"/>
        </w:rPr>
        <w:t>全面完成污染攻坚战“夏季攻势”省定任务，完成情况位居全市第一，并获得省政府真抓实干激励表扬，优先监管地块管控入选 2023 年全省污染防治攻坚战“夏季攻势”县级二十佳典型案例。</w:t>
      </w:r>
    </w:p>
    <w:p w14:paraId="1976DBCD">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5.监测能力有效提升。</w:t>
      </w:r>
      <w:r>
        <w:rPr>
          <w:rFonts w:hint="eastAsia" w:ascii="仿宋_GB2312" w:hAnsi="仿宋_GB2312" w:eastAsia="仿宋_GB2312" w:cs="仿宋_GB2312"/>
          <w:color w:val="auto"/>
          <w:sz w:val="32"/>
          <w:szCs w:val="32"/>
          <w:lang w:val="en-US" w:eastAsia="zh-CN"/>
        </w:rPr>
        <w:t>一是完成2023年资质认定复评审工作，共申请四大类20项资质能力；二是新购买了十万分之一分析天平、溶解氧仪、现场pH计等仪器设备，进一步提升监测采样能力；三是积极参加土壤监测、企业自行监测、农村环境质量监测等培训，有效提升监测能力</w:t>
      </w:r>
      <w:r>
        <w:rPr>
          <w:rFonts w:hint="eastAsia" w:ascii="仿宋_GB2312" w:hAnsi="仿宋_GB2312" w:eastAsia="仿宋_GB2312" w:cs="仿宋_GB2312"/>
          <w:b w:val="0"/>
          <w:bCs w:val="0"/>
          <w:color w:val="auto"/>
          <w:sz w:val="32"/>
          <w:szCs w:val="32"/>
          <w:highlight w:val="none"/>
          <w:lang w:val="en-US" w:eastAsia="zh-CN"/>
        </w:rPr>
        <w:t>。</w:t>
      </w:r>
    </w:p>
    <w:p w14:paraId="55903963">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6.问题整改深入开展。</w:t>
      </w:r>
      <w:r>
        <w:rPr>
          <w:rFonts w:hint="eastAsia" w:ascii="仿宋_GB2312" w:hAnsi="仿宋_GB2312" w:eastAsia="仿宋_GB2312" w:cs="仿宋_GB2312"/>
          <w:color w:val="auto"/>
          <w:sz w:val="32"/>
          <w:szCs w:val="32"/>
          <w:lang w:val="en-US" w:eastAsia="zh-CN"/>
        </w:rPr>
        <w:t>提前完成24个突出环境问题并办结销号。持续推进省日常例行督察、“精准画像”交办问题整改。</w:t>
      </w:r>
      <w:r>
        <w:rPr>
          <w:rFonts w:hint="eastAsia" w:ascii="仿宋_GB2312" w:hAnsi="仿宋_GB2312" w:cs="仿宋_GB2312"/>
          <w:color w:val="auto"/>
          <w:sz w:val="32"/>
          <w:szCs w:val="32"/>
          <w:lang w:val="en-US" w:eastAsia="zh-CN"/>
        </w:rPr>
        <w:t>除</w:t>
      </w:r>
      <w:r>
        <w:rPr>
          <w:rFonts w:hint="eastAsia" w:ascii="仿宋_GB2312" w:hAnsi="仿宋_GB2312" w:eastAsia="仿宋_GB2312" w:cs="仿宋_GB2312"/>
          <w:color w:val="auto"/>
          <w:sz w:val="32"/>
          <w:szCs w:val="32"/>
          <w:lang w:val="en-US" w:eastAsia="zh-CN"/>
        </w:rPr>
        <w:t>东湘锰业和鸿意建材</w:t>
      </w:r>
      <w:r>
        <w:rPr>
          <w:rFonts w:hint="eastAsia" w:ascii="仿宋_GB2312" w:hAnsi="仿宋_GB2312" w:cs="仿宋_GB2312"/>
          <w:color w:val="auto"/>
          <w:sz w:val="32"/>
          <w:szCs w:val="32"/>
          <w:lang w:val="en-US" w:eastAsia="zh-CN"/>
        </w:rPr>
        <w:t>外</w:t>
      </w:r>
      <w:r>
        <w:rPr>
          <w:rFonts w:hint="eastAsia" w:ascii="仿宋_GB2312" w:hAnsi="仿宋_GB2312" w:eastAsia="仿宋_GB2312" w:cs="仿宋_GB2312"/>
          <w:color w:val="auto"/>
          <w:sz w:val="32"/>
          <w:szCs w:val="32"/>
          <w:lang w:val="en-US" w:eastAsia="zh-CN"/>
        </w:rPr>
        <w:t>，其它都已办结。积极推广经验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零陵锰矿区生态环境治理被评为全省突出生态环境问题整改“典型案例”；《昔日秃岭荒山 今日幸福靠山》在2023年湘南片区生态环境保护督察联席会议上作为其典型发言、经验介绍。</w:t>
      </w:r>
    </w:p>
    <w:p w14:paraId="25E931DD">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7.风险隐患全面管控。</w:t>
      </w:r>
      <w:r>
        <w:rPr>
          <w:rFonts w:hint="eastAsia" w:ascii="仿宋_GB2312" w:hAnsi="仿宋_GB2312" w:eastAsia="仿宋_GB2312" w:cs="仿宋_GB2312"/>
          <w:b w:val="0"/>
          <w:bCs w:val="0"/>
          <w:color w:val="auto"/>
          <w:sz w:val="32"/>
          <w:szCs w:val="32"/>
          <w:lang w:val="en-US" w:eastAsia="zh-CN"/>
        </w:rPr>
        <w:t>印发《2023年零陵区防范化解重大生态环境风险隐患“利剑”行动方案》，共计排查问题122个，</w:t>
      </w:r>
      <w:r>
        <w:rPr>
          <w:rFonts w:hint="eastAsia" w:ascii="仿宋_GB2312" w:hAnsi="仿宋_GB2312" w:eastAsia="仿宋_GB2312" w:cs="仿宋_GB2312"/>
          <w:b w:val="0"/>
          <w:bCs w:val="0"/>
          <w:color w:val="auto"/>
          <w:kern w:val="0"/>
          <w:sz w:val="32"/>
          <w:szCs w:val="32"/>
          <w:lang w:val="en-US" w:eastAsia="zh-CN" w:bidi="ar-SA"/>
        </w:rPr>
        <w:t>整改调级降级118个，</w:t>
      </w:r>
      <w:r>
        <w:rPr>
          <w:rFonts w:hint="eastAsia" w:ascii="仿宋_GB2312" w:hAnsi="仿宋_GB2312" w:eastAsia="仿宋_GB2312" w:cs="仿宋_GB2312"/>
          <w:b w:val="0"/>
          <w:bCs w:val="0"/>
          <w:color w:val="auto"/>
          <w:sz w:val="32"/>
          <w:szCs w:val="32"/>
          <w:lang w:val="en-US" w:eastAsia="zh-CN"/>
        </w:rPr>
        <w:t>4个有序整改中。积极推介</w:t>
      </w:r>
      <w:r>
        <w:rPr>
          <w:rFonts w:hint="eastAsia" w:ascii="仿宋_GB2312" w:hAnsi="仿宋_GB2312" w:cs="仿宋_GB2312"/>
          <w:b w:val="0"/>
          <w:bCs w:val="0"/>
          <w:color w:val="auto"/>
          <w:sz w:val="32"/>
          <w:szCs w:val="32"/>
          <w:lang w:val="en-US" w:eastAsia="zh-CN"/>
        </w:rPr>
        <w:t>经营</w:t>
      </w:r>
      <w:r>
        <w:rPr>
          <w:rFonts w:hint="eastAsia" w:ascii="仿宋_GB2312" w:hAnsi="仿宋_GB2312" w:eastAsia="仿宋_GB2312" w:cs="仿宋_GB2312"/>
          <w:b w:val="0"/>
          <w:bCs w:val="0"/>
          <w:color w:val="auto"/>
          <w:sz w:val="32"/>
          <w:szCs w:val="32"/>
          <w:lang w:val="en-US" w:eastAsia="zh-CN"/>
        </w:rPr>
        <w:t>，发布“利剑”行动动态62篇，简报35篇。推进生态环境风险隐患“一单五制”，累计上报问题17个，风险隐患问题得到有效解决。</w:t>
      </w:r>
    </w:p>
    <w:p w14:paraId="718B49BD">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（四）统筹兼顾，审批监管执法齐头并进</w:t>
      </w:r>
    </w:p>
    <w:p w14:paraId="3280F6B6">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8.行政审批不断优化。</w:t>
      </w:r>
      <w:r>
        <w:rPr>
          <w:rFonts w:hint="eastAsia" w:ascii="仿宋_GB2312" w:hAnsi="仿宋_GB2312" w:eastAsia="仿宋_GB2312" w:cs="仿宋_GB2312"/>
          <w:b w:val="0"/>
          <w:bCs/>
          <w:color w:val="auto"/>
          <w:sz w:val="32"/>
          <w:szCs w:val="32"/>
          <w:lang w:val="en-US" w:eastAsia="zh-CN"/>
        </w:rPr>
        <w:t>全面落实“放管服”改革要求，主动缩短审批时限，提升审批效率，完成登记表备案101件，环评审批30件，预审15件。严格落实排污许可管理制度，新申请发放排污许可证8本，延续16家，重新申请22家，变更28家次。</w:t>
      </w:r>
    </w:p>
    <w:p w14:paraId="7E81ABD3">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b/>
          <w:bCs w:val="0"/>
          <w:color w:val="auto"/>
          <w:sz w:val="32"/>
          <w:szCs w:val="32"/>
          <w:lang w:val="en-US" w:eastAsia="zh-CN"/>
        </w:rPr>
        <w:t>9.严格环境执法监管。</w:t>
      </w:r>
      <w:r>
        <w:rPr>
          <w:rFonts w:hint="eastAsia" w:ascii="仿宋_GB2312" w:hAnsi="仿宋_GB2312" w:eastAsia="仿宋_GB2312" w:cs="仿宋_GB2312"/>
          <w:b w:val="0"/>
          <w:bCs w:val="0"/>
          <w:color w:val="auto"/>
          <w:sz w:val="32"/>
          <w:szCs w:val="32"/>
          <w:lang w:val="en-US" w:eastAsia="zh-CN"/>
        </w:rPr>
        <w:t>严格响应省生态环境厅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字开路、“严”字开头号召</w:t>
      </w:r>
      <w:r>
        <w:rPr>
          <w:rFonts w:hint="eastAsia" w:ascii="仿宋_GB2312" w:hAnsi="仿宋_GB2312" w:eastAsia="仿宋_GB2312" w:cs="仿宋_GB2312"/>
          <w:color w:val="auto"/>
          <w:kern w:val="0"/>
          <w:sz w:val="32"/>
          <w:szCs w:val="32"/>
          <w:shd w:val="clear" w:color="auto" w:fill="FFFFFF"/>
        </w:rPr>
        <w:t>，聚焦环保督察问题、饮用水源保护、</w:t>
      </w:r>
      <w:r>
        <w:rPr>
          <w:rFonts w:hint="eastAsia" w:ascii="仿宋_GB2312" w:hAnsi="仿宋_GB2312" w:eastAsia="仿宋_GB2312" w:cs="仿宋_GB2312"/>
          <w:color w:val="auto"/>
          <w:kern w:val="0"/>
          <w:sz w:val="32"/>
          <w:szCs w:val="32"/>
          <w:shd w:val="clear" w:color="auto" w:fill="FFFFFF"/>
          <w:lang w:val="en-US" w:eastAsia="zh-CN"/>
        </w:rPr>
        <w:t>空气质量改善</w:t>
      </w:r>
      <w:r>
        <w:rPr>
          <w:rFonts w:hint="eastAsia" w:ascii="仿宋_GB2312" w:hAnsi="仿宋_GB2312" w:eastAsia="仿宋_GB2312" w:cs="仿宋_GB2312"/>
          <w:color w:val="auto"/>
          <w:kern w:val="0"/>
          <w:sz w:val="32"/>
          <w:szCs w:val="32"/>
          <w:shd w:val="clear" w:color="auto" w:fill="FFFFFF"/>
        </w:rPr>
        <w:t>等重点任务，</w:t>
      </w:r>
      <w:r>
        <w:rPr>
          <w:rFonts w:hint="eastAsia" w:ascii="仿宋_GB2312" w:hAnsi="仿宋_GB2312" w:eastAsia="仿宋_GB2312" w:cs="仿宋_GB2312"/>
          <w:color w:val="auto"/>
          <w:kern w:val="0"/>
          <w:sz w:val="32"/>
          <w:szCs w:val="32"/>
          <w:shd w:val="clear" w:color="auto" w:fill="FFFFFF"/>
          <w:lang w:val="en-US" w:eastAsia="zh-CN"/>
        </w:rPr>
        <w:t>共查处</w:t>
      </w:r>
      <w:r>
        <w:rPr>
          <w:rFonts w:hint="eastAsia" w:ascii="仿宋_GB2312" w:hAnsi="仿宋_GB2312" w:eastAsia="仿宋_GB2312" w:cs="仿宋_GB2312"/>
          <w:color w:val="auto"/>
          <w:kern w:val="0"/>
          <w:sz w:val="32"/>
          <w:szCs w:val="32"/>
          <w:shd w:val="clear" w:color="auto" w:fill="FFFFFF"/>
        </w:rPr>
        <w:t>各类生态环境违法案件</w:t>
      </w:r>
      <w:r>
        <w:rPr>
          <w:rFonts w:hint="eastAsia" w:ascii="仿宋_GB2312" w:hAnsi="仿宋_GB2312" w:eastAsia="仿宋_GB2312" w:cs="仿宋_GB2312"/>
          <w:color w:val="auto"/>
          <w:kern w:val="0"/>
          <w:sz w:val="32"/>
          <w:szCs w:val="32"/>
          <w:shd w:val="clear" w:color="auto" w:fill="FFFFFF"/>
          <w:lang w:val="en-US" w:eastAsia="zh-CN"/>
        </w:rPr>
        <w:t>案件</w:t>
      </w:r>
      <w:r>
        <w:rPr>
          <w:rFonts w:hint="eastAsia" w:ascii="仿宋_GB2312" w:hAnsi="仿宋_GB2312" w:eastAsia="仿宋_GB2312" w:cs="仿宋_GB2312"/>
          <w:color w:val="auto"/>
          <w:kern w:val="0"/>
          <w:sz w:val="32"/>
          <w:szCs w:val="32"/>
          <w:shd w:val="clear" w:color="auto" w:fill="FFFFFF"/>
        </w:rPr>
        <w:t>46</w:t>
      </w:r>
      <w:r>
        <w:rPr>
          <w:rFonts w:hint="eastAsia" w:ascii="仿宋_GB2312" w:hAnsi="仿宋_GB2312" w:eastAsia="仿宋_GB2312" w:cs="仿宋_GB2312"/>
          <w:color w:val="auto"/>
          <w:kern w:val="0"/>
          <w:sz w:val="32"/>
          <w:szCs w:val="32"/>
          <w:shd w:val="clear" w:color="auto" w:fill="FFFFFF"/>
          <w:lang w:val="en-US" w:eastAsia="zh-CN"/>
        </w:rPr>
        <w:t>起</w:t>
      </w:r>
      <w:r>
        <w:rPr>
          <w:rFonts w:hint="eastAsia" w:ascii="仿宋_GB2312" w:hAnsi="仿宋_GB2312" w:eastAsia="仿宋_GB2312" w:cs="仿宋_GB2312"/>
          <w:color w:val="auto"/>
          <w:kern w:val="0"/>
          <w:sz w:val="32"/>
          <w:szCs w:val="32"/>
          <w:shd w:val="clear" w:color="auto" w:fill="FFFFFF"/>
        </w:rPr>
        <w:t>，对</w:t>
      </w:r>
      <w:r>
        <w:rPr>
          <w:rFonts w:hint="eastAsia" w:ascii="仿宋_GB2312" w:hAnsi="仿宋_GB2312" w:eastAsia="仿宋_GB2312" w:cs="仿宋_GB2312"/>
          <w:color w:val="auto"/>
          <w:kern w:val="0"/>
          <w:sz w:val="32"/>
          <w:szCs w:val="32"/>
          <w:shd w:val="clear" w:color="auto" w:fill="FFFFFF"/>
          <w:lang w:val="en-US" w:eastAsia="zh-CN"/>
        </w:rPr>
        <w:t>25</w:t>
      </w:r>
      <w:r>
        <w:rPr>
          <w:rFonts w:hint="eastAsia" w:ascii="仿宋_GB2312" w:hAnsi="仿宋_GB2312" w:eastAsia="仿宋_GB2312" w:cs="仿宋_GB2312"/>
          <w:color w:val="auto"/>
          <w:kern w:val="0"/>
          <w:sz w:val="32"/>
          <w:szCs w:val="32"/>
          <w:shd w:val="clear" w:color="auto" w:fill="FFFFFF"/>
        </w:rPr>
        <w:t>家单位下达行政处罚决定书，罚款</w:t>
      </w:r>
      <w:r>
        <w:rPr>
          <w:rFonts w:hint="eastAsia" w:ascii="仿宋_GB2312" w:hAnsi="仿宋_GB2312" w:eastAsia="仿宋_GB2312" w:cs="仿宋_GB2312"/>
          <w:color w:val="auto"/>
          <w:kern w:val="0"/>
          <w:sz w:val="32"/>
          <w:szCs w:val="32"/>
          <w:shd w:val="clear" w:color="auto" w:fill="FFFFFF"/>
          <w:lang w:val="en-US" w:eastAsia="zh-CN"/>
        </w:rPr>
        <w:t>73</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9</w:t>
      </w:r>
      <w:r>
        <w:rPr>
          <w:rFonts w:hint="eastAsia" w:ascii="仿宋_GB2312" w:hAnsi="仿宋_GB2312" w:eastAsia="仿宋_GB2312" w:cs="仿宋_GB2312"/>
          <w:color w:val="auto"/>
          <w:kern w:val="0"/>
          <w:sz w:val="32"/>
          <w:szCs w:val="32"/>
          <w:shd w:val="clear" w:color="auto" w:fill="FFFFFF"/>
        </w:rPr>
        <w:t>万元。</w:t>
      </w:r>
    </w:p>
    <w:p w14:paraId="34C9EE45">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lang w:val="en-US" w:eastAsia="zh-CN"/>
        </w:rPr>
        <w:t>10.信访舆情妥善处理。</w:t>
      </w:r>
      <w:r>
        <w:rPr>
          <w:rFonts w:hint="eastAsia" w:ascii="仿宋_GB2312" w:hAnsi="仿宋_GB2312" w:eastAsia="仿宋_GB2312" w:cs="仿宋_GB2312"/>
          <w:color w:val="auto"/>
          <w:sz w:val="32"/>
          <w:szCs w:val="32"/>
        </w:rPr>
        <w:t>进一步畅通环境信访举报渠道，</w:t>
      </w:r>
      <w:r>
        <w:rPr>
          <w:rFonts w:hint="eastAsia" w:ascii="仿宋_GB2312" w:hAnsi="仿宋_GB2312" w:eastAsia="仿宋_GB2312" w:cs="仿宋_GB2312"/>
          <w:color w:val="auto"/>
          <w:kern w:val="0"/>
          <w:sz w:val="32"/>
          <w:szCs w:val="32"/>
          <w:shd w:val="clear" w:color="auto" w:fill="FFFFFF"/>
        </w:rPr>
        <w:t>受理</w:t>
      </w:r>
      <w:r>
        <w:rPr>
          <w:rFonts w:hint="eastAsia" w:ascii="仿宋_GB2312" w:hAnsi="仿宋_GB2312" w:eastAsia="仿宋_GB2312" w:cs="仿宋_GB2312"/>
          <w:color w:val="auto"/>
          <w:sz w:val="32"/>
          <w:szCs w:val="32"/>
        </w:rPr>
        <w:t>“12369”热线、问政湖南、百姓呼声</w:t>
      </w:r>
      <w:r>
        <w:rPr>
          <w:rFonts w:hint="eastAsia" w:ascii="仿宋_GB2312" w:hAnsi="仿宋_GB2312" w:eastAsia="仿宋_GB2312" w:cs="仿宋_GB2312"/>
          <w:color w:val="auto"/>
          <w:kern w:val="0"/>
          <w:sz w:val="32"/>
          <w:szCs w:val="32"/>
          <w:shd w:val="clear" w:color="auto" w:fill="FFFFFF"/>
          <w:lang w:val="en-US" w:eastAsia="zh-CN"/>
        </w:rPr>
        <w:t>及</w:t>
      </w:r>
      <w:r>
        <w:rPr>
          <w:rFonts w:hint="eastAsia" w:ascii="仿宋_GB2312" w:hAnsi="仿宋_GB2312" w:eastAsia="仿宋_GB2312" w:cs="仿宋_GB2312"/>
          <w:color w:val="auto"/>
          <w:kern w:val="0"/>
          <w:sz w:val="32"/>
          <w:szCs w:val="32"/>
          <w:shd w:val="clear" w:color="auto" w:fill="FFFFFF"/>
        </w:rPr>
        <w:t>群众来电来信来访</w:t>
      </w:r>
      <w:r>
        <w:rPr>
          <w:rFonts w:hint="eastAsia" w:ascii="仿宋_GB2312" w:hAnsi="仿宋_GB2312" w:eastAsia="仿宋_GB2312" w:cs="仿宋_GB2312"/>
          <w:color w:val="auto"/>
          <w:kern w:val="0"/>
          <w:sz w:val="32"/>
          <w:szCs w:val="32"/>
          <w:shd w:val="clear" w:color="auto" w:fill="FFFFFF"/>
          <w:lang w:val="en-US" w:eastAsia="zh-CN"/>
        </w:rPr>
        <w:t>196</w:t>
      </w:r>
      <w:r>
        <w:rPr>
          <w:rFonts w:hint="eastAsia" w:ascii="仿宋_GB2312" w:hAnsi="仿宋_GB2312" w:eastAsia="仿宋_GB2312" w:cs="仿宋_GB2312"/>
          <w:color w:val="auto"/>
          <w:kern w:val="0"/>
          <w:sz w:val="32"/>
          <w:szCs w:val="32"/>
          <w:shd w:val="clear" w:color="auto" w:fill="FFFFFF"/>
        </w:rPr>
        <w:t>件</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均得到及时有效处理，确保</w:t>
      </w:r>
      <w:r>
        <w:rPr>
          <w:rFonts w:hint="eastAsia" w:ascii="仿宋_GB2312" w:hAnsi="仿宋_GB2312" w:eastAsia="仿宋_GB2312" w:cs="仿宋_GB2312"/>
          <w:color w:val="auto"/>
          <w:kern w:val="0"/>
          <w:sz w:val="32"/>
          <w:szCs w:val="32"/>
          <w:shd w:val="clear" w:color="auto" w:fill="FFFFFF"/>
        </w:rPr>
        <w:t>件件有着落，事事有回音</w:t>
      </w:r>
      <w:r>
        <w:rPr>
          <w:rFonts w:hint="eastAsia" w:ascii="仿宋_GB2312" w:hAnsi="仿宋_GB2312" w:eastAsia="仿宋_GB2312" w:cs="仿宋_GB2312"/>
          <w:color w:val="auto"/>
          <w:kern w:val="0"/>
          <w:sz w:val="32"/>
          <w:szCs w:val="32"/>
          <w:shd w:val="clear" w:color="auto" w:fill="FFFFFF"/>
          <w:lang w:eastAsia="zh-CN"/>
        </w:rPr>
        <w:t>。</w:t>
      </w:r>
    </w:p>
    <w:p w14:paraId="695DEBDC">
      <w:pPr>
        <w:pStyle w:val="13"/>
        <w:numPr>
          <w:ilvl w:val="0"/>
          <w:numId w:val="4"/>
        </w:numPr>
        <w:spacing w:line="240" w:lineRule="auto"/>
        <w:ind w:left="0" w:leftChars="0" w:firstLine="0" w:firstLineChars="0"/>
        <w:jc w:val="left"/>
        <w:outlineLvl w:val="0"/>
        <w:rPr>
          <w:rFonts w:hint="eastAsia" w:ascii="仿宋" w:hAnsi="仿宋" w:eastAsia="仿宋" w:cs="仿宋"/>
          <w:b/>
          <w:bCs/>
          <w:color w:val="FF0000"/>
          <w:sz w:val="28"/>
          <w:szCs w:val="28"/>
          <w:lang w:val="en-US" w:eastAsia="zh-CN"/>
        </w:rPr>
      </w:pPr>
      <w:r>
        <w:rPr>
          <w:rFonts w:hint="eastAsia" w:ascii="仿宋" w:hAnsi="仿宋" w:eastAsia="仿宋" w:cs="仿宋"/>
          <w:b/>
          <w:bCs/>
          <w:color w:val="auto"/>
          <w:sz w:val="28"/>
          <w:szCs w:val="28"/>
        </w:rPr>
        <w:t>存在的问题及原因分析</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FF0000"/>
          <w:sz w:val="28"/>
          <w:szCs w:val="28"/>
          <w:lang w:val="en-US" w:eastAsia="zh-CN"/>
        </w:rPr>
        <w:t xml:space="preserve"> </w:t>
      </w:r>
    </w:p>
    <w:p w14:paraId="0884E7D1">
      <w:pPr>
        <w:numPr>
          <w:ilvl w:val="0"/>
          <w:numId w:val="0"/>
        </w:numPr>
        <w:spacing w:line="240" w:lineRule="auto"/>
        <w:ind w:firstLine="280" w:firstLineChars="1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预算编制还不够细致和准确，本单位当年预算执行中因养老保险、医疗保险、住房公积金以及医保铺底等财政预算安排的资金是按在职职工人数及工资基数测算，与实际情况有差距，单位在办案经费中调整解决，再加上财政年终追加预算，造成当年决算和年初预算有一定的差距。</w:t>
      </w:r>
    </w:p>
    <w:p w14:paraId="20AD8C73">
      <w:pPr>
        <w:pStyle w:val="18"/>
        <w:numPr>
          <w:ilvl w:val="0"/>
          <w:numId w:val="4"/>
        </w:numPr>
        <w:shd w:val="clear" w:color="auto" w:fill="FFFFFF"/>
        <w:spacing w:before="0" w:beforeAutospacing="0" w:after="0" w:afterAutospacing="0" w:line="240" w:lineRule="auto"/>
        <w:ind w:left="0" w:leftChars="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下一步改进措施</w:t>
      </w:r>
    </w:p>
    <w:p w14:paraId="64D87BE1">
      <w:pPr>
        <w:numPr>
          <w:ilvl w:val="0"/>
          <w:numId w:val="0"/>
        </w:numPr>
        <w:spacing w:line="240" w:lineRule="auto"/>
        <w:ind w:firstLine="280" w:firstLineChars="100"/>
        <w:jc w:val="left"/>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1.加强学习，认真学习理论知识和专业知识，</w:t>
      </w:r>
      <w:r>
        <w:rPr>
          <w:rFonts w:hint="eastAsia" w:ascii="仿宋" w:hAnsi="仿宋" w:eastAsia="仿宋" w:cs="仿宋"/>
          <w:b w:val="0"/>
          <w:bCs w:val="0"/>
          <w:color w:val="auto"/>
          <w:sz w:val="28"/>
          <w:szCs w:val="28"/>
        </w:rPr>
        <w:t>严</w:t>
      </w:r>
      <w:r>
        <w:rPr>
          <w:rFonts w:hint="eastAsia" w:ascii="仿宋" w:hAnsi="仿宋" w:eastAsia="仿宋" w:cs="仿宋"/>
          <w:color w:val="auto"/>
          <w:sz w:val="28"/>
          <w:szCs w:val="28"/>
        </w:rPr>
        <w:t>格按照要求进行绩效评估、财务管理、决算组织、编报、审核。</w:t>
      </w:r>
    </w:p>
    <w:p w14:paraId="2039722D">
      <w:pPr>
        <w:numPr>
          <w:ilvl w:val="0"/>
          <w:numId w:val="0"/>
        </w:numPr>
        <w:spacing w:line="240" w:lineRule="auto"/>
        <w:ind w:firstLine="280" w:firstLineChars="1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按时完成</w:t>
      </w:r>
      <w:r>
        <w:rPr>
          <w:rFonts w:hint="eastAsia" w:ascii="仿宋" w:hAnsi="仿宋" w:eastAsia="仿宋" w:cs="仿宋"/>
          <w:color w:val="auto"/>
          <w:sz w:val="28"/>
          <w:szCs w:val="28"/>
          <w:lang w:eastAsia="zh-CN"/>
        </w:rPr>
        <w:t>2023</w:t>
      </w:r>
      <w:r>
        <w:rPr>
          <w:rFonts w:hint="eastAsia" w:ascii="仿宋" w:hAnsi="仿宋" w:eastAsia="仿宋" w:cs="仿宋"/>
          <w:color w:val="auto"/>
          <w:sz w:val="28"/>
          <w:szCs w:val="28"/>
        </w:rPr>
        <w:t>年度公开财政预决算</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决算报表编制工作。</w:t>
      </w:r>
    </w:p>
    <w:p w14:paraId="2F414A91">
      <w:pPr>
        <w:pStyle w:val="6"/>
        <w:keepNext w:val="0"/>
        <w:keepLines w:val="0"/>
        <w:widowControl/>
        <w:numPr>
          <w:ilvl w:val="0"/>
          <w:numId w:val="0"/>
        </w:numPr>
        <w:suppressLineNumbers w:val="0"/>
        <w:spacing w:before="0" w:beforeAutospacing="0" w:after="0" w:afterAutospacing="0" w:line="240" w:lineRule="auto"/>
        <w:ind w:right="75" w:rightChars="0" w:firstLine="280" w:firstLineChars="1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3.科学合理编制预算，强化预算执行，提高预算执行效率，推进预算及执行情况的公开。</w:t>
      </w:r>
    </w:p>
    <w:p w14:paraId="601ABF84">
      <w:pPr>
        <w:numPr>
          <w:ilvl w:val="0"/>
          <w:numId w:val="4"/>
        </w:numPr>
        <w:spacing w:line="240" w:lineRule="auto"/>
        <w:ind w:left="0" w:leftChars="0" w:firstLine="0" w:firstLineChars="0"/>
        <w:jc w:val="left"/>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部门整体支出绩效自评结果拟应用和公开情况其他需要说明的情况</w:t>
      </w:r>
    </w:p>
    <w:p w14:paraId="11BDB63D">
      <w:pPr>
        <w:pStyle w:val="2"/>
        <w:numPr>
          <w:ilvl w:val="0"/>
          <w:numId w:val="0"/>
        </w:numPr>
        <w:spacing w:line="240" w:lineRule="auto"/>
        <w:ind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无</w:t>
      </w:r>
    </w:p>
    <w:p w14:paraId="11FEA973">
      <w:pPr>
        <w:numPr>
          <w:ilvl w:val="0"/>
          <w:numId w:val="4"/>
        </w:numPr>
        <w:spacing w:line="240" w:lineRule="auto"/>
        <w:ind w:left="0" w:leftChars="0" w:firstLine="0" w:firstLineChars="0"/>
        <w:jc w:val="left"/>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其他需要说明的情况</w:t>
      </w:r>
    </w:p>
    <w:p w14:paraId="5628C2DE">
      <w:pPr>
        <w:pStyle w:val="2"/>
        <w:numPr>
          <w:ilvl w:val="0"/>
          <w:numId w:val="0"/>
        </w:numPr>
        <w:spacing w:line="240" w:lineRule="auto"/>
        <w:ind w:left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无</w:t>
      </w:r>
    </w:p>
    <w:p w14:paraId="49FA51CC">
      <w:pPr>
        <w:pStyle w:val="12"/>
        <w:jc w:val="center"/>
        <w:rPr>
          <w:rFonts w:hint="eastAsia" w:ascii="Times New Roman" w:hAnsi="Times New Roman" w:eastAsia="仿宋_GB2312"/>
          <w:sz w:val="32"/>
          <w:szCs w:val="32"/>
          <w:lang w:val="en-US" w:eastAsia="zh-CN"/>
        </w:rPr>
      </w:pPr>
    </w:p>
    <w:p w14:paraId="5D0918E5">
      <w:pPr>
        <w:pStyle w:val="12"/>
        <w:jc w:val="center"/>
        <w:rPr>
          <w:rFonts w:hint="eastAsia" w:ascii="方正小标宋_GBK" w:hAnsi="方正小标宋_GBK" w:eastAsia="方正小标宋_GBK" w:cs="方正小标宋_GBK"/>
          <w:sz w:val="70"/>
          <w:szCs w:val="70"/>
          <w:lang w:eastAsia="zh-CN"/>
        </w:rPr>
      </w:pPr>
    </w:p>
    <w:p w14:paraId="60C046B2">
      <w:pPr>
        <w:pStyle w:val="12"/>
        <w:jc w:val="center"/>
        <w:rPr>
          <w:rFonts w:hint="eastAsia" w:ascii="方正小标宋_GBK" w:hAnsi="方正小标宋_GBK" w:eastAsia="方正小标宋_GBK" w:cs="方正小标宋_GBK"/>
          <w:sz w:val="70"/>
          <w:szCs w:val="70"/>
          <w:lang w:eastAsia="zh-CN"/>
        </w:rPr>
      </w:pPr>
    </w:p>
    <w:p w14:paraId="448F70BB">
      <w:pPr>
        <w:pStyle w:val="12"/>
        <w:jc w:val="center"/>
        <w:rPr>
          <w:rFonts w:hint="eastAsia" w:ascii="方正小标宋_GBK" w:hAnsi="方正小标宋_GBK" w:eastAsia="方正小标宋_GBK" w:cs="方正小标宋_GBK"/>
          <w:sz w:val="70"/>
          <w:szCs w:val="70"/>
          <w:lang w:eastAsia="zh-CN"/>
        </w:rPr>
      </w:pPr>
    </w:p>
    <w:p w14:paraId="0B3A5B0F">
      <w:pPr>
        <w:jc w:val="both"/>
        <w:rPr>
          <w:rFonts w:hint="default" w:cs="黑体" w:asciiTheme="minorEastAsia" w:hAnsiTheme="minorEastAsia"/>
          <w:b/>
          <w:color w:val="000000"/>
          <w:kern w:val="0"/>
          <w:sz w:val="32"/>
          <w:szCs w:val="32"/>
        </w:rPr>
      </w:pPr>
    </w:p>
    <w:p w14:paraId="4C310429">
      <w:pPr>
        <w:jc w:val="both"/>
        <w:rPr>
          <w:rFonts w:hint="default" w:cs="黑体" w:asciiTheme="minorEastAsia" w:hAnsiTheme="minorEastAsia"/>
          <w:b/>
          <w:color w:val="000000"/>
          <w:kern w:val="0"/>
          <w:sz w:val="32"/>
          <w:szCs w:val="32"/>
        </w:rPr>
      </w:pPr>
    </w:p>
    <w:p w14:paraId="75495A71">
      <w:pPr>
        <w:ind w:firstLine="640" w:firstLineChars="200"/>
        <w:jc w:val="center"/>
        <w:rPr>
          <w:rFonts w:hint="default" w:cs="黑体" w:asciiTheme="minorEastAsia" w:hAnsiTheme="minorEastAsia"/>
          <w:b/>
          <w:color w:val="000000"/>
          <w:kern w:val="0"/>
          <w:sz w:val="32"/>
          <w:szCs w:val="32"/>
        </w:rPr>
      </w:pPr>
    </w:p>
    <w:p w14:paraId="236EDD37">
      <w:pPr>
        <w:ind w:firstLine="880" w:firstLineChars="200"/>
        <w:jc w:val="center"/>
        <w:rPr>
          <w:rFonts w:hint="eastAsia" w:cs="黑体" w:asciiTheme="minorEastAsia" w:hAnsiTheme="minorEastAsia"/>
          <w:b/>
          <w:color w:val="000000"/>
          <w:kern w:val="0"/>
          <w:sz w:val="44"/>
          <w:szCs w:val="44"/>
        </w:rPr>
      </w:pPr>
      <w:r>
        <w:rPr>
          <w:rFonts w:hint="default" w:cs="黑体" w:asciiTheme="minorEastAsia" w:hAnsiTheme="minorEastAsia"/>
          <w:b/>
          <w:color w:val="000000"/>
          <w:kern w:val="0"/>
          <w:sz w:val="44"/>
          <w:szCs w:val="44"/>
        </w:rPr>
        <w:t>永州市生态环境局零陵分局</w:t>
      </w:r>
      <w:r>
        <w:rPr>
          <w:rFonts w:hint="eastAsia" w:cs="黑体" w:asciiTheme="minorEastAsia" w:hAnsiTheme="minorEastAsia"/>
          <w:b/>
          <w:color w:val="000000"/>
          <w:kern w:val="0"/>
          <w:sz w:val="44"/>
          <w:szCs w:val="44"/>
        </w:rPr>
        <w:t>202</w:t>
      </w:r>
      <w:r>
        <w:rPr>
          <w:rFonts w:hint="default" w:cs="黑体" w:asciiTheme="minorEastAsia" w:hAnsiTheme="minorEastAsia"/>
          <w:b/>
          <w:color w:val="000000"/>
          <w:kern w:val="0"/>
          <w:sz w:val="44"/>
          <w:szCs w:val="44"/>
        </w:rPr>
        <w:t>3</w:t>
      </w:r>
      <w:r>
        <w:rPr>
          <w:rFonts w:hint="eastAsia" w:cs="黑体" w:asciiTheme="minorEastAsia" w:hAnsiTheme="minorEastAsia"/>
          <w:b/>
          <w:color w:val="000000"/>
          <w:kern w:val="0"/>
          <w:sz w:val="44"/>
          <w:szCs w:val="44"/>
        </w:rPr>
        <w:t>年度</w:t>
      </w:r>
      <w:r>
        <w:rPr>
          <w:rFonts w:hint="default" w:cs="黑体" w:asciiTheme="minorEastAsia" w:hAnsiTheme="minorEastAsia"/>
          <w:b/>
          <w:color w:val="000000"/>
          <w:kern w:val="0"/>
          <w:sz w:val="44"/>
          <w:szCs w:val="44"/>
        </w:rPr>
        <w:t>项目</w:t>
      </w:r>
      <w:r>
        <w:rPr>
          <w:rFonts w:hint="eastAsia" w:cs="黑体" w:asciiTheme="minorEastAsia" w:hAnsiTheme="minorEastAsia"/>
          <w:b/>
          <w:color w:val="000000"/>
          <w:kern w:val="0"/>
          <w:sz w:val="44"/>
          <w:szCs w:val="44"/>
        </w:rPr>
        <w:t>支出</w:t>
      </w:r>
    </w:p>
    <w:p w14:paraId="3E6880AB">
      <w:pPr>
        <w:jc w:val="center"/>
        <w:rPr>
          <w:rFonts w:hint="eastAsia" w:ascii="Times New Roman" w:hAnsi="Times New Roman" w:eastAsia="仿宋_GB2312" w:cs="黑体"/>
          <w:b/>
          <w:bCs/>
          <w:color w:val="FF0000"/>
          <w:kern w:val="0"/>
          <w:sz w:val="32"/>
          <w:szCs w:val="32"/>
          <w:lang w:val="en-US" w:eastAsia="zh-CN" w:bidi="ar-SA"/>
        </w:rPr>
      </w:pPr>
      <w:r>
        <w:rPr>
          <w:rFonts w:hint="eastAsia" w:ascii="方正小标宋简体" w:hAnsi="方正小标宋简体" w:eastAsia="方正小标宋简体" w:cs="方正小标宋简体"/>
          <w:sz w:val="44"/>
          <w:szCs w:val="44"/>
        </w:rPr>
        <w:t>绩效自评报告</w:t>
      </w:r>
    </w:p>
    <w:tbl>
      <w:tblPr>
        <w:tblStyle w:val="8"/>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14:paraId="27E7A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199255C">
            <w:pPr>
              <w:spacing w:line="240" w:lineRule="auto"/>
              <w:jc w:val="center"/>
              <w:rPr>
                <w:rFonts w:eastAsia="仿宋_GB2312"/>
                <w:sz w:val="20"/>
                <w:szCs w:val="20"/>
              </w:rPr>
            </w:pPr>
            <w:r>
              <w:rPr>
                <w:rFonts w:eastAsia="仿宋_GB2312"/>
                <w:sz w:val="20"/>
                <w:szCs w:val="20"/>
              </w:rPr>
              <w:t>部门概况</w:t>
            </w:r>
          </w:p>
        </w:tc>
        <w:tc>
          <w:tcPr>
            <w:tcW w:w="1972" w:type="dxa"/>
            <w:noWrap w:val="0"/>
            <w:vAlign w:val="center"/>
          </w:tcPr>
          <w:p w14:paraId="1796663A">
            <w:pPr>
              <w:spacing w:line="240" w:lineRule="auto"/>
              <w:jc w:val="center"/>
              <w:rPr>
                <w:rFonts w:eastAsia="仿宋_GB2312"/>
                <w:sz w:val="20"/>
                <w:szCs w:val="20"/>
              </w:rPr>
            </w:pPr>
            <w:r>
              <w:rPr>
                <w:rFonts w:eastAsia="仿宋_GB2312"/>
                <w:sz w:val="20"/>
                <w:szCs w:val="20"/>
              </w:rPr>
              <w:t>专项名称</w:t>
            </w:r>
          </w:p>
        </w:tc>
        <w:tc>
          <w:tcPr>
            <w:tcW w:w="5633" w:type="dxa"/>
            <w:noWrap w:val="0"/>
            <w:vAlign w:val="center"/>
          </w:tcPr>
          <w:p w14:paraId="15282595">
            <w:pPr>
              <w:spacing w:line="240" w:lineRule="auto"/>
              <w:ind w:right="0" w:rightChars="0"/>
              <w:jc w:val="center"/>
              <w:rPr>
                <w:sz w:val="22"/>
                <w:szCs w:val="22"/>
              </w:rPr>
            </w:pPr>
            <w:r>
              <w:rPr>
                <w:rFonts w:hint="eastAsia" w:ascii="Times New Roman" w:hAnsi="Times New Roman" w:eastAsia="仿宋_GB2312"/>
                <w:color w:val="000000"/>
                <w:szCs w:val="21"/>
              </w:rPr>
              <w:t>市生态环境局零陵分局基本监测经费</w:t>
            </w:r>
          </w:p>
        </w:tc>
      </w:tr>
      <w:tr w14:paraId="105A4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1DFC70C">
            <w:pPr>
              <w:rPr>
                <w:rFonts w:eastAsia="仿宋_GB2312"/>
                <w:sz w:val="20"/>
                <w:szCs w:val="20"/>
              </w:rPr>
            </w:pPr>
          </w:p>
        </w:tc>
        <w:tc>
          <w:tcPr>
            <w:tcW w:w="1972" w:type="dxa"/>
            <w:noWrap w:val="0"/>
            <w:vAlign w:val="center"/>
          </w:tcPr>
          <w:p w14:paraId="19217411">
            <w:pPr>
              <w:spacing w:line="240" w:lineRule="auto"/>
              <w:jc w:val="center"/>
              <w:rPr>
                <w:rFonts w:eastAsia="仿宋_GB2312"/>
                <w:sz w:val="20"/>
                <w:szCs w:val="20"/>
              </w:rPr>
            </w:pPr>
            <w:r>
              <w:rPr>
                <w:rFonts w:eastAsia="仿宋_GB2312"/>
                <w:sz w:val="20"/>
                <w:szCs w:val="20"/>
              </w:rPr>
              <w:t>年度预算金额</w:t>
            </w:r>
          </w:p>
        </w:tc>
        <w:tc>
          <w:tcPr>
            <w:tcW w:w="5633" w:type="dxa"/>
            <w:noWrap w:val="0"/>
            <w:vAlign w:val="center"/>
          </w:tcPr>
          <w:p w14:paraId="1376DF8B">
            <w:pPr>
              <w:spacing w:line="240" w:lineRule="auto"/>
              <w:ind w:right="0" w:rightChars="0"/>
              <w:jc w:val="center"/>
              <w:rPr>
                <w:rFonts w:hint="default"/>
                <w:sz w:val="22"/>
                <w:szCs w:val="22"/>
                <w:lang w:val="en-US"/>
              </w:rPr>
            </w:pPr>
            <w:r>
              <w:rPr>
                <w:rFonts w:hint="eastAsia" w:ascii="Times New Roman" w:hAnsi="Times New Roman" w:eastAsia="仿宋_GB2312"/>
                <w:color w:val="000000"/>
                <w:szCs w:val="21"/>
                <w:lang w:val="en-US" w:eastAsia="zh-CN"/>
              </w:rPr>
              <w:t>60万元</w:t>
            </w:r>
          </w:p>
        </w:tc>
      </w:tr>
      <w:tr w14:paraId="0D88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2F722F1D">
            <w:pPr>
              <w:rPr>
                <w:rFonts w:eastAsia="仿宋_GB2312"/>
                <w:sz w:val="20"/>
                <w:szCs w:val="20"/>
              </w:rPr>
            </w:pPr>
          </w:p>
        </w:tc>
        <w:tc>
          <w:tcPr>
            <w:tcW w:w="1972" w:type="dxa"/>
            <w:noWrap w:val="0"/>
            <w:vAlign w:val="center"/>
          </w:tcPr>
          <w:p w14:paraId="6178D5F9">
            <w:pPr>
              <w:spacing w:line="240" w:lineRule="auto"/>
              <w:jc w:val="center"/>
              <w:rPr>
                <w:rFonts w:eastAsia="仿宋_GB2312"/>
                <w:sz w:val="20"/>
                <w:szCs w:val="20"/>
              </w:rPr>
            </w:pPr>
            <w:r>
              <w:rPr>
                <w:rFonts w:eastAsia="仿宋_GB2312"/>
                <w:sz w:val="20"/>
                <w:szCs w:val="20"/>
              </w:rPr>
              <w:t>项目主管部门</w:t>
            </w:r>
          </w:p>
        </w:tc>
        <w:tc>
          <w:tcPr>
            <w:tcW w:w="5633" w:type="dxa"/>
            <w:noWrap w:val="0"/>
            <w:vAlign w:val="center"/>
          </w:tcPr>
          <w:p w14:paraId="7515DF48">
            <w:pPr>
              <w:spacing w:line="240" w:lineRule="auto"/>
              <w:ind w:right="0" w:rightChars="0"/>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永州市生态环境局零陵分局</w:t>
            </w:r>
          </w:p>
        </w:tc>
      </w:tr>
      <w:tr w14:paraId="65E0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14:paraId="19E477A3">
            <w:pPr>
              <w:rPr>
                <w:rFonts w:eastAsia="仿宋_GB2312"/>
                <w:sz w:val="20"/>
                <w:szCs w:val="20"/>
              </w:rPr>
            </w:pPr>
          </w:p>
        </w:tc>
        <w:tc>
          <w:tcPr>
            <w:tcW w:w="1972" w:type="dxa"/>
            <w:noWrap w:val="0"/>
            <w:vAlign w:val="center"/>
          </w:tcPr>
          <w:p w14:paraId="2B44D760">
            <w:pPr>
              <w:spacing w:line="240" w:lineRule="auto"/>
              <w:jc w:val="center"/>
              <w:rPr>
                <w:rFonts w:eastAsia="仿宋_GB2312"/>
                <w:sz w:val="20"/>
                <w:szCs w:val="20"/>
              </w:rPr>
            </w:pPr>
            <w:r>
              <w:rPr>
                <w:rFonts w:eastAsia="仿宋_GB2312"/>
                <w:sz w:val="20"/>
                <w:szCs w:val="20"/>
              </w:rPr>
              <w:t>项目立项目的</w:t>
            </w:r>
          </w:p>
        </w:tc>
        <w:tc>
          <w:tcPr>
            <w:tcW w:w="5633" w:type="dxa"/>
            <w:noWrap w:val="0"/>
            <w:vAlign w:val="center"/>
          </w:tcPr>
          <w:p w14:paraId="094C3395">
            <w:pPr>
              <w:spacing w:line="240" w:lineRule="auto"/>
              <w:ind w:right="0" w:rightChars="0"/>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完成年度监测工作（污染源监测、涉铊专项监测、排污口监测、生态环境质量监测网质量控制、农村环境质量监测、饮用水水源地水质重金属专项监测等工作）</w:t>
            </w:r>
          </w:p>
        </w:tc>
      </w:tr>
      <w:tr w14:paraId="6ED45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14:paraId="46CC9B6C">
            <w:pPr>
              <w:spacing w:line="240" w:lineRule="auto"/>
              <w:jc w:val="center"/>
              <w:rPr>
                <w:rFonts w:eastAsia="仿宋_GB2312"/>
                <w:sz w:val="20"/>
                <w:szCs w:val="20"/>
              </w:rPr>
            </w:pPr>
            <w:r>
              <w:rPr>
                <w:rFonts w:eastAsia="仿宋_GB2312"/>
                <w:sz w:val="20"/>
                <w:szCs w:val="20"/>
              </w:rPr>
              <w:t>绩效情况</w:t>
            </w:r>
          </w:p>
        </w:tc>
        <w:tc>
          <w:tcPr>
            <w:tcW w:w="1972" w:type="dxa"/>
            <w:noWrap w:val="0"/>
            <w:vAlign w:val="center"/>
          </w:tcPr>
          <w:p w14:paraId="1A380F43">
            <w:pPr>
              <w:spacing w:line="240" w:lineRule="auto"/>
              <w:jc w:val="center"/>
              <w:rPr>
                <w:rFonts w:eastAsia="仿宋_GB2312"/>
                <w:sz w:val="20"/>
                <w:szCs w:val="20"/>
              </w:rPr>
            </w:pPr>
            <w:r>
              <w:rPr>
                <w:rFonts w:eastAsia="仿宋_GB2312"/>
                <w:sz w:val="20"/>
                <w:szCs w:val="20"/>
              </w:rPr>
              <w:t>项目支出管理和使用基本情况</w:t>
            </w:r>
          </w:p>
        </w:tc>
        <w:tc>
          <w:tcPr>
            <w:tcW w:w="5633" w:type="dxa"/>
            <w:noWrap w:val="0"/>
            <w:vAlign w:val="center"/>
          </w:tcPr>
          <w:p w14:paraId="4DBC4DED">
            <w:pPr>
              <w:spacing w:line="240" w:lineRule="auto"/>
              <w:ind w:right="0" w:rightChars="0"/>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202</w:t>
            </w:r>
            <w:r>
              <w:rPr>
                <w:rFonts w:hint="eastAsia" w:ascii="Times New Roman" w:hAnsi="Times New Roman" w:eastAsia="仿宋_GB2312"/>
                <w:color w:val="000000"/>
                <w:szCs w:val="21"/>
                <w:lang w:val="en-US" w:eastAsia="zh-CN"/>
              </w:rPr>
              <w:t>3</w:t>
            </w:r>
            <w:r>
              <w:rPr>
                <w:rFonts w:hint="eastAsia" w:ascii="Times New Roman" w:hAnsi="Times New Roman" w:eastAsia="仿宋_GB2312"/>
                <w:color w:val="000000"/>
                <w:szCs w:val="21"/>
              </w:rPr>
              <w:t>年年度预算</w:t>
            </w:r>
            <w:r>
              <w:rPr>
                <w:rFonts w:hint="eastAsia" w:ascii="Times New Roman" w:hAnsi="Times New Roman" w:eastAsia="仿宋_GB2312"/>
                <w:color w:val="000000"/>
                <w:szCs w:val="21"/>
                <w:lang w:val="en-US" w:eastAsia="zh-CN"/>
              </w:rPr>
              <w:t>60</w:t>
            </w:r>
            <w:r>
              <w:rPr>
                <w:rFonts w:hint="eastAsia" w:ascii="Times New Roman" w:hAnsi="Times New Roman" w:eastAsia="仿宋_GB2312"/>
                <w:color w:val="000000"/>
                <w:szCs w:val="21"/>
              </w:rPr>
              <w:t>万元，实际支出</w:t>
            </w:r>
            <w:r>
              <w:rPr>
                <w:rFonts w:hint="eastAsia" w:ascii="Times New Roman" w:hAnsi="Times New Roman" w:eastAsia="仿宋_GB2312"/>
                <w:color w:val="000000"/>
                <w:szCs w:val="21"/>
                <w:lang w:val="en-US" w:eastAsia="zh-CN"/>
              </w:rPr>
              <w:t>60</w:t>
            </w:r>
            <w:r>
              <w:rPr>
                <w:rFonts w:hint="eastAsia" w:ascii="Times New Roman" w:hAnsi="Times New Roman" w:eastAsia="仿宋_GB2312"/>
                <w:color w:val="000000"/>
                <w:szCs w:val="21"/>
              </w:rPr>
              <w:t>万元，执行率</w:t>
            </w:r>
            <w:r>
              <w:rPr>
                <w:rFonts w:hint="eastAsia" w:ascii="Times New Roman" w:hAnsi="Times New Roman" w:eastAsia="仿宋_GB2312"/>
                <w:color w:val="000000"/>
                <w:szCs w:val="21"/>
                <w:lang w:val="en-US" w:eastAsia="zh-CN"/>
              </w:rPr>
              <w:t>100</w:t>
            </w:r>
            <w:r>
              <w:rPr>
                <w:rFonts w:ascii="Times New Roman" w:hAnsi="Times New Roman" w:eastAsia="仿宋_GB2312"/>
                <w:color w:val="000000"/>
                <w:szCs w:val="21"/>
              </w:rPr>
              <w:t>%</w:t>
            </w:r>
            <w:r>
              <w:rPr>
                <w:rFonts w:hint="eastAsia" w:ascii="Times New Roman" w:hAnsi="Times New Roman" w:eastAsia="仿宋_GB2312"/>
                <w:color w:val="000000"/>
                <w:szCs w:val="21"/>
              </w:rPr>
              <w:t>，主要用于污染源监测、涉铊专项监测、排污口监测、生态环境质量监测网质量控制、农村环境质量监测、饮用水水源地水质重金属专项监测等工作。</w:t>
            </w:r>
          </w:p>
        </w:tc>
      </w:tr>
      <w:tr w14:paraId="1BA52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1557" w:type="dxa"/>
            <w:vMerge w:val="continue"/>
            <w:noWrap w:val="0"/>
            <w:vAlign w:val="top"/>
          </w:tcPr>
          <w:p w14:paraId="67CBD94D">
            <w:pPr>
              <w:rPr>
                <w:rFonts w:eastAsia="仿宋_GB2312"/>
                <w:sz w:val="20"/>
                <w:szCs w:val="20"/>
              </w:rPr>
            </w:pPr>
          </w:p>
        </w:tc>
        <w:tc>
          <w:tcPr>
            <w:tcW w:w="1972" w:type="dxa"/>
            <w:noWrap w:val="0"/>
            <w:vAlign w:val="center"/>
          </w:tcPr>
          <w:p w14:paraId="4B518942">
            <w:pPr>
              <w:spacing w:line="240" w:lineRule="auto"/>
              <w:jc w:val="center"/>
              <w:rPr>
                <w:rFonts w:eastAsia="仿宋_GB2312"/>
                <w:sz w:val="20"/>
                <w:szCs w:val="20"/>
              </w:rPr>
            </w:pPr>
            <w:r>
              <w:rPr>
                <w:rFonts w:eastAsia="仿宋_GB2312"/>
                <w:sz w:val="20"/>
                <w:szCs w:val="20"/>
              </w:rPr>
              <w:t>项目绩效目标完成情况</w:t>
            </w:r>
          </w:p>
        </w:tc>
        <w:tc>
          <w:tcPr>
            <w:tcW w:w="5633" w:type="dxa"/>
            <w:noWrap w:val="0"/>
            <w:vAlign w:val="center"/>
          </w:tcPr>
          <w:p w14:paraId="159D5BEC">
            <w:pPr>
              <w:spacing w:line="240" w:lineRule="auto"/>
              <w:ind w:right="0" w:rightChars="0"/>
              <w:jc w:val="center"/>
              <w:rPr>
                <w:rFonts w:hint="eastAsia" w:ascii="Times New Roman" w:hAnsi="Times New Roman" w:eastAsia="仿宋_GB2312"/>
                <w:color w:val="000000"/>
                <w:szCs w:val="21"/>
              </w:rPr>
            </w:pPr>
          </w:p>
          <w:p w14:paraId="686D197C">
            <w:pPr>
              <w:spacing w:line="240" w:lineRule="auto"/>
              <w:ind w:right="0" w:rightChars="0"/>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按照预期目标完成</w:t>
            </w:r>
          </w:p>
        </w:tc>
      </w:tr>
      <w:tr w14:paraId="4F9DA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57" w:type="dxa"/>
            <w:vMerge w:val="restart"/>
            <w:noWrap w:val="0"/>
            <w:vAlign w:val="center"/>
          </w:tcPr>
          <w:p w14:paraId="06545B7A">
            <w:pPr>
              <w:spacing w:line="240" w:lineRule="auto"/>
              <w:jc w:val="center"/>
              <w:rPr>
                <w:rFonts w:eastAsia="仿宋_GB2312"/>
                <w:sz w:val="20"/>
                <w:szCs w:val="20"/>
              </w:rPr>
            </w:pPr>
            <w:r>
              <w:rPr>
                <w:rFonts w:eastAsia="仿宋_GB2312"/>
                <w:sz w:val="20"/>
                <w:szCs w:val="20"/>
              </w:rPr>
              <w:t>存在的问题分析及改进措施</w:t>
            </w:r>
          </w:p>
        </w:tc>
        <w:tc>
          <w:tcPr>
            <w:tcW w:w="1972" w:type="dxa"/>
            <w:noWrap w:val="0"/>
            <w:vAlign w:val="center"/>
          </w:tcPr>
          <w:p w14:paraId="6E411809">
            <w:pPr>
              <w:spacing w:line="240" w:lineRule="auto"/>
              <w:jc w:val="center"/>
              <w:rPr>
                <w:rFonts w:eastAsia="仿宋_GB2312"/>
                <w:sz w:val="20"/>
                <w:szCs w:val="20"/>
              </w:rPr>
            </w:pPr>
            <w:r>
              <w:rPr>
                <w:rFonts w:eastAsia="仿宋_GB2312"/>
                <w:sz w:val="20"/>
                <w:szCs w:val="20"/>
              </w:rPr>
              <w:t>存在的问题</w:t>
            </w:r>
          </w:p>
        </w:tc>
        <w:tc>
          <w:tcPr>
            <w:tcW w:w="5633" w:type="dxa"/>
            <w:noWrap w:val="0"/>
            <w:vAlign w:val="center"/>
          </w:tcPr>
          <w:p w14:paraId="1A62FFFC">
            <w:pPr>
              <w:spacing w:line="240" w:lineRule="auto"/>
              <w:ind w:right="0" w:rightChars="0"/>
              <w:jc w:val="center"/>
              <w:rPr>
                <w:rFonts w:hint="eastAsia" w:ascii="Times New Roman" w:hAnsi="Times New Roman" w:eastAsia="仿宋_GB2312"/>
                <w:color w:val="000000"/>
                <w:szCs w:val="21"/>
              </w:rPr>
            </w:pPr>
          </w:p>
          <w:p w14:paraId="6C0DC338">
            <w:pPr>
              <w:spacing w:line="240" w:lineRule="auto"/>
              <w:ind w:right="0" w:rightChars="0"/>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无</w:t>
            </w:r>
          </w:p>
          <w:p w14:paraId="45E96EAC">
            <w:pPr>
              <w:spacing w:line="240" w:lineRule="auto"/>
              <w:ind w:right="0" w:rightChars="0"/>
              <w:jc w:val="center"/>
              <w:rPr>
                <w:rFonts w:hint="eastAsia" w:ascii="Times New Roman" w:hAnsi="Times New Roman" w:eastAsia="仿宋_GB2312"/>
                <w:color w:val="000000"/>
                <w:szCs w:val="21"/>
              </w:rPr>
            </w:pPr>
          </w:p>
        </w:tc>
      </w:tr>
      <w:tr w14:paraId="50A9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14:paraId="06A0A142">
            <w:pPr>
              <w:rPr>
                <w:rFonts w:eastAsia="仿宋_GB2312"/>
                <w:sz w:val="20"/>
                <w:szCs w:val="20"/>
              </w:rPr>
            </w:pPr>
          </w:p>
        </w:tc>
        <w:tc>
          <w:tcPr>
            <w:tcW w:w="1972" w:type="dxa"/>
            <w:noWrap w:val="0"/>
            <w:vAlign w:val="center"/>
          </w:tcPr>
          <w:p w14:paraId="1ACB35D1">
            <w:pPr>
              <w:spacing w:line="240" w:lineRule="auto"/>
              <w:jc w:val="center"/>
              <w:rPr>
                <w:rFonts w:eastAsia="仿宋_GB2312"/>
                <w:sz w:val="20"/>
                <w:szCs w:val="20"/>
              </w:rPr>
            </w:pPr>
            <w:r>
              <w:rPr>
                <w:rFonts w:eastAsia="仿宋_GB2312"/>
                <w:sz w:val="20"/>
                <w:szCs w:val="20"/>
              </w:rPr>
              <w:t>改进措施</w:t>
            </w:r>
          </w:p>
        </w:tc>
        <w:tc>
          <w:tcPr>
            <w:tcW w:w="5633" w:type="dxa"/>
            <w:noWrap w:val="0"/>
            <w:vAlign w:val="center"/>
          </w:tcPr>
          <w:p w14:paraId="14B472AF">
            <w:pPr>
              <w:spacing w:line="240" w:lineRule="auto"/>
              <w:ind w:right="0" w:rightChars="0"/>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无</w:t>
            </w:r>
          </w:p>
        </w:tc>
      </w:tr>
      <w:tr w14:paraId="1503C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14:paraId="5FE67D36">
            <w:pPr>
              <w:rPr>
                <w:rFonts w:eastAsia="仿宋_GB2312"/>
                <w:sz w:val="20"/>
                <w:szCs w:val="20"/>
              </w:rPr>
            </w:pPr>
          </w:p>
        </w:tc>
        <w:tc>
          <w:tcPr>
            <w:tcW w:w="1972" w:type="dxa"/>
            <w:noWrap w:val="0"/>
            <w:vAlign w:val="center"/>
          </w:tcPr>
          <w:p w14:paraId="250C7C8E">
            <w:pPr>
              <w:spacing w:line="240" w:lineRule="auto"/>
              <w:jc w:val="center"/>
              <w:rPr>
                <w:rFonts w:eastAsia="仿宋_GB2312"/>
                <w:sz w:val="20"/>
                <w:szCs w:val="20"/>
              </w:rPr>
            </w:pPr>
            <w:r>
              <w:rPr>
                <w:rFonts w:eastAsia="仿宋_GB2312"/>
                <w:sz w:val="20"/>
                <w:szCs w:val="20"/>
              </w:rPr>
              <w:t>其他需要说明问题</w:t>
            </w:r>
          </w:p>
        </w:tc>
        <w:tc>
          <w:tcPr>
            <w:tcW w:w="5633" w:type="dxa"/>
            <w:noWrap w:val="0"/>
            <w:vAlign w:val="center"/>
          </w:tcPr>
          <w:p w14:paraId="438E2F14">
            <w:pPr>
              <w:spacing w:line="240" w:lineRule="auto"/>
              <w:ind w:right="0" w:rightChars="0"/>
              <w:jc w:val="center"/>
              <w:rPr>
                <w:rFonts w:hint="eastAsia" w:ascii="Times New Roman" w:hAnsi="Times New Roman" w:eastAsia="仿宋_GB2312"/>
                <w:color w:val="000000"/>
                <w:szCs w:val="21"/>
              </w:rPr>
            </w:pPr>
          </w:p>
          <w:p w14:paraId="2BDF473C">
            <w:pPr>
              <w:spacing w:line="240" w:lineRule="auto"/>
              <w:ind w:right="0" w:rightChars="0"/>
              <w:jc w:val="center"/>
              <w:rPr>
                <w:rFonts w:hint="eastAsia" w:ascii="Times New Roman" w:hAnsi="Times New Roman" w:eastAsia="仿宋_GB2312"/>
                <w:color w:val="000000"/>
                <w:szCs w:val="21"/>
              </w:rPr>
            </w:pPr>
          </w:p>
          <w:p w14:paraId="73CA5CA5">
            <w:pPr>
              <w:spacing w:line="240" w:lineRule="auto"/>
              <w:ind w:right="0" w:rightChars="0"/>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无</w:t>
            </w:r>
          </w:p>
          <w:p w14:paraId="63FB9120">
            <w:pPr>
              <w:spacing w:line="240" w:lineRule="auto"/>
              <w:ind w:right="0" w:rightChars="0"/>
              <w:jc w:val="center"/>
              <w:rPr>
                <w:rFonts w:hint="eastAsia" w:ascii="Times New Roman" w:hAnsi="Times New Roman" w:eastAsia="仿宋_GB2312"/>
                <w:color w:val="000000"/>
                <w:szCs w:val="21"/>
              </w:rPr>
            </w:pPr>
          </w:p>
        </w:tc>
      </w:tr>
    </w:tbl>
    <w:p w14:paraId="1A7B1F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5B567F7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14:paraId="0700FA71">
      <w:pPr>
        <w:pStyle w:val="12"/>
        <w:keepNext w:val="0"/>
        <w:keepLines w:val="0"/>
        <w:pageBreakBefore w:val="0"/>
        <w:widowControl w:val="0"/>
        <w:kinsoku/>
        <w:wordWrap/>
        <w:overflowPunct/>
        <w:topLinePunct w:val="0"/>
        <w:bidi w:val="0"/>
        <w:snapToGrid/>
        <w:spacing w:line="600" w:lineRule="exact"/>
        <w:ind w:firstLine="720" w:firstLineChars="200"/>
        <w:jc w:val="both"/>
        <w:textAlignment w:val="auto"/>
        <w:rPr>
          <w:rFonts w:hint="eastAsia" w:ascii="Times New Roman" w:hAnsi="Times New Roman" w:eastAsia="仿宋_GB2312" w:cs="黑体"/>
          <w:b/>
          <w:bCs/>
          <w:color w:val="FF0000"/>
          <w:kern w:val="0"/>
          <w:sz w:val="36"/>
          <w:szCs w:val="36"/>
          <w:lang w:val="en-US" w:eastAsia="zh-CN" w:bidi="ar-SA"/>
        </w:rPr>
      </w:pPr>
    </w:p>
    <w:p w14:paraId="4D2AAEEA">
      <w:pPr>
        <w:pStyle w:val="12"/>
        <w:keepNext w:val="0"/>
        <w:keepLines w:val="0"/>
        <w:pageBreakBefore w:val="0"/>
        <w:widowControl w:val="0"/>
        <w:kinsoku/>
        <w:wordWrap/>
        <w:overflowPunct/>
        <w:topLinePunct w:val="0"/>
        <w:bidi w:val="0"/>
        <w:snapToGrid/>
        <w:spacing w:line="600" w:lineRule="exact"/>
        <w:ind w:firstLine="720" w:firstLineChars="200"/>
        <w:jc w:val="both"/>
        <w:textAlignment w:val="auto"/>
        <w:rPr>
          <w:rFonts w:hint="eastAsia" w:ascii="Times New Roman" w:hAnsi="Times New Roman" w:eastAsia="仿宋_GB2312" w:cs="黑体"/>
          <w:b/>
          <w:bCs/>
          <w:color w:val="FF0000"/>
          <w:kern w:val="0"/>
          <w:sz w:val="36"/>
          <w:szCs w:val="36"/>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永中宋体">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DCB4"/>
    <w:multiLevelType w:val="singleLevel"/>
    <w:tmpl w:val="9195DCB4"/>
    <w:lvl w:ilvl="0" w:tentative="0">
      <w:start w:val="2"/>
      <w:numFmt w:val="chineseCounting"/>
      <w:suff w:val="nothing"/>
      <w:lvlText w:val="（%1）"/>
      <w:lvlJc w:val="left"/>
      <w:rPr>
        <w:rFonts w:hint="eastAsia"/>
      </w:rPr>
    </w:lvl>
  </w:abstractNum>
  <w:abstractNum w:abstractNumId="1">
    <w:nsid w:val="AD1130F4"/>
    <w:multiLevelType w:val="singleLevel"/>
    <w:tmpl w:val="AD1130F4"/>
    <w:lvl w:ilvl="0" w:tentative="0">
      <w:start w:val="1"/>
      <w:numFmt w:val="chineseCounting"/>
      <w:suff w:val="nothing"/>
      <w:lvlText w:val="%1、"/>
      <w:lvlJc w:val="left"/>
      <w:rPr>
        <w:rFonts w:hint="eastAsia"/>
        <w:color w:val="auto"/>
      </w:r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abstractNum w:abstractNumId="4">
    <w:nsid w:val="63416DE2"/>
    <w:multiLevelType w:val="singleLevel"/>
    <w:tmpl w:val="63416DE2"/>
    <w:lvl w:ilvl="0" w:tentative="0">
      <w:start w:val="1"/>
      <w:numFmt w:val="chineseCounting"/>
      <w:suff w:val="space"/>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DE5MDA0NTg5ODdmZTY1ZjI2MjBmZTNmNzYxM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27CB1"/>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87464"/>
    <w:rsid w:val="047B04DC"/>
    <w:rsid w:val="07F95559"/>
    <w:rsid w:val="095347F5"/>
    <w:rsid w:val="0BEE7CFD"/>
    <w:rsid w:val="0D3229EB"/>
    <w:rsid w:val="0D6F3D3F"/>
    <w:rsid w:val="0DE10621"/>
    <w:rsid w:val="16F969DB"/>
    <w:rsid w:val="16FB7986"/>
    <w:rsid w:val="18AD22E9"/>
    <w:rsid w:val="18EF5053"/>
    <w:rsid w:val="19FB22BA"/>
    <w:rsid w:val="1A0E3AB4"/>
    <w:rsid w:val="1B9E0A03"/>
    <w:rsid w:val="1E0D658A"/>
    <w:rsid w:val="1FFA970A"/>
    <w:rsid w:val="20126062"/>
    <w:rsid w:val="20401B1F"/>
    <w:rsid w:val="234B3323"/>
    <w:rsid w:val="23C860B3"/>
    <w:rsid w:val="245D1763"/>
    <w:rsid w:val="27233601"/>
    <w:rsid w:val="283536C5"/>
    <w:rsid w:val="29F70417"/>
    <w:rsid w:val="2FDB53C0"/>
    <w:rsid w:val="319E0088"/>
    <w:rsid w:val="319F5F79"/>
    <w:rsid w:val="340622E0"/>
    <w:rsid w:val="3425795C"/>
    <w:rsid w:val="351E0FBF"/>
    <w:rsid w:val="39237490"/>
    <w:rsid w:val="3A263E74"/>
    <w:rsid w:val="3D792D3C"/>
    <w:rsid w:val="3DBB7565"/>
    <w:rsid w:val="3ED862C8"/>
    <w:rsid w:val="3F7412CF"/>
    <w:rsid w:val="40A610D2"/>
    <w:rsid w:val="44052AA3"/>
    <w:rsid w:val="442C432A"/>
    <w:rsid w:val="45101210"/>
    <w:rsid w:val="465869CB"/>
    <w:rsid w:val="46AA2F9F"/>
    <w:rsid w:val="473A07C7"/>
    <w:rsid w:val="477409A8"/>
    <w:rsid w:val="4B02564D"/>
    <w:rsid w:val="4B183DBB"/>
    <w:rsid w:val="4F304531"/>
    <w:rsid w:val="52374280"/>
    <w:rsid w:val="52CB6777"/>
    <w:rsid w:val="538708F0"/>
    <w:rsid w:val="56C9121F"/>
    <w:rsid w:val="5777D4F5"/>
    <w:rsid w:val="581B3CFC"/>
    <w:rsid w:val="58226E39"/>
    <w:rsid w:val="589570CB"/>
    <w:rsid w:val="59FD5A9E"/>
    <w:rsid w:val="5C6507D2"/>
    <w:rsid w:val="5D086F45"/>
    <w:rsid w:val="5DF424F7"/>
    <w:rsid w:val="5EBD5B0D"/>
    <w:rsid w:val="5FC6BB1E"/>
    <w:rsid w:val="5FF720F1"/>
    <w:rsid w:val="623103B6"/>
    <w:rsid w:val="62D022B3"/>
    <w:rsid w:val="6429154F"/>
    <w:rsid w:val="65B04F76"/>
    <w:rsid w:val="65C9550E"/>
    <w:rsid w:val="66A933C3"/>
    <w:rsid w:val="67F178E9"/>
    <w:rsid w:val="697B59DA"/>
    <w:rsid w:val="6A730DAD"/>
    <w:rsid w:val="6A905686"/>
    <w:rsid w:val="6E5A3E2A"/>
    <w:rsid w:val="71931FAF"/>
    <w:rsid w:val="72F5A3EB"/>
    <w:rsid w:val="737D59BA"/>
    <w:rsid w:val="73970283"/>
    <w:rsid w:val="74DD43BC"/>
    <w:rsid w:val="77C37683"/>
    <w:rsid w:val="79FF515B"/>
    <w:rsid w:val="7A0A6111"/>
    <w:rsid w:val="7A6301DE"/>
    <w:rsid w:val="7B275BDA"/>
    <w:rsid w:val="7B3C0229"/>
    <w:rsid w:val="7B854078"/>
    <w:rsid w:val="7E9F11B4"/>
    <w:rsid w:val="7FC69637"/>
    <w:rsid w:val="7FF9B886"/>
    <w:rsid w:val="7FFDB408"/>
    <w:rsid w:val="96BBC9BF"/>
    <w:rsid w:val="BE9FCAFC"/>
    <w:rsid w:val="BEBEFB19"/>
    <w:rsid w:val="CBFF70E0"/>
    <w:rsid w:val="D6DF3925"/>
    <w:rsid w:val="DFD3FD59"/>
    <w:rsid w:val="EEABED75"/>
    <w:rsid w:val="F7FCE77C"/>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widowControl w:val="0"/>
      <w:spacing w:before="0" w:after="120"/>
      <w:ind w:left="0" w:right="0"/>
      <w:jc w:val="both"/>
    </w:pPr>
    <w:rPr>
      <w:rFonts w:ascii="Calibri" w:hAnsi="Calibri" w:eastAsia="楷体_GB2312" w:cs="永中宋体"/>
      <w:kern w:val="0"/>
      <w:sz w:val="20"/>
      <w:szCs w:val="20"/>
      <w:lang w:val="en-US" w:eastAsia="zh-CN" w:bidi="ar-SA"/>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99"/>
    <w:pPr>
      <w:widowControl w:val="0"/>
      <w:ind w:firstLine="420" w:firstLineChars="100"/>
      <w:textAlignment w:val="auto"/>
    </w:p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3"/>
    <w:autoRedefine/>
    <w:semiHidden/>
    <w:qFormat/>
    <w:uiPriority w:val="99"/>
    <w:rPr>
      <w:sz w:val="18"/>
      <w:szCs w:val="18"/>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 w:type="character" w:customStyle="1" w:styleId="16">
    <w:name w:val="font21"/>
    <w:basedOn w:val="9"/>
    <w:autoRedefine/>
    <w:qFormat/>
    <w:uiPriority w:val="0"/>
    <w:rPr>
      <w:rFonts w:hint="eastAsia" w:ascii="宋体" w:hAnsi="宋体" w:eastAsia="宋体" w:cs="宋体"/>
      <w:color w:val="000000"/>
      <w:sz w:val="24"/>
      <w:szCs w:val="24"/>
      <w:u w:val="none"/>
    </w:rPr>
  </w:style>
  <w:style w:type="character" w:customStyle="1" w:styleId="17">
    <w:name w:val="font11"/>
    <w:basedOn w:val="9"/>
    <w:autoRedefine/>
    <w:qFormat/>
    <w:uiPriority w:val="0"/>
    <w:rPr>
      <w:rFonts w:hint="eastAsia" w:ascii="宋体" w:hAnsi="宋体" w:eastAsia="宋体" w:cs="宋体"/>
      <w:color w:val="000000"/>
      <w:sz w:val="24"/>
      <w:szCs w:val="24"/>
      <w:u w:val="none"/>
    </w:rPr>
  </w:style>
  <w:style w:type="paragraph" w:customStyle="1" w:styleId="18">
    <w:name w:val="p"/>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9">
    <w:name w:val="15"/>
    <w:basedOn w:val="9"/>
    <w:autoRedefine/>
    <w:qFormat/>
    <w:uiPriority w:val="0"/>
    <w:rPr>
      <w:rFonts w:hint="default"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9875</Words>
  <Characters>10691</Characters>
  <Lines>63</Lines>
  <Paragraphs>18</Paragraphs>
  <TotalTime>9</TotalTime>
  <ScaleCrop>false</ScaleCrop>
  <LinksUpToDate>false</LinksUpToDate>
  <CharactersWithSpaces>10737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依然爱你（15211637773）</cp:lastModifiedBy>
  <cp:lastPrinted>2023-08-16T01:28:00Z</cp:lastPrinted>
  <dcterms:modified xsi:type="dcterms:W3CDTF">2024-09-25T04:29:59Z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39B453BBF4D940FA9EAAB88F97720180_12</vt:lpwstr>
  </property>
</Properties>
</file>