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000000"/>
          <w:sz w:val="36"/>
          <w:szCs w:val="36"/>
          <w:highlight w:val="none"/>
        </w:rPr>
      </w:pPr>
      <w:bookmarkStart w:id="0" w:name="_Hlk57883707"/>
      <w:r>
        <w:rPr>
          <w:sz w:val="36"/>
        </w:rPr>
        <mc:AlternateContent>
          <mc:Choice Requires="wps">
            <w:drawing>
              <wp:anchor distT="0" distB="0" distL="114300" distR="114300" simplePos="0" relativeHeight="251666432" behindDoc="0" locked="0" layoutInCell="1" allowOverlap="1">
                <wp:simplePos x="0" y="0"/>
                <wp:positionH relativeFrom="column">
                  <wp:posOffset>4489450</wp:posOffset>
                </wp:positionH>
                <wp:positionV relativeFrom="paragraph">
                  <wp:posOffset>118745</wp:posOffset>
                </wp:positionV>
                <wp:extent cx="1079500" cy="466090"/>
                <wp:effectExtent l="4445" t="4445" r="20955" b="5715"/>
                <wp:wrapNone/>
                <wp:docPr id="161" name="文本框 161"/>
                <wp:cNvGraphicFramePr/>
                <a:graphic xmlns:a="http://schemas.openxmlformats.org/drawingml/2006/main">
                  <a:graphicData uri="http://schemas.microsoft.com/office/word/2010/wordprocessingShape">
                    <wps:wsp>
                      <wps:cNvSpPr txBox="1"/>
                      <wps:spPr>
                        <a:xfrm>
                          <a:off x="0" y="0"/>
                          <a:ext cx="1079500" cy="4660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44"/>
                                <w:szCs w:val="44"/>
                                <w:lang w:val="en-US" w:eastAsia="zh-CN"/>
                              </w:rPr>
                            </w:pPr>
                            <w:r>
                              <w:rPr>
                                <w:rFonts w:hint="eastAsia"/>
                                <w:sz w:val="44"/>
                                <w:szCs w:val="44"/>
                                <w:lang w:val="en-US" w:eastAsia="zh-CN"/>
                              </w:rPr>
                              <w:t>报批稿</w:t>
                            </w:r>
                          </w:p>
                        </w:txbxContent>
                      </wps:txbx>
                      <wps:bodyPr upright="1"/>
                    </wps:wsp>
                  </a:graphicData>
                </a:graphic>
              </wp:anchor>
            </w:drawing>
          </mc:Choice>
          <mc:Fallback>
            <w:pict>
              <v:shape id="_x0000_s1026" o:spid="_x0000_s1026" o:spt="202" type="#_x0000_t202" style="position:absolute;left:0pt;margin-left:353.5pt;margin-top:9.35pt;height:36.7pt;width:85pt;z-index:251666432;mso-width-relative:page;mso-height-relative:page;" fillcolor="#FFFFFF" filled="t" stroked="t" coordsize="21600,21600" o:gfxdata="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vK2V9cAAAAJAQAADwAAAAAAAAABACAAAAAiAAAAZHJzL2Rvd25yZXYueG1sUEsBAhQA&#10;FAAAAAgAh07iQHjxeJ7zAQAA7AMAAA4AAAAAAAAAAQAgAAAAJgEAAGRycy9lMm9Eb2MueG1sUEsF&#10;BgAAAAAGAAYAWQEAAIsFAAAAAA==&#10;">
                <v:fill on="t" focussize="0,0"/>
                <v:stroke color="#000000" joinstyle="miter"/>
                <v:imagedata o:title=""/>
                <o:lock v:ext="edit" aspectratio="f"/>
                <v:textbox>
                  <w:txbxContent>
                    <w:p>
                      <w:pPr>
                        <w:jc w:val="center"/>
                        <w:rPr>
                          <w:rFonts w:hint="eastAsia" w:eastAsia="宋体"/>
                          <w:sz w:val="44"/>
                          <w:szCs w:val="44"/>
                          <w:lang w:val="en-US" w:eastAsia="zh-CN"/>
                        </w:rPr>
                      </w:pPr>
                      <w:r>
                        <w:rPr>
                          <w:rFonts w:hint="eastAsia"/>
                          <w:sz w:val="44"/>
                          <w:szCs w:val="44"/>
                          <w:lang w:val="en-US" w:eastAsia="zh-CN"/>
                        </w:rPr>
                        <w:t>报批稿</w:t>
                      </w:r>
                    </w:p>
                  </w:txbxContent>
                </v:textbox>
              </v:shape>
            </w:pict>
          </mc:Fallback>
        </mc:AlternateContent>
      </w:r>
    </w:p>
    <w:p>
      <w:pPr>
        <w:rPr>
          <w:rFonts w:ascii="仿宋_GB2312" w:hAnsi="仿宋_GB2312" w:eastAsia="仿宋_GB2312" w:cs="仿宋_GB2312"/>
          <w:color w:val="000000"/>
          <w:sz w:val="36"/>
          <w:szCs w:val="36"/>
          <w:highlight w:val="none"/>
        </w:rPr>
      </w:pPr>
    </w:p>
    <w:p>
      <w:pPr>
        <w:rPr>
          <w:rFonts w:ascii="仿宋_GB2312" w:hAnsi="仿宋_GB2312" w:eastAsia="仿宋_GB2312" w:cs="仿宋_GB2312"/>
          <w:color w:val="000000"/>
          <w:sz w:val="36"/>
          <w:szCs w:val="36"/>
          <w:highlight w:val="none"/>
        </w:rPr>
      </w:pPr>
    </w:p>
    <w:p>
      <w:pPr>
        <w:rPr>
          <w:rFonts w:ascii="仿宋_GB2312" w:hAnsi="仿宋_GB2312" w:eastAsia="仿宋_GB2312" w:cs="仿宋_GB2312"/>
          <w:color w:val="000000"/>
          <w:sz w:val="36"/>
          <w:szCs w:val="36"/>
          <w:highlight w:val="none"/>
        </w:rPr>
      </w:pPr>
    </w:p>
    <w:bookmarkEnd w:id="0"/>
    <w:p>
      <w:pPr>
        <w:keepNext w:val="0"/>
        <w:keepLines w:val="0"/>
        <w:pageBreakBefore w:val="0"/>
        <w:widowControl w:val="0"/>
        <w:jc w:val="center"/>
        <w:outlineLvl w:val="9"/>
        <w:rPr>
          <w:rFonts w:hint="eastAsia" w:ascii="方正小标宋_GBK" w:eastAsia="方正小标宋_GBK"/>
          <w:bCs/>
          <w:color w:val="000000"/>
          <w:sz w:val="72"/>
          <w:szCs w:val="72"/>
          <w:highlight w:val="none"/>
        </w:rPr>
      </w:pPr>
      <w:bookmarkStart w:id="1" w:name="_Toc31886"/>
      <w:r>
        <w:rPr>
          <w:rFonts w:ascii="Times New Roman" w:hAnsi="Times New Roman" w:eastAsia="方正小标宋_GBK" w:cs="Times New Roman"/>
          <w:bCs/>
          <w:color w:val="000000"/>
          <w:sz w:val="72"/>
          <w:szCs w:val="72"/>
          <w:highlight w:val="none"/>
        </w:rPr>
        <w:t>建设项目环境影响报告表</w:t>
      </w:r>
      <w:bookmarkEnd w:id="1"/>
    </w:p>
    <w:p>
      <w:pPr>
        <w:keepNext w:val="0"/>
        <w:keepLines w:val="0"/>
        <w:pageBreakBefore w:val="0"/>
        <w:widowControl w:val="0"/>
        <w:spacing w:before="192"/>
        <w:jc w:val="center"/>
        <w:outlineLvl w:val="9"/>
        <w:rPr>
          <w:rFonts w:hint="eastAsia" w:ascii="楷体_GB2312" w:eastAsia="楷体_GB2312"/>
          <w:bCs/>
          <w:color w:val="000000"/>
          <w:sz w:val="48"/>
          <w:szCs w:val="48"/>
          <w:highlight w:val="none"/>
          <w:lang w:eastAsia="zh-CN"/>
        </w:rPr>
      </w:pPr>
      <w:bookmarkStart w:id="2" w:name="_Hlk57883728"/>
      <w:r>
        <w:rPr>
          <w:rFonts w:hint="eastAsia" w:ascii="楷体_GB2312" w:eastAsia="楷体_GB2312"/>
          <w:bCs/>
          <w:color w:val="000000"/>
          <w:sz w:val="48"/>
          <w:szCs w:val="48"/>
          <w:highlight w:val="none"/>
          <w:lang w:eastAsia="zh-CN"/>
        </w:rPr>
        <w:t>（</w:t>
      </w:r>
      <w:r>
        <w:rPr>
          <w:rFonts w:hint="eastAsia" w:ascii="楷体_GB2312" w:eastAsia="楷体_GB2312"/>
          <w:bCs/>
          <w:color w:val="000000"/>
          <w:sz w:val="48"/>
          <w:szCs w:val="48"/>
          <w:highlight w:val="none"/>
        </w:rPr>
        <w:t>生态影响类</w:t>
      </w:r>
      <w:r>
        <w:rPr>
          <w:rFonts w:hint="eastAsia" w:ascii="楷体_GB2312" w:eastAsia="楷体_GB2312"/>
          <w:bCs/>
          <w:color w:val="000000"/>
          <w:sz w:val="48"/>
          <w:szCs w:val="48"/>
          <w:highlight w:val="none"/>
          <w:lang w:eastAsia="zh-CN"/>
        </w:rPr>
        <w:t>）</w:t>
      </w:r>
    </w:p>
    <w:p>
      <w:pPr>
        <w:keepNext w:val="0"/>
        <w:keepLines w:val="0"/>
        <w:pageBreakBefore w:val="0"/>
        <w:widowControl w:val="0"/>
        <w:spacing w:line="288" w:lineRule="auto"/>
        <w:jc w:val="center"/>
        <w:outlineLvl w:val="9"/>
        <w:rPr>
          <w:rFonts w:ascii="华文仿宋" w:hAnsi="华文仿宋" w:eastAsia="华文仿宋" w:cs="华文仿宋"/>
          <w:color w:val="000000"/>
          <w:sz w:val="44"/>
          <w:szCs w:val="44"/>
          <w:highlight w:val="none"/>
        </w:rPr>
      </w:pPr>
    </w:p>
    <w:p>
      <w:pPr>
        <w:jc w:val="center"/>
        <w:rPr>
          <w:rFonts w:eastAsia="仿宋"/>
          <w:color w:val="000000"/>
          <w:sz w:val="52"/>
          <w:szCs w:val="52"/>
          <w:highlight w:val="none"/>
        </w:rPr>
      </w:pPr>
    </w:p>
    <w:p>
      <w:pPr>
        <w:ind w:firstLine="1040"/>
        <w:rPr>
          <w:rFonts w:eastAsia="仿宋"/>
          <w:color w:val="000000"/>
          <w:sz w:val="44"/>
          <w:szCs w:val="44"/>
          <w:highlight w:val="none"/>
        </w:rPr>
      </w:pPr>
    </w:p>
    <w:p>
      <w:pPr>
        <w:ind w:firstLine="1040"/>
        <w:rPr>
          <w:rFonts w:eastAsia="仿宋"/>
          <w:color w:val="000000"/>
          <w:sz w:val="44"/>
          <w:szCs w:val="44"/>
          <w:highlight w:val="none"/>
        </w:rPr>
      </w:pPr>
    </w:p>
    <w:p>
      <w:pPr>
        <w:ind w:firstLine="1040"/>
        <w:rPr>
          <w:rFonts w:eastAsia="仿宋"/>
          <w:color w:val="000000"/>
          <w:sz w:val="44"/>
          <w:szCs w:val="44"/>
          <w:highlight w:val="none"/>
        </w:rPr>
      </w:pPr>
    </w:p>
    <w:p>
      <w:pPr>
        <w:ind w:firstLine="1040"/>
        <w:rPr>
          <w:rFonts w:eastAsia="仿宋"/>
          <w:color w:val="000000"/>
          <w:sz w:val="44"/>
          <w:szCs w:val="44"/>
          <w:highlight w:val="none"/>
        </w:rPr>
      </w:pPr>
    </w:p>
    <w:bookmarkEnd w:id="2"/>
    <w:p>
      <w:pPr>
        <w:spacing w:line="288" w:lineRule="auto"/>
        <w:ind w:firstLine="1040"/>
        <w:rPr>
          <w:rFonts w:hint="default" w:ascii="仿宋_GB2312" w:eastAsia="仿宋_GB2312"/>
          <w:color w:val="000000"/>
          <w:sz w:val="36"/>
          <w:szCs w:val="36"/>
          <w:highlight w:val="none"/>
          <w:u w:val="single"/>
          <w:lang w:val="en-US" w:eastAsia="zh-CN"/>
        </w:rPr>
      </w:pPr>
      <w:r>
        <w:rPr>
          <w:rFonts w:hint="eastAsia" w:ascii="仿宋_GB2312" w:eastAsia="仿宋_GB2312"/>
          <w:color w:val="000000"/>
          <w:sz w:val="36"/>
          <w:szCs w:val="36"/>
          <w:highlight w:val="none"/>
        </w:rPr>
        <w:t>项目名称：</w:t>
      </w:r>
      <w:r>
        <w:rPr>
          <w:rFonts w:hint="eastAsia" w:ascii="仿宋_GB2312" w:eastAsia="仿宋_GB2312"/>
          <w:color w:val="000000"/>
          <w:sz w:val="36"/>
          <w:szCs w:val="36"/>
          <w:highlight w:val="none"/>
          <w:u w:val="single"/>
          <w:lang w:val="en-US" w:eastAsia="zh-CN"/>
        </w:rPr>
        <w:t xml:space="preserve"> 萍阳北路延伸段及萍洲大桥西岸匝道建设项目</w:t>
      </w:r>
    </w:p>
    <w:p>
      <w:pPr>
        <w:spacing w:line="288" w:lineRule="auto"/>
        <w:ind w:firstLine="1040"/>
        <w:rPr>
          <w:rFonts w:hint="default" w:ascii="仿宋_GB2312" w:eastAsia="仿宋_GB2312"/>
          <w:color w:val="000000"/>
          <w:sz w:val="36"/>
          <w:szCs w:val="36"/>
          <w:highlight w:val="none"/>
          <w:u w:val="single"/>
          <w:lang w:val="en-US"/>
        </w:rPr>
      </w:pPr>
      <w:r>
        <w:rPr>
          <w:rFonts w:hint="eastAsia" w:ascii="仿宋_GB2312" w:eastAsia="仿宋_GB2312"/>
          <w:color w:val="000000"/>
          <w:sz w:val="36"/>
          <w:szCs w:val="36"/>
          <w:highlight w:val="none"/>
        </w:rPr>
        <w:t>建设单位（盖章）：</w:t>
      </w:r>
      <w:r>
        <w:rPr>
          <w:rFonts w:hint="eastAsia" w:ascii="仿宋_GB2312" w:eastAsia="仿宋_GB2312"/>
          <w:color w:val="000000"/>
          <w:sz w:val="36"/>
          <w:szCs w:val="36"/>
          <w:highlight w:val="none"/>
          <w:u w:val="single"/>
          <w:lang w:val="en-US" w:eastAsia="zh-CN"/>
        </w:rPr>
        <w:t xml:space="preserve"> 永州市零陵区住房和城乡建设局    </w:t>
      </w:r>
    </w:p>
    <w:p>
      <w:pPr>
        <w:spacing w:line="288" w:lineRule="auto"/>
        <w:ind w:firstLine="1040"/>
        <w:rPr>
          <w:rFonts w:hint="eastAsia" w:ascii="仿宋_GB2312" w:eastAsia="仿宋_GB2312"/>
          <w:color w:val="000000"/>
          <w:sz w:val="36"/>
          <w:szCs w:val="36"/>
          <w:highlight w:val="none"/>
          <w:u w:val="single"/>
        </w:rPr>
      </w:pPr>
      <w:r>
        <w:rPr>
          <w:rFonts w:hint="eastAsia" w:ascii="仿宋_GB2312" w:eastAsia="仿宋_GB2312"/>
          <w:color w:val="000000"/>
          <w:sz w:val="36"/>
          <w:szCs w:val="36"/>
          <w:highlight w:val="none"/>
        </w:rPr>
        <w:t>编制日期：</w:t>
      </w:r>
      <w:r>
        <w:rPr>
          <w:rFonts w:hint="eastAsia" w:ascii="仿宋_GB2312" w:eastAsia="仿宋_GB2312"/>
          <w:color w:val="000000"/>
          <w:sz w:val="36"/>
          <w:szCs w:val="36"/>
          <w:highlight w:val="none"/>
          <w:u w:val="single"/>
        </w:rPr>
        <w:t xml:space="preserve"> </w:t>
      </w:r>
      <w:r>
        <w:rPr>
          <w:rFonts w:hint="eastAsia" w:ascii="仿宋_GB2312" w:eastAsia="仿宋_GB2312"/>
          <w:color w:val="000000"/>
          <w:sz w:val="36"/>
          <w:szCs w:val="36"/>
          <w:highlight w:val="none"/>
          <w:u w:val="single"/>
          <w:lang w:val="en-US" w:eastAsia="zh-CN"/>
        </w:rPr>
        <w:t>2024年12月</w:t>
      </w:r>
      <w:r>
        <w:rPr>
          <w:rFonts w:ascii="仿宋_GB2312" w:eastAsia="仿宋_GB2312"/>
          <w:color w:val="000000"/>
          <w:sz w:val="36"/>
          <w:szCs w:val="36"/>
          <w:highlight w:val="none"/>
          <w:u w:val="single"/>
        </w:rPr>
        <w:t xml:space="preserve">             </w:t>
      </w:r>
      <w:r>
        <w:rPr>
          <w:rFonts w:hint="eastAsia" w:ascii="仿宋_GB2312" w:eastAsia="仿宋_GB2312"/>
          <w:color w:val="000000"/>
          <w:sz w:val="36"/>
          <w:szCs w:val="36"/>
          <w:highlight w:val="none"/>
          <w:u w:val="single"/>
          <w:lang w:val="en-US" w:eastAsia="zh-CN"/>
        </w:rPr>
        <w:t xml:space="preserve"> </w:t>
      </w:r>
      <w:r>
        <w:rPr>
          <w:rFonts w:ascii="仿宋_GB2312" w:eastAsia="仿宋_GB2312"/>
          <w:color w:val="000000"/>
          <w:sz w:val="36"/>
          <w:szCs w:val="36"/>
          <w:highlight w:val="none"/>
          <w:u w:val="single"/>
        </w:rPr>
        <w:t xml:space="preserve">  </w:t>
      </w:r>
      <w:r>
        <w:rPr>
          <w:rFonts w:hint="eastAsia" w:ascii="仿宋_GB2312" w:eastAsia="仿宋_GB2312"/>
          <w:color w:val="000000"/>
          <w:sz w:val="36"/>
          <w:szCs w:val="36"/>
          <w:highlight w:val="none"/>
          <w:u w:val="single"/>
          <w:lang w:val="en-US" w:eastAsia="zh-CN"/>
        </w:rPr>
        <w:t xml:space="preserve">    </w:t>
      </w:r>
      <w:r>
        <w:rPr>
          <w:rFonts w:ascii="仿宋_GB2312" w:eastAsia="仿宋_GB2312"/>
          <w:color w:val="000000"/>
          <w:sz w:val="36"/>
          <w:szCs w:val="36"/>
          <w:highlight w:val="none"/>
          <w:u w:val="single"/>
        </w:rPr>
        <w:t xml:space="preserve"> </w:t>
      </w:r>
    </w:p>
    <w:p>
      <w:pPr>
        <w:spacing w:line="288" w:lineRule="auto"/>
        <w:ind w:firstLine="1040"/>
        <w:rPr>
          <w:rFonts w:ascii="仿宋_GB2312" w:eastAsia="仿宋_GB2312"/>
          <w:color w:val="000000"/>
          <w:sz w:val="36"/>
          <w:szCs w:val="36"/>
          <w:highlight w:val="none"/>
          <w:u w:val="single"/>
        </w:rPr>
      </w:pPr>
    </w:p>
    <w:p>
      <w:pPr>
        <w:spacing w:line="288" w:lineRule="auto"/>
        <w:ind w:firstLine="1040"/>
        <w:rPr>
          <w:rFonts w:ascii="仿宋_GB2312" w:eastAsia="仿宋_GB2312"/>
          <w:color w:val="000000"/>
          <w:sz w:val="36"/>
          <w:szCs w:val="36"/>
          <w:highlight w:val="none"/>
        </w:rPr>
      </w:pPr>
    </w:p>
    <w:p>
      <w:pPr>
        <w:spacing w:line="288" w:lineRule="auto"/>
        <w:ind w:firstLine="1040"/>
        <w:rPr>
          <w:rFonts w:ascii="仿宋_GB2312" w:eastAsia="仿宋_GB2312"/>
          <w:color w:val="000000"/>
          <w:sz w:val="36"/>
          <w:szCs w:val="36"/>
          <w:highlight w:val="none"/>
        </w:rPr>
      </w:pPr>
    </w:p>
    <w:p>
      <w:pPr>
        <w:spacing w:line="288" w:lineRule="auto"/>
        <w:ind w:firstLine="1040"/>
        <w:rPr>
          <w:rFonts w:hint="eastAsia" w:ascii="仿宋_GB2312" w:eastAsia="仿宋_GB2312"/>
          <w:color w:val="000000"/>
          <w:sz w:val="36"/>
          <w:szCs w:val="36"/>
          <w:highlight w:val="none"/>
        </w:rPr>
      </w:pPr>
    </w:p>
    <w:p>
      <w:pPr>
        <w:spacing w:line="288" w:lineRule="auto"/>
        <w:ind w:firstLine="1040"/>
        <w:rPr>
          <w:rFonts w:hint="eastAsia" w:ascii="仿宋_GB2312" w:eastAsia="仿宋_GB2312"/>
          <w:color w:val="000000"/>
          <w:sz w:val="36"/>
          <w:szCs w:val="36"/>
          <w:highlight w:val="none"/>
        </w:rPr>
      </w:pPr>
    </w:p>
    <w:p>
      <w:pPr>
        <w:spacing w:line="288" w:lineRule="auto"/>
        <w:jc w:val="center"/>
        <w:rPr>
          <w:rFonts w:ascii="楷体_GB2312" w:eastAsia="楷体_GB2312"/>
          <w:color w:val="000000"/>
          <w:sz w:val="36"/>
          <w:szCs w:val="36"/>
          <w:highlight w:val="none"/>
        </w:rPr>
      </w:pPr>
      <w:r>
        <w:rPr>
          <w:rFonts w:hint="eastAsia" w:ascii="楷体_GB2312" w:eastAsia="楷体_GB2312"/>
          <w:color w:val="000000"/>
          <w:sz w:val="36"/>
          <w:szCs w:val="36"/>
          <w:highlight w:val="none"/>
        </w:rPr>
        <w:t>中华人民共和国生态环境部制</w:t>
      </w:r>
    </w:p>
    <w:p>
      <w:pPr>
        <w:spacing w:line="288" w:lineRule="auto"/>
        <w:ind w:firstLine="1040"/>
        <w:rPr>
          <w:rFonts w:ascii="仿宋_GB2312" w:eastAsia="仿宋_GB2312"/>
          <w:color w:val="000000"/>
          <w:sz w:val="36"/>
          <w:szCs w:val="36"/>
          <w:highlight w:val="none"/>
        </w:rPr>
        <w:sectPr>
          <w:headerReference r:id="rId3" w:type="default"/>
          <w:footerReference r:id="rId4" w:type="default"/>
          <w:footerReference r:id="rId5" w:type="even"/>
          <w:pgSz w:w="11906" w:h="16838"/>
          <w:pgMar w:top="1701" w:right="1531" w:bottom="1701" w:left="1531" w:header="851" w:footer="1077" w:gutter="0"/>
          <w:pgNumType w:fmt="decimal" w:start="21"/>
          <w:cols w:space="1701" w:num="1"/>
          <w:docGrid w:linePitch="360" w:charSpace="0"/>
        </w:sectPr>
      </w:pPr>
    </w:p>
    <w:p>
      <w:pPr>
        <w:spacing w:before="0" w:after="0" w:line="360" w:lineRule="auto"/>
        <w:ind w:left="0" w:right="0" w:firstLine="0"/>
        <w:jc w:val="center"/>
        <w:rPr>
          <w:rFonts w:ascii="宋体" w:hAnsi="宋体" w:eastAsia="宋体"/>
          <w:b/>
          <w:bCs/>
          <w:color w:val="000000"/>
          <w:sz w:val="36"/>
          <w:szCs w:val="36"/>
          <w:highlight w:val="none"/>
        </w:rPr>
      </w:pPr>
      <w:r>
        <w:rPr>
          <w:rFonts w:ascii="宋体" w:hAnsi="宋体" w:eastAsia="宋体"/>
          <w:b/>
          <w:bCs/>
          <w:color w:val="000000"/>
          <w:sz w:val="36"/>
          <w:szCs w:val="36"/>
          <w:highlight w:val="none"/>
        </w:rPr>
        <w:drawing>
          <wp:inline distT="0" distB="0" distL="114300" distR="114300">
            <wp:extent cx="5547360" cy="7849235"/>
            <wp:effectExtent l="0" t="0" r="15240" b="18415"/>
            <wp:docPr id="174" name="图片 174" descr="正式资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正式资质_00"/>
                    <pic:cNvPicPr>
                      <a:picLocks noChangeAspect="1"/>
                    </pic:cNvPicPr>
                  </pic:nvPicPr>
                  <pic:blipFill>
                    <a:blip r:embed="rId19"/>
                    <a:stretch>
                      <a:fillRect/>
                    </a:stretch>
                  </pic:blipFill>
                  <pic:spPr>
                    <a:xfrm>
                      <a:off x="0" y="0"/>
                      <a:ext cx="5547360" cy="7849235"/>
                    </a:xfrm>
                    <a:prstGeom prst="rect">
                      <a:avLst/>
                    </a:prstGeom>
                  </pic:spPr>
                </pic:pic>
              </a:graphicData>
            </a:graphic>
          </wp:inline>
        </w:drawing>
      </w:r>
      <w:r>
        <w:rPr>
          <w:rFonts w:ascii="宋体" w:hAnsi="宋体" w:eastAsia="宋体"/>
          <w:b/>
          <w:bCs/>
          <w:color w:val="000000"/>
          <w:sz w:val="36"/>
          <w:szCs w:val="36"/>
          <w:highlight w:val="none"/>
        </w:rPr>
        <w:drawing>
          <wp:inline distT="0" distB="0" distL="114300" distR="114300">
            <wp:extent cx="5547360" cy="7849235"/>
            <wp:effectExtent l="0" t="0" r="15240" b="18415"/>
            <wp:docPr id="173" name="图片 173" descr="正式资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正式资质_01"/>
                    <pic:cNvPicPr>
                      <a:picLocks noChangeAspect="1"/>
                    </pic:cNvPicPr>
                  </pic:nvPicPr>
                  <pic:blipFill>
                    <a:blip r:embed="rId20"/>
                    <a:stretch>
                      <a:fillRect/>
                    </a:stretch>
                  </pic:blipFill>
                  <pic:spPr>
                    <a:xfrm>
                      <a:off x="0" y="0"/>
                      <a:ext cx="5547360" cy="7849235"/>
                    </a:xfrm>
                    <a:prstGeom prst="rect">
                      <a:avLst/>
                    </a:prstGeom>
                  </pic:spPr>
                </pic:pic>
              </a:graphicData>
            </a:graphic>
          </wp:inline>
        </w:drawing>
      </w:r>
      <w:r>
        <w:rPr>
          <w:rFonts w:ascii="宋体" w:hAnsi="宋体" w:eastAsia="宋体"/>
          <w:b/>
          <w:bCs/>
          <w:color w:val="000000"/>
          <w:sz w:val="36"/>
          <w:szCs w:val="36"/>
          <w:highlight w:val="none"/>
        </w:rPr>
        <w:drawing>
          <wp:inline distT="0" distB="0" distL="114300" distR="114300">
            <wp:extent cx="5547360" cy="7849235"/>
            <wp:effectExtent l="0" t="0" r="15240" b="18415"/>
            <wp:docPr id="172" name="图片 172" descr="正式资质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正式资质_02"/>
                    <pic:cNvPicPr>
                      <a:picLocks noChangeAspect="1"/>
                    </pic:cNvPicPr>
                  </pic:nvPicPr>
                  <pic:blipFill>
                    <a:blip r:embed="rId21"/>
                    <a:stretch>
                      <a:fillRect/>
                    </a:stretch>
                  </pic:blipFill>
                  <pic:spPr>
                    <a:xfrm>
                      <a:off x="0" y="0"/>
                      <a:ext cx="5547360" cy="7849235"/>
                    </a:xfrm>
                    <a:prstGeom prst="rect">
                      <a:avLst/>
                    </a:prstGeom>
                  </pic:spPr>
                </pic:pic>
              </a:graphicData>
            </a:graphic>
          </wp:inline>
        </w:drawing>
      </w:r>
      <w:r>
        <w:rPr>
          <w:rFonts w:ascii="宋体" w:hAnsi="宋体" w:eastAsia="宋体"/>
          <w:b/>
          <w:bCs/>
          <w:color w:val="000000"/>
          <w:sz w:val="36"/>
          <w:szCs w:val="36"/>
          <w:highlight w:val="none"/>
        </w:rPr>
        <w:drawing>
          <wp:inline distT="0" distB="0" distL="114300" distR="114300">
            <wp:extent cx="5547360" cy="7849235"/>
            <wp:effectExtent l="0" t="0" r="15240" b="18415"/>
            <wp:docPr id="171" name="图片 171" descr="正式资质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正式资质_03"/>
                    <pic:cNvPicPr>
                      <a:picLocks noChangeAspect="1"/>
                    </pic:cNvPicPr>
                  </pic:nvPicPr>
                  <pic:blipFill>
                    <a:blip r:embed="rId22"/>
                    <a:stretch>
                      <a:fillRect/>
                    </a:stretch>
                  </pic:blipFill>
                  <pic:spPr>
                    <a:xfrm>
                      <a:off x="0" y="0"/>
                      <a:ext cx="5547360" cy="7849235"/>
                    </a:xfrm>
                    <a:prstGeom prst="rect">
                      <a:avLst/>
                    </a:prstGeom>
                  </pic:spPr>
                </pic:pic>
              </a:graphicData>
            </a:graphic>
          </wp:inline>
        </w:drawing>
      </w:r>
      <w:r>
        <w:rPr>
          <w:rFonts w:ascii="宋体" w:hAnsi="宋体" w:eastAsia="宋体"/>
          <w:b/>
          <w:bCs/>
          <w:color w:val="000000"/>
          <w:sz w:val="36"/>
          <w:szCs w:val="36"/>
          <w:highlight w:val="none"/>
        </w:rPr>
        <w:drawing>
          <wp:inline distT="0" distB="0" distL="114300" distR="114300">
            <wp:extent cx="5547360" cy="7849235"/>
            <wp:effectExtent l="0" t="0" r="15240" b="18415"/>
            <wp:docPr id="170" name="图片 170" descr="正式资质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正式资质_04"/>
                    <pic:cNvPicPr>
                      <a:picLocks noChangeAspect="1"/>
                    </pic:cNvPicPr>
                  </pic:nvPicPr>
                  <pic:blipFill>
                    <a:blip r:embed="rId23"/>
                    <a:stretch>
                      <a:fillRect/>
                    </a:stretch>
                  </pic:blipFill>
                  <pic:spPr>
                    <a:xfrm>
                      <a:off x="0" y="0"/>
                      <a:ext cx="5547360" cy="7849235"/>
                    </a:xfrm>
                    <a:prstGeom prst="rect">
                      <a:avLst/>
                    </a:prstGeom>
                  </pic:spPr>
                </pic:pic>
              </a:graphicData>
            </a:graphic>
          </wp:inline>
        </w:drawing>
      </w:r>
      <w:r>
        <w:rPr>
          <w:rFonts w:ascii="宋体" w:hAnsi="宋体" w:eastAsia="宋体"/>
          <w:b/>
          <w:bCs/>
          <w:color w:val="000000"/>
          <w:sz w:val="36"/>
          <w:szCs w:val="36"/>
          <w:highlight w:val="none"/>
        </w:rPr>
        <w:drawing>
          <wp:inline distT="0" distB="0" distL="114300" distR="114300">
            <wp:extent cx="5547360" cy="7849235"/>
            <wp:effectExtent l="0" t="0" r="15240" b="18415"/>
            <wp:docPr id="169" name="图片 169" descr="正式资质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正式资质_05"/>
                    <pic:cNvPicPr>
                      <a:picLocks noChangeAspect="1"/>
                    </pic:cNvPicPr>
                  </pic:nvPicPr>
                  <pic:blipFill>
                    <a:blip r:embed="rId24"/>
                    <a:stretch>
                      <a:fillRect/>
                    </a:stretch>
                  </pic:blipFill>
                  <pic:spPr>
                    <a:xfrm>
                      <a:off x="0" y="0"/>
                      <a:ext cx="5547360" cy="7849235"/>
                    </a:xfrm>
                    <a:prstGeom prst="rect">
                      <a:avLst/>
                    </a:prstGeom>
                  </pic:spPr>
                </pic:pic>
              </a:graphicData>
            </a:graphic>
          </wp:inline>
        </w:drawing>
      </w:r>
    </w:p>
    <w:p>
      <w:pPr>
        <w:rPr>
          <w:rFonts w:ascii="宋体" w:hAnsi="宋体" w:eastAsia="宋体"/>
          <w:b/>
          <w:bCs/>
          <w:color w:val="000000"/>
          <w:sz w:val="36"/>
          <w:szCs w:val="36"/>
          <w:highlight w:val="none"/>
        </w:rPr>
      </w:pPr>
      <w:r>
        <w:rPr>
          <w:rFonts w:ascii="宋体" w:hAnsi="宋体" w:eastAsia="宋体"/>
          <w:b/>
          <w:bCs/>
          <w:color w:val="000000"/>
          <w:sz w:val="36"/>
          <w:szCs w:val="36"/>
          <w:highlight w:val="none"/>
        </w:rPr>
        <w:br w:type="page"/>
      </w:r>
    </w:p>
    <w:p>
      <w:pPr>
        <w:bidi w:val="0"/>
        <w:jc w:val="center"/>
        <w:rPr>
          <w:b w:val="0"/>
          <w:bCs w:val="0"/>
          <w:sz w:val="28"/>
          <w:szCs w:val="28"/>
        </w:rPr>
      </w:pPr>
      <w:r>
        <w:rPr>
          <w:rFonts w:hint="eastAsia"/>
          <w:b w:val="0"/>
          <w:bCs w:val="0"/>
          <w:sz w:val="28"/>
          <w:szCs w:val="28"/>
          <w:lang w:val="en-US" w:eastAsia="zh-CN"/>
        </w:rPr>
        <w:t>专家修改意见清单</w:t>
      </w:r>
    </w:p>
    <w:tbl>
      <w:tblPr>
        <w:tblStyle w:val="41"/>
        <w:tblW w:w="89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4010"/>
        <w:gridCol w:w="4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01" w:type="dxa"/>
            <w:noWrap w:val="0"/>
            <w:vAlign w:val="center"/>
          </w:tcPr>
          <w:p>
            <w:pPr>
              <w:bidi w:val="0"/>
              <w:spacing w:after="0" w:line="240" w:lineRule="auto"/>
              <w:jc w:val="center"/>
              <w:rPr>
                <w:rFonts w:hint="default"/>
                <w:lang w:val="en-US" w:eastAsia="zh-CN"/>
              </w:rPr>
            </w:pPr>
            <w:r>
              <w:rPr>
                <w:rFonts w:hint="default"/>
                <w:lang w:val="en-US" w:eastAsia="zh-CN"/>
              </w:rPr>
              <w:t>序号</w:t>
            </w:r>
          </w:p>
        </w:tc>
        <w:tc>
          <w:tcPr>
            <w:tcW w:w="4010" w:type="dxa"/>
            <w:noWrap w:val="0"/>
            <w:vAlign w:val="center"/>
          </w:tcPr>
          <w:p>
            <w:pPr>
              <w:bidi w:val="0"/>
              <w:spacing w:after="0" w:line="240" w:lineRule="auto"/>
              <w:jc w:val="center"/>
              <w:rPr>
                <w:rFonts w:hint="default"/>
                <w:lang w:val="en-US" w:eastAsia="zh-CN"/>
              </w:rPr>
            </w:pPr>
            <w:r>
              <w:rPr>
                <w:rFonts w:hint="default"/>
                <w:lang w:val="en-US" w:eastAsia="zh-CN"/>
              </w:rPr>
              <w:t>专家意见</w:t>
            </w:r>
          </w:p>
        </w:tc>
        <w:tc>
          <w:tcPr>
            <w:tcW w:w="4444" w:type="dxa"/>
            <w:noWrap w:val="0"/>
            <w:vAlign w:val="center"/>
          </w:tcPr>
          <w:p>
            <w:pPr>
              <w:bidi w:val="0"/>
              <w:spacing w:after="0" w:line="240" w:lineRule="auto"/>
              <w:jc w:val="center"/>
              <w:rPr>
                <w:rFonts w:hint="default"/>
                <w:lang w:val="en-US" w:eastAsia="zh-CN"/>
              </w:rPr>
            </w:pPr>
            <w:r>
              <w:rPr>
                <w:rFonts w:hint="default"/>
                <w:lang w:val="en-US" w:eastAsia="zh-CN"/>
              </w:rPr>
              <w:t>修改清单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01" w:type="dxa"/>
            <w:noWrap w:val="0"/>
            <w:vAlign w:val="center"/>
          </w:tcPr>
          <w:p>
            <w:pPr>
              <w:bidi w:val="0"/>
              <w:spacing w:after="0" w:line="240" w:lineRule="auto"/>
              <w:rPr>
                <w:rFonts w:hint="default"/>
                <w:lang w:val="en-US" w:eastAsia="zh-CN"/>
              </w:rPr>
            </w:pPr>
            <w:r>
              <w:rPr>
                <w:rFonts w:hint="default"/>
                <w:lang w:val="en-US" w:eastAsia="zh-CN"/>
              </w:rPr>
              <w:t>1</w:t>
            </w:r>
          </w:p>
        </w:tc>
        <w:tc>
          <w:tcPr>
            <w:tcW w:w="4010" w:type="dxa"/>
            <w:noWrap w:val="0"/>
            <w:vAlign w:val="center"/>
          </w:tcPr>
          <w:p>
            <w:pPr>
              <w:bidi w:val="0"/>
              <w:spacing w:after="0" w:line="240" w:lineRule="auto"/>
              <w:rPr>
                <w:rFonts w:hint="default"/>
                <w:lang w:val="en-US" w:eastAsia="zh-CN"/>
              </w:rPr>
            </w:pPr>
            <w:r>
              <w:rPr>
                <w:rFonts w:hint="default"/>
                <w:lang w:val="en-US" w:eastAsia="zh-CN"/>
              </w:rPr>
              <w:t>核实工程建设内容，详细补充说明利旧改建道路的具体改建内容和新建路段的工程内容，是否设置表土临时堆置区。</w:t>
            </w:r>
          </w:p>
        </w:tc>
        <w:tc>
          <w:tcPr>
            <w:tcW w:w="4444" w:type="dxa"/>
            <w:noWrap w:val="0"/>
            <w:vAlign w:val="center"/>
          </w:tcPr>
          <w:p>
            <w:pPr>
              <w:bidi w:val="0"/>
              <w:spacing w:after="0" w:line="240" w:lineRule="auto"/>
              <w:rPr>
                <w:rFonts w:hint="eastAsia"/>
                <w:lang w:val="en-US" w:eastAsia="zh-CN"/>
              </w:rPr>
            </w:pPr>
            <w:r>
              <w:rPr>
                <w:rFonts w:hint="eastAsia"/>
                <w:lang w:val="en-US" w:eastAsia="zh-CN"/>
              </w:rPr>
              <w:t>①</w:t>
            </w:r>
            <w:r>
              <w:rPr>
                <w:rFonts w:hint="default"/>
                <w:lang w:val="en-US" w:eastAsia="zh-CN"/>
              </w:rPr>
              <w:t>核实工程建设内容（P9-1</w:t>
            </w:r>
            <w:r>
              <w:rPr>
                <w:rFonts w:hint="eastAsia"/>
                <w:lang w:val="en-US" w:eastAsia="zh-CN"/>
              </w:rPr>
              <w:t>4</w:t>
            </w:r>
            <w:r>
              <w:rPr>
                <w:rFonts w:hint="default"/>
                <w:lang w:val="en-US" w:eastAsia="zh-CN"/>
              </w:rPr>
              <w:t>）</w:t>
            </w:r>
            <w:r>
              <w:rPr>
                <w:rFonts w:hint="eastAsia"/>
                <w:lang w:val="en-US" w:eastAsia="zh-CN"/>
              </w:rPr>
              <w:t>；</w:t>
            </w:r>
          </w:p>
          <w:p>
            <w:pPr>
              <w:bidi w:val="0"/>
              <w:spacing w:after="0" w:line="240" w:lineRule="auto"/>
              <w:rPr>
                <w:rFonts w:hint="eastAsia"/>
                <w:lang w:val="en-US" w:eastAsia="zh-CN"/>
              </w:rPr>
            </w:pPr>
            <w:r>
              <w:rPr>
                <w:rFonts w:hint="eastAsia"/>
                <w:lang w:val="en-US" w:eastAsia="zh-CN"/>
              </w:rPr>
              <w:t>②已</w:t>
            </w:r>
            <w:r>
              <w:rPr>
                <w:rFonts w:hint="default"/>
                <w:lang w:val="en-US" w:eastAsia="zh-CN"/>
              </w:rPr>
              <w:t>详细补充说明利旧改建道路的具体改建内容和新建路段的工程内容（P</w:t>
            </w:r>
            <w:r>
              <w:rPr>
                <w:rFonts w:hint="eastAsia"/>
                <w:lang w:val="en-US" w:eastAsia="zh-CN"/>
              </w:rPr>
              <w:t>10-11</w:t>
            </w:r>
            <w:r>
              <w:rPr>
                <w:rFonts w:hint="default"/>
                <w:lang w:val="en-US" w:eastAsia="zh-CN"/>
              </w:rPr>
              <w:t>、P13）</w:t>
            </w:r>
            <w:r>
              <w:rPr>
                <w:rFonts w:hint="eastAsia"/>
                <w:lang w:val="en-US" w:eastAsia="zh-CN"/>
              </w:rPr>
              <w:t>；</w:t>
            </w:r>
          </w:p>
          <w:p>
            <w:pPr>
              <w:bidi w:val="0"/>
              <w:spacing w:after="0" w:line="240" w:lineRule="auto"/>
              <w:rPr>
                <w:rFonts w:hint="default"/>
                <w:lang w:val="en-US" w:eastAsia="zh-CN"/>
              </w:rPr>
            </w:pPr>
            <w:r>
              <w:rPr>
                <w:rFonts w:hint="eastAsia"/>
                <w:lang w:val="en-US" w:eastAsia="zh-CN"/>
              </w:rPr>
              <w:t>③已核实本项目</w:t>
            </w:r>
            <w:r>
              <w:rPr>
                <w:rFonts w:hint="default"/>
                <w:lang w:val="en-US" w:eastAsia="zh-CN"/>
              </w:rPr>
              <w:t>表土临时堆置区利用现有道路红线内空间（P1</w:t>
            </w:r>
            <w:r>
              <w:rPr>
                <w:rFonts w:hint="eastAsia"/>
                <w:lang w:val="en-US" w:eastAsia="zh-CN"/>
              </w:rPr>
              <w:t>3</w:t>
            </w: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01" w:type="dxa"/>
            <w:noWrap w:val="0"/>
            <w:vAlign w:val="center"/>
          </w:tcPr>
          <w:p>
            <w:pPr>
              <w:bidi w:val="0"/>
              <w:spacing w:after="0" w:line="240" w:lineRule="auto"/>
              <w:rPr>
                <w:rFonts w:hint="default"/>
                <w:lang w:val="en-US" w:eastAsia="zh-CN"/>
              </w:rPr>
            </w:pPr>
            <w:r>
              <w:rPr>
                <w:rFonts w:hint="default"/>
                <w:lang w:val="en-US" w:eastAsia="zh-CN"/>
              </w:rPr>
              <w:t>2</w:t>
            </w:r>
          </w:p>
        </w:tc>
        <w:tc>
          <w:tcPr>
            <w:tcW w:w="4010" w:type="dxa"/>
            <w:noWrap w:val="0"/>
            <w:vAlign w:val="center"/>
          </w:tcPr>
          <w:p>
            <w:pPr>
              <w:bidi w:val="0"/>
              <w:spacing w:after="0" w:line="240" w:lineRule="auto"/>
              <w:rPr>
                <w:rFonts w:hint="default"/>
                <w:lang w:val="en-US" w:eastAsia="zh-CN"/>
              </w:rPr>
            </w:pPr>
            <w:r>
              <w:rPr>
                <w:rFonts w:hint="default"/>
                <w:lang w:val="en-US" w:eastAsia="zh-CN"/>
              </w:rPr>
              <w:t>强化生态环境现状调查，核实声环境等环保目标分布情况，明确工程拆迁的具体对象信息；核实干道两侧植物（特别是古树名木）分布情况，分析施工影响，提出切实具体的保护措施及要求。</w:t>
            </w:r>
          </w:p>
        </w:tc>
        <w:tc>
          <w:tcPr>
            <w:tcW w:w="4444" w:type="dxa"/>
            <w:noWrap w:val="0"/>
            <w:vAlign w:val="center"/>
          </w:tcPr>
          <w:p>
            <w:pPr>
              <w:bidi w:val="0"/>
              <w:spacing w:after="0" w:line="240" w:lineRule="auto"/>
              <w:rPr>
                <w:rFonts w:hint="eastAsia"/>
                <w:lang w:val="en-US" w:eastAsia="zh-CN"/>
              </w:rPr>
            </w:pPr>
            <w:r>
              <w:rPr>
                <w:rFonts w:hint="eastAsia"/>
                <w:lang w:val="en-US" w:eastAsia="zh-CN"/>
              </w:rPr>
              <w:t>①已</w:t>
            </w:r>
            <w:r>
              <w:rPr>
                <w:rFonts w:hint="default"/>
                <w:lang w:val="en-US" w:eastAsia="zh-CN"/>
              </w:rPr>
              <w:t>强化生态环境现状调查</w:t>
            </w:r>
            <w:r>
              <w:rPr>
                <w:rFonts w:hint="eastAsia"/>
                <w:lang w:val="en-US" w:eastAsia="zh-CN"/>
              </w:rPr>
              <w:t>（P34-35）；</w:t>
            </w:r>
          </w:p>
          <w:p>
            <w:pPr>
              <w:bidi w:val="0"/>
              <w:spacing w:after="0" w:line="240" w:lineRule="auto"/>
              <w:rPr>
                <w:rFonts w:hint="eastAsia"/>
                <w:lang w:val="en-US" w:eastAsia="zh-CN"/>
              </w:rPr>
            </w:pPr>
            <w:r>
              <w:rPr>
                <w:rFonts w:hint="eastAsia"/>
                <w:lang w:val="en-US" w:eastAsia="zh-CN"/>
              </w:rPr>
              <w:t>②</w:t>
            </w:r>
            <w:r>
              <w:rPr>
                <w:rFonts w:hint="default"/>
                <w:lang w:val="en-US" w:eastAsia="zh-CN"/>
              </w:rPr>
              <w:t>核实声环境等环保目标分布情况（P6</w:t>
            </w:r>
            <w:r>
              <w:rPr>
                <w:rFonts w:hint="eastAsia"/>
                <w:lang w:val="en-US" w:eastAsia="zh-CN"/>
              </w:rPr>
              <w:t>6</w:t>
            </w:r>
            <w:r>
              <w:rPr>
                <w:rFonts w:hint="default"/>
                <w:lang w:val="en-US" w:eastAsia="zh-CN"/>
              </w:rPr>
              <w:t>-6</w:t>
            </w:r>
            <w:r>
              <w:rPr>
                <w:rFonts w:hint="eastAsia"/>
                <w:lang w:val="en-US" w:eastAsia="zh-CN"/>
              </w:rPr>
              <w:t>7</w:t>
            </w:r>
            <w:r>
              <w:rPr>
                <w:rFonts w:hint="default"/>
                <w:lang w:val="en-US" w:eastAsia="zh-CN"/>
              </w:rPr>
              <w:t>）</w:t>
            </w:r>
            <w:r>
              <w:rPr>
                <w:rFonts w:hint="eastAsia"/>
                <w:lang w:val="en-US" w:eastAsia="zh-CN"/>
              </w:rPr>
              <w:t>；</w:t>
            </w:r>
          </w:p>
          <w:p>
            <w:pPr>
              <w:bidi w:val="0"/>
              <w:spacing w:after="0" w:line="240" w:lineRule="auto"/>
              <w:rPr>
                <w:rFonts w:hint="default"/>
                <w:lang w:val="en-US" w:eastAsia="zh-CN"/>
              </w:rPr>
            </w:pPr>
            <w:r>
              <w:rPr>
                <w:rFonts w:hint="eastAsia"/>
                <w:lang w:val="en-US" w:eastAsia="zh-CN"/>
              </w:rPr>
              <w:t>③已</w:t>
            </w:r>
            <w:r>
              <w:rPr>
                <w:rFonts w:hint="default"/>
                <w:lang w:val="en-US" w:eastAsia="zh-CN"/>
              </w:rPr>
              <w:t>明确工程拆迁的具体对象信息（P2</w:t>
            </w:r>
            <w:r>
              <w:rPr>
                <w:rFonts w:hint="eastAsia"/>
                <w:lang w:val="en-US" w:eastAsia="zh-CN"/>
              </w:rPr>
              <w:t>9</w:t>
            </w:r>
            <w:r>
              <w:rPr>
                <w:rFonts w:hint="default"/>
                <w:lang w:val="en-US" w:eastAsia="zh-CN"/>
              </w:rPr>
              <w:t>）；</w:t>
            </w:r>
          </w:p>
          <w:p>
            <w:pPr>
              <w:bidi w:val="0"/>
              <w:spacing w:after="0" w:line="240" w:lineRule="auto"/>
              <w:rPr>
                <w:rFonts w:hint="default"/>
                <w:lang w:val="en-US" w:eastAsia="zh-CN"/>
              </w:rPr>
            </w:pPr>
            <w:r>
              <w:rPr>
                <w:rFonts w:hint="eastAsia"/>
                <w:lang w:val="en-US" w:eastAsia="zh-CN"/>
              </w:rPr>
              <w:t>④已</w:t>
            </w:r>
            <w:r>
              <w:rPr>
                <w:rFonts w:hint="default"/>
                <w:lang w:val="en-US" w:eastAsia="zh-CN"/>
              </w:rPr>
              <w:t>核实干道两侧植物分布情况，</w:t>
            </w:r>
            <w:r>
              <w:rPr>
                <w:rFonts w:hint="eastAsia"/>
                <w:lang w:val="en-US" w:eastAsia="zh-CN"/>
              </w:rPr>
              <w:t>本项目沿线不涉及古树名木</w:t>
            </w:r>
            <w:r>
              <w:rPr>
                <w:rFonts w:hint="default"/>
                <w:lang w:val="en-US" w:eastAsia="zh-CN"/>
              </w:rPr>
              <w:t>（P36）</w:t>
            </w:r>
            <w:r>
              <w:rPr>
                <w:rFonts w:hint="eastAsia"/>
                <w:lang w:val="en-US" w:eastAsia="zh-CN"/>
              </w:rPr>
              <w:t>，已</w:t>
            </w:r>
            <w:r>
              <w:rPr>
                <w:rFonts w:hint="default"/>
                <w:lang w:val="en-US" w:eastAsia="zh-CN"/>
              </w:rPr>
              <w:t>分析施工影响</w:t>
            </w:r>
            <w:r>
              <w:rPr>
                <w:rFonts w:hint="eastAsia"/>
                <w:lang w:val="en-US" w:eastAsia="zh-CN"/>
              </w:rPr>
              <w:t>（P41-42）</w:t>
            </w:r>
            <w:r>
              <w:rPr>
                <w:rFonts w:hint="default"/>
                <w:lang w:val="en-US" w:eastAsia="zh-CN"/>
              </w:rPr>
              <w:t>，</w:t>
            </w:r>
            <w:r>
              <w:rPr>
                <w:rFonts w:hint="eastAsia"/>
                <w:lang w:val="en-US" w:eastAsia="zh-CN"/>
              </w:rPr>
              <w:t>已</w:t>
            </w:r>
            <w:r>
              <w:rPr>
                <w:rFonts w:hint="default"/>
                <w:lang w:val="en-US" w:eastAsia="zh-CN"/>
              </w:rPr>
              <w:t>提出切实具体的保护措施及要求（P50）。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jc w:val="center"/>
        </w:trPr>
        <w:tc>
          <w:tcPr>
            <w:tcW w:w="501" w:type="dxa"/>
            <w:noWrap w:val="0"/>
            <w:vAlign w:val="center"/>
          </w:tcPr>
          <w:p>
            <w:pPr>
              <w:bidi w:val="0"/>
              <w:spacing w:after="0" w:line="240" w:lineRule="auto"/>
              <w:rPr>
                <w:rFonts w:hint="default"/>
                <w:lang w:val="en-US" w:eastAsia="zh-CN"/>
              </w:rPr>
            </w:pPr>
            <w:r>
              <w:rPr>
                <w:rFonts w:hint="default"/>
                <w:lang w:val="en-US" w:eastAsia="zh-CN"/>
              </w:rPr>
              <w:t>3</w:t>
            </w:r>
          </w:p>
        </w:tc>
        <w:tc>
          <w:tcPr>
            <w:tcW w:w="4010" w:type="dxa"/>
            <w:noWrap w:val="0"/>
            <w:vAlign w:val="center"/>
          </w:tcPr>
          <w:p>
            <w:pPr>
              <w:bidi w:val="0"/>
              <w:spacing w:after="0" w:line="240" w:lineRule="auto"/>
              <w:rPr>
                <w:rFonts w:hint="default"/>
                <w:lang w:val="en-US" w:eastAsia="zh-CN"/>
              </w:rPr>
            </w:pPr>
            <w:r>
              <w:rPr>
                <w:rFonts w:hint="default"/>
                <w:lang w:val="en-US" w:eastAsia="zh-CN"/>
              </w:rPr>
              <w:t>细化补充本项目土石方平衡分析，明确各路段开挖土石方量。</w:t>
            </w:r>
          </w:p>
        </w:tc>
        <w:tc>
          <w:tcPr>
            <w:tcW w:w="4444" w:type="dxa"/>
            <w:noWrap w:val="0"/>
            <w:vAlign w:val="center"/>
          </w:tcPr>
          <w:p>
            <w:pPr>
              <w:bidi w:val="0"/>
              <w:spacing w:after="0" w:line="240" w:lineRule="auto"/>
              <w:rPr>
                <w:rFonts w:hint="default"/>
                <w:lang w:val="en-US" w:eastAsia="zh-CN"/>
              </w:rPr>
            </w:pPr>
            <w:r>
              <w:rPr>
                <w:rFonts w:hint="eastAsia"/>
                <w:lang w:val="en-US" w:eastAsia="zh-CN"/>
              </w:rPr>
              <w:t>已</w:t>
            </w:r>
            <w:r>
              <w:rPr>
                <w:rFonts w:hint="default"/>
                <w:lang w:val="en-US" w:eastAsia="zh-CN"/>
              </w:rPr>
              <w:t>细化</w:t>
            </w:r>
            <w:r>
              <w:rPr>
                <w:rFonts w:hint="eastAsia"/>
                <w:lang w:val="en-US" w:eastAsia="zh-CN"/>
              </w:rPr>
              <w:t>并</w:t>
            </w:r>
            <w:r>
              <w:rPr>
                <w:rFonts w:hint="default"/>
                <w:lang w:val="en-US" w:eastAsia="zh-CN"/>
              </w:rPr>
              <w:t>补充本项目土石方平衡分析，</w:t>
            </w:r>
            <w:r>
              <w:rPr>
                <w:rFonts w:hint="eastAsia"/>
                <w:lang w:val="en-US" w:eastAsia="zh-CN"/>
              </w:rPr>
              <w:t>并</w:t>
            </w:r>
            <w:r>
              <w:rPr>
                <w:rFonts w:hint="default"/>
                <w:lang w:val="en-US" w:eastAsia="zh-CN"/>
              </w:rPr>
              <w:t>明确各路段开挖土石方量（P23-28）。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01" w:type="dxa"/>
            <w:noWrap w:val="0"/>
            <w:vAlign w:val="center"/>
          </w:tcPr>
          <w:p>
            <w:pPr>
              <w:bidi w:val="0"/>
              <w:spacing w:after="0" w:line="240" w:lineRule="auto"/>
              <w:rPr>
                <w:rFonts w:hint="default"/>
                <w:lang w:val="en-US" w:eastAsia="zh-CN"/>
              </w:rPr>
            </w:pPr>
            <w:r>
              <w:rPr>
                <w:rFonts w:hint="default"/>
                <w:lang w:val="en-US" w:eastAsia="zh-CN"/>
              </w:rPr>
              <w:t>4</w:t>
            </w:r>
          </w:p>
        </w:tc>
        <w:tc>
          <w:tcPr>
            <w:tcW w:w="4010" w:type="dxa"/>
            <w:noWrap w:val="0"/>
            <w:vAlign w:val="center"/>
          </w:tcPr>
          <w:p>
            <w:pPr>
              <w:bidi w:val="0"/>
              <w:spacing w:after="0" w:line="240" w:lineRule="auto"/>
              <w:rPr>
                <w:rFonts w:hint="default"/>
                <w:lang w:val="en-US" w:eastAsia="zh-CN"/>
              </w:rPr>
            </w:pPr>
            <w:r>
              <w:rPr>
                <w:rFonts w:hint="default"/>
                <w:lang w:val="en-US" w:eastAsia="zh-CN"/>
              </w:rPr>
              <w:t>细化项目施工期废气、废水、固废等污染防治措施。强化扬尘污染防治，明确居民相对集中的区域应当设施工围档，明确路基施工、取土、弃土应当采取湿法作业的具体工程措施（如洒水车、洒水频次，喷雾机设置等），施工区域以内的裸露地要防尘覆盖的具体要求，构建车辆冲洗平台，确保进、出施工区域的车辆应当清洗干净；补充施工临建区废水排放对环境的影响分析，细化项目水污染防治措施（干道紧邻潇水河）。</w:t>
            </w:r>
          </w:p>
        </w:tc>
        <w:tc>
          <w:tcPr>
            <w:tcW w:w="4444" w:type="dxa"/>
            <w:noWrap w:val="0"/>
            <w:vAlign w:val="center"/>
          </w:tcPr>
          <w:p>
            <w:pPr>
              <w:bidi w:val="0"/>
              <w:spacing w:after="0" w:line="240" w:lineRule="auto"/>
              <w:rPr>
                <w:rFonts w:hint="default"/>
                <w:lang w:val="en-US" w:eastAsia="zh-CN"/>
              </w:rPr>
            </w:pPr>
            <w:r>
              <w:rPr>
                <w:rFonts w:hint="eastAsia"/>
                <w:lang w:val="en-US" w:eastAsia="zh-CN"/>
              </w:rPr>
              <w:t>①已</w:t>
            </w:r>
            <w:r>
              <w:rPr>
                <w:rFonts w:hint="default"/>
                <w:lang w:val="en-US" w:eastAsia="zh-CN"/>
              </w:rPr>
              <w:t>细化项目施工期废气、废水、固废等污染防治措施</w:t>
            </w:r>
            <w:r>
              <w:rPr>
                <w:rFonts w:hint="eastAsia"/>
                <w:lang w:val="en-US" w:eastAsia="zh-CN"/>
              </w:rPr>
              <w:t>（详见五、主要生态环境保护措施）；</w:t>
            </w:r>
          </w:p>
          <w:p>
            <w:pPr>
              <w:bidi w:val="0"/>
              <w:spacing w:after="0" w:line="240" w:lineRule="auto"/>
              <w:rPr>
                <w:rFonts w:hint="default"/>
                <w:lang w:val="en-US" w:eastAsia="zh-CN"/>
              </w:rPr>
            </w:pPr>
            <w:r>
              <w:rPr>
                <w:rFonts w:hint="eastAsia"/>
                <w:lang w:val="en-US" w:eastAsia="zh-CN"/>
              </w:rPr>
              <w:t>②已</w:t>
            </w:r>
            <w:r>
              <w:rPr>
                <w:rFonts w:hint="default"/>
                <w:lang w:val="en-US" w:eastAsia="zh-CN"/>
              </w:rPr>
              <w:t>强化扬尘污染防治，明确居民相对集中的区域应当设施工围档</w:t>
            </w:r>
            <w:r>
              <w:rPr>
                <w:rFonts w:hint="eastAsia"/>
                <w:lang w:val="en-US" w:eastAsia="zh-CN"/>
              </w:rPr>
              <w:t>（P51）</w:t>
            </w:r>
            <w:r>
              <w:rPr>
                <w:rFonts w:hint="default"/>
                <w:lang w:val="en-US" w:eastAsia="zh-CN"/>
              </w:rPr>
              <w:t>，</w:t>
            </w:r>
            <w:r>
              <w:rPr>
                <w:rFonts w:hint="eastAsia"/>
                <w:lang w:val="en-US" w:eastAsia="zh-CN"/>
              </w:rPr>
              <w:t>已</w:t>
            </w:r>
            <w:r>
              <w:rPr>
                <w:rFonts w:hint="default"/>
                <w:lang w:val="en-US" w:eastAsia="zh-CN"/>
              </w:rPr>
              <w:t>明确路基施工、取土、弃土应采取湿法作业的具体工程措施（如洒水车、洒水频次，喷雾机设置等）</w:t>
            </w:r>
            <w:r>
              <w:rPr>
                <w:rFonts w:hint="eastAsia"/>
                <w:lang w:val="en-US" w:eastAsia="zh-CN"/>
              </w:rPr>
              <w:t>（P51）</w:t>
            </w:r>
            <w:r>
              <w:rPr>
                <w:rFonts w:hint="default"/>
                <w:lang w:val="en-US" w:eastAsia="zh-CN"/>
              </w:rPr>
              <w:t>，</w:t>
            </w:r>
            <w:r>
              <w:rPr>
                <w:rFonts w:hint="eastAsia"/>
                <w:lang w:val="en-US" w:eastAsia="zh-CN"/>
              </w:rPr>
              <w:t>已强化</w:t>
            </w:r>
            <w:r>
              <w:rPr>
                <w:rFonts w:hint="default"/>
                <w:lang w:val="en-US" w:eastAsia="zh-CN"/>
              </w:rPr>
              <w:t>施工区域以内的裸露地要防尘覆盖的具体要求</w:t>
            </w:r>
            <w:r>
              <w:rPr>
                <w:rFonts w:hint="eastAsia"/>
                <w:lang w:val="en-US" w:eastAsia="zh-CN"/>
              </w:rPr>
              <w:t>（P52）</w:t>
            </w:r>
            <w:r>
              <w:rPr>
                <w:rFonts w:hint="default"/>
                <w:lang w:val="en-US" w:eastAsia="zh-CN"/>
              </w:rPr>
              <w:t>，</w:t>
            </w:r>
            <w:r>
              <w:rPr>
                <w:rFonts w:hint="eastAsia"/>
                <w:lang w:val="en-US" w:eastAsia="zh-CN"/>
              </w:rPr>
              <w:t>已强化要求</w:t>
            </w:r>
            <w:r>
              <w:rPr>
                <w:rFonts w:hint="default"/>
                <w:lang w:val="en-US" w:eastAsia="zh-CN"/>
              </w:rPr>
              <w:t>构建车辆冲洗平台，确保进、出施工区域的车辆应当清洗干净</w:t>
            </w:r>
            <w:r>
              <w:rPr>
                <w:rFonts w:hint="eastAsia"/>
                <w:lang w:val="en-US" w:eastAsia="zh-CN"/>
              </w:rPr>
              <w:t>（P51）</w:t>
            </w:r>
            <w:r>
              <w:rPr>
                <w:rFonts w:hint="default"/>
                <w:lang w:val="en-US" w:eastAsia="zh-CN"/>
              </w:rPr>
              <w:t>；</w:t>
            </w:r>
          </w:p>
          <w:p>
            <w:pPr>
              <w:bidi w:val="0"/>
              <w:spacing w:after="0" w:line="240" w:lineRule="auto"/>
              <w:rPr>
                <w:rFonts w:hint="default"/>
                <w:lang w:val="en-US" w:eastAsia="zh-CN"/>
              </w:rPr>
            </w:pPr>
            <w:r>
              <w:rPr>
                <w:rFonts w:hint="eastAsia"/>
                <w:lang w:val="en-US" w:eastAsia="zh-CN"/>
              </w:rPr>
              <w:t>③已</w:t>
            </w:r>
            <w:r>
              <w:rPr>
                <w:rFonts w:hint="default"/>
                <w:lang w:val="en-US" w:eastAsia="zh-CN"/>
              </w:rPr>
              <w:t>补充施工临建区废水排放对环境的影响分析，细化项目水污染防治措施（干道紧邻潇水河）（P43、P50-51）。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01" w:type="dxa"/>
            <w:noWrap w:val="0"/>
            <w:vAlign w:val="center"/>
          </w:tcPr>
          <w:p>
            <w:pPr>
              <w:bidi w:val="0"/>
              <w:spacing w:after="0" w:line="240" w:lineRule="auto"/>
              <w:rPr>
                <w:rFonts w:hint="default"/>
                <w:lang w:val="en-US" w:eastAsia="zh-CN"/>
              </w:rPr>
            </w:pPr>
            <w:r>
              <w:rPr>
                <w:rFonts w:hint="default"/>
                <w:lang w:val="en-US" w:eastAsia="zh-CN"/>
              </w:rPr>
              <w:t>5</w:t>
            </w:r>
          </w:p>
        </w:tc>
        <w:tc>
          <w:tcPr>
            <w:tcW w:w="4010" w:type="dxa"/>
            <w:noWrap w:val="0"/>
            <w:vAlign w:val="center"/>
          </w:tcPr>
          <w:p>
            <w:pPr>
              <w:bidi w:val="0"/>
              <w:spacing w:after="0" w:line="240" w:lineRule="auto"/>
              <w:rPr>
                <w:rFonts w:hint="default"/>
                <w:lang w:val="en-US" w:eastAsia="zh-CN"/>
              </w:rPr>
            </w:pPr>
            <w:r>
              <w:rPr>
                <w:rFonts w:hint="default"/>
                <w:lang w:val="en-US" w:eastAsia="zh-CN"/>
              </w:rPr>
              <w:t>强化水环境风险、生态环境风险评价、固废（弃渣、拆迁废弃物等）的影响评价。</w:t>
            </w:r>
          </w:p>
        </w:tc>
        <w:tc>
          <w:tcPr>
            <w:tcW w:w="4444" w:type="dxa"/>
            <w:noWrap w:val="0"/>
            <w:vAlign w:val="center"/>
          </w:tcPr>
          <w:p>
            <w:pPr>
              <w:bidi w:val="0"/>
              <w:spacing w:after="0" w:line="240" w:lineRule="auto"/>
              <w:rPr>
                <w:rFonts w:hint="eastAsia"/>
                <w:lang w:val="en-US" w:eastAsia="zh-CN"/>
              </w:rPr>
            </w:pPr>
            <w:r>
              <w:rPr>
                <w:rFonts w:hint="eastAsia"/>
                <w:lang w:val="en-US" w:eastAsia="zh-CN"/>
              </w:rPr>
              <w:t>①已</w:t>
            </w:r>
            <w:r>
              <w:rPr>
                <w:rFonts w:hint="default"/>
                <w:lang w:val="en-US" w:eastAsia="zh-CN"/>
              </w:rPr>
              <w:t>强化水环境风险（P43）</w:t>
            </w:r>
            <w:r>
              <w:rPr>
                <w:rFonts w:hint="eastAsia"/>
                <w:lang w:val="en-US" w:eastAsia="zh-CN"/>
              </w:rPr>
              <w:t>；</w:t>
            </w:r>
          </w:p>
          <w:p>
            <w:pPr>
              <w:bidi w:val="0"/>
              <w:spacing w:after="0" w:line="240" w:lineRule="auto"/>
              <w:rPr>
                <w:rFonts w:hint="default"/>
                <w:lang w:val="en-US" w:eastAsia="zh-CN"/>
              </w:rPr>
            </w:pPr>
            <w:r>
              <w:rPr>
                <w:rFonts w:hint="eastAsia"/>
                <w:lang w:val="en-US" w:eastAsia="zh-CN"/>
              </w:rPr>
              <w:t>②已强化</w:t>
            </w:r>
            <w:r>
              <w:rPr>
                <w:rFonts w:hint="default"/>
                <w:lang w:val="en-US" w:eastAsia="zh-CN"/>
              </w:rPr>
              <w:t>生态环境风险评价（P50）</w:t>
            </w:r>
            <w:r>
              <w:rPr>
                <w:rFonts w:hint="eastAsia"/>
                <w:lang w:val="en-US" w:eastAsia="zh-CN"/>
              </w:rPr>
              <w:t>；</w:t>
            </w:r>
          </w:p>
          <w:p>
            <w:pPr>
              <w:bidi w:val="0"/>
              <w:spacing w:after="0" w:line="240" w:lineRule="auto"/>
              <w:rPr>
                <w:rFonts w:hint="default"/>
                <w:lang w:val="en-US" w:eastAsia="zh-CN"/>
              </w:rPr>
            </w:pPr>
            <w:r>
              <w:rPr>
                <w:rFonts w:hint="eastAsia"/>
                <w:lang w:val="en-US" w:eastAsia="zh-CN"/>
              </w:rPr>
              <w:t>③已强化</w:t>
            </w:r>
            <w:r>
              <w:rPr>
                <w:rFonts w:hint="default"/>
                <w:lang w:val="en-US" w:eastAsia="zh-CN"/>
              </w:rPr>
              <w:t>固废（弃渣、拆迁废弃物等）的影响评价（P53）</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01" w:type="dxa"/>
            <w:noWrap w:val="0"/>
            <w:vAlign w:val="center"/>
          </w:tcPr>
          <w:p>
            <w:pPr>
              <w:bidi w:val="0"/>
              <w:spacing w:after="0" w:line="240" w:lineRule="auto"/>
              <w:rPr>
                <w:rFonts w:hint="default"/>
                <w:lang w:val="en-US" w:eastAsia="zh-CN"/>
              </w:rPr>
            </w:pPr>
            <w:r>
              <w:rPr>
                <w:rFonts w:hint="eastAsia"/>
                <w:lang w:val="en-US" w:eastAsia="zh-CN"/>
              </w:rPr>
              <w:t>6</w:t>
            </w:r>
          </w:p>
        </w:tc>
        <w:tc>
          <w:tcPr>
            <w:tcW w:w="4010" w:type="dxa"/>
            <w:noWrap w:val="0"/>
            <w:vAlign w:val="center"/>
          </w:tcPr>
          <w:p>
            <w:pPr>
              <w:bidi w:val="0"/>
              <w:spacing w:after="0" w:line="240" w:lineRule="auto"/>
              <w:rPr>
                <w:rFonts w:hint="default"/>
                <w:lang w:val="en-US" w:eastAsia="zh-CN"/>
              </w:rPr>
            </w:pPr>
            <w:r>
              <w:rPr>
                <w:rFonts w:hint="default"/>
                <w:lang w:val="en-US" w:eastAsia="zh-CN"/>
              </w:rPr>
              <w:t>核实声环境影响预测结果、敏感点噪声预测结果和干道两侧达标距离和控规建议。</w:t>
            </w:r>
          </w:p>
        </w:tc>
        <w:tc>
          <w:tcPr>
            <w:tcW w:w="4444" w:type="dxa"/>
            <w:noWrap w:val="0"/>
            <w:vAlign w:val="center"/>
          </w:tcPr>
          <w:p>
            <w:pPr>
              <w:bidi w:val="0"/>
              <w:spacing w:after="0" w:line="240" w:lineRule="auto"/>
              <w:rPr>
                <w:rFonts w:hint="default"/>
                <w:lang w:val="en-US" w:eastAsia="zh-CN"/>
              </w:rPr>
            </w:pPr>
            <w:r>
              <w:rPr>
                <w:rFonts w:hint="eastAsia"/>
                <w:lang w:val="en-US" w:eastAsia="zh-CN"/>
              </w:rPr>
              <w:t>①已</w:t>
            </w:r>
            <w:r>
              <w:rPr>
                <w:rFonts w:hint="default"/>
                <w:lang w:val="en-US" w:eastAsia="zh-CN"/>
              </w:rPr>
              <w:t>核实声环境影响预测结果（P83）</w:t>
            </w:r>
            <w:r>
              <w:rPr>
                <w:rFonts w:hint="eastAsia"/>
                <w:lang w:val="en-US" w:eastAsia="zh-CN"/>
              </w:rPr>
              <w:t>和</w:t>
            </w:r>
            <w:r>
              <w:rPr>
                <w:rFonts w:hint="default"/>
                <w:lang w:val="en-US" w:eastAsia="zh-CN"/>
              </w:rPr>
              <w:t>敏感点噪声预测结果（P85）和干道两侧达标距离（P84）和控规建议（P88）。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01" w:type="dxa"/>
            <w:noWrap w:val="0"/>
            <w:vAlign w:val="center"/>
          </w:tcPr>
          <w:p>
            <w:pPr>
              <w:bidi w:val="0"/>
              <w:spacing w:after="0" w:line="240" w:lineRule="auto"/>
              <w:rPr>
                <w:rFonts w:hint="default"/>
                <w:lang w:val="en-US" w:eastAsia="zh-CN"/>
              </w:rPr>
            </w:pPr>
            <w:r>
              <w:rPr>
                <w:rFonts w:hint="eastAsia"/>
                <w:lang w:val="en-US" w:eastAsia="zh-CN"/>
              </w:rPr>
              <w:t>7</w:t>
            </w:r>
          </w:p>
        </w:tc>
        <w:tc>
          <w:tcPr>
            <w:tcW w:w="4010" w:type="dxa"/>
            <w:noWrap w:val="0"/>
            <w:vAlign w:val="center"/>
          </w:tcPr>
          <w:p>
            <w:pPr>
              <w:bidi w:val="0"/>
              <w:spacing w:after="0" w:line="240" w:lineRule="auto"/>
              <w:rPr>
                <w:rFonts w:hint="default"/>
                <w:lang w:val="en-US" w:eastAsia="zh-CN"/>
              </w:rPr>
            </w:pPr>
            <w:r>
              <w:rPr>
                <w:rFonts w:hint="default"/>
                <w:lang w:val="en-US" w:eastAsia="zh-CN"/>
              </w:rPr>
              <w:t>细化补充项目环境监测内容、完善环境监理内容，核实项目环保投资及“三同时”验收一览表内容。</w:t>
            </w:r>
          </w:p>
        </w:tc>
        <w:tc>
          <w:tcPr>
            <w:tcW w:w="4444" w:type="dxa"/>
            <w:noWrap w:val="0"/>
            <w:vAlign w:val="center"/>
          </w:tcPr>
          <w:p>
            <w:pPr>
              <w:bidi w:val="0"/>
              <w:spacing w:after="0" w:line="240" w:lineRule="auto"/>
              <w:rPr>
                <w:rFonts w:hint="eastAsia"/>
                <w:lang w:val="en-US" w:eastAsia="zh-CN"/>
              </w:rPr>
            </w:pPr>
            <w:r>
              <w:rPr>
                <w:rFonts w:hint="eastAsia"/>
                <w:lang w:val="en-US" w:eastAsia="zh-CN"/>
              </w:rPr>
              <w:t>①已</w:t>
            </w:r>
            <w:r>
              <w:rPr>
                <w:rFonts w:hint="default"/>
                <w:lang w:val="en-US" w:eastAsia="zh-CN"/>
              </w:rPr>
              <w:t>细化补充项目环境监测内容（P57）</w:t>
            </w:r>
            <w:r>
              <w:rPr>
                <w:rFonts w:hint="eastAsia"/>
                <w:lang w:val="en-US" w:eastAsia="zh-CN"/>
              </w:rPr>
              <w:t>；</w:t>
            </w:r>
          </w:p>
          <w:p>
            <w:pPr>
              <w:bidi w:val="0"/>
              <w:spacing w:after="0" w:line="240" w:lineRule="auto"/>
              <w:rPr>
                <w:rFonts w:hint="eastAsia"/>
                <w:lang w:val="en-US" w:eastAsia="zh-CN"/>
              </w:rPr>
            </w:pPr>
            <w:r>
              <w:rPr>
                <w:rFonts w:hint="eastAsia"/>
                <w:lang w:val="en-US" w:eastAsia="zh-CN"/>
              </w:rPr>
              <w:t>②</w:t>
            </w:r>
            <w:r>
              <w:rPr>
                <w:rFonts w:hint="default"/>
                <w:lang w:val="en-US" w:eastAsia="zh-CN"/>
              </w:rPr>
              <w:t>完善环境监理内容（P53-54）</w:t>
            </w:r>
            <w:r>
              <w:rPr>
                <w:rFonts w:hint="eastAsia"/>
                <w:lang w:val="en-US" w:eastAsia="zh-CN"/>
              </w:rPr>
              <w:t>；</w:t>
            </w:r>
          </w:p>
          <w:p>
            <w:pPr>
              <w:bidi w:val="0"/>
              <w:spacing w:after="0" w:line="240" w:lineRule="auto"/>
              <w:rPr>
                <w:rFonts w:hint="default"/>
                <w:lang w:val="en-US" w:eastAsia="zh-CN"/>
              </w:rPr>
            </w:pPr>
            <w:r>
              <w:rPr>
                <w:rFonts w:hint="eastAsia"/>
                <w:lang w:val="en-US" w:eastAsia="zh-CN"/>
              </w:rPr>
              <w:t>已</w:t>
            </w:r>
            <w:r>
              <w:rPr>
                <w:rFonts w:hint="default"/>
                <w:lang w:val="en-US" w:eastAsia="zh-CN"/>
              </w:rPr>
              <w:t>核实项目环保投资（P58）及“三同时”验收一览表内容（P57）。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501" w:type="dxa"/>
            <w:noWrap w:val="0"/>
            <w:vAlign w:val="center"/>
          </w:tcPr>
          <w:p>
            <w:pPr>
              <w:bidi w:val="0"/>
              <w:spacing w:after="0" w:line="240" w:lineRule="auto"/>
              <w:rPr>
                <w:rFonts w:hint="default"/>
                <w:lang w:val="en-US" w:eastAsia="zh-CN"/>
              </w:rPr>
            </w:pPr>
            <w:r>
              <w:rPr>
                <w:rFonts w:hint="eastAsia"/>
                <w:lang w:val="en-US" w:eastAsia="zh-CN"/>
              </w:rPr>
              <w:t>8</w:t>
            </w:r>
          </w:p>
        </w:tc>
        <w:tc>
          <w:tcPr>
            <w:tcW w:w="4010" w:type="dxa"/>
            <w:noWrap w:val="0"/>
            <w:vAlign w:val="center"/>
          </w:tcPr>
          <w:p>
            <w:pPr>
              <w:bidi w:val="0"/>
              <w:spacing w:after="0" w:line="240" w:lineRule="auto"/>
              <w:rPr>
                <w:rFonts w:hint="default"/>
                <w:lang w:val="en-US" w:eastAsia="zh-CN"/>
              </w:rPr>
            </w:pPr>
            <w:r>
              <w:rPr>
                <w:rFonts w:hint="default"/>
                <w:lang w:val="en-US" w:eastAsia="zh-CN"/>
              </w:rPr>
              <w:t>完善相关附图附件</w:t>
            </w:r>
          </w:p>
        </w:tc>
        <w:tc>
          <w:tcPr>
            <w:tcW w:w="4444" w:type="dxa"/>
            <w:noWrap w:val="0"/>
            <w:vAlign w:val="center"/>
          </w:tcPr>
          <w:p>
            <w:pPr>
              <w:bidi w:val="0"/>
              <w:spacing w:after="0" w:line="240" w:lineRule="auto"/>
              <w:rPr>
                <w:rFonts w:hint="default"/>
                <w:lang w:val="en-US" w:eastAsia="zh-CN"/>
              </w:rPr>
            </w:pPr>
            <w:r>
              <w:rPr>
                <w:rFonts w:hint="eastAsia"/>
                <w:lang w:val="en-US" w:eastAsia="zh-CN"/>
              </w:rPr>
              <w:t>已完善附件7、附图4、附图9</w:t>
            </w:r>
          </w:p>
        </w:tc>
      </w:tr>
    </w:tbl>
    <w:p>
      <w:pPr>
        <w:jc w:val="center"/>
        <w:rPr>
          <w:rFonts w:ascii="宋体" w:hAnsi="宋体" w:eastAsia="宋体"/>
          <w:b/>
          <w:bCs/>
          <w:color w:val="000000"/>
          <w:sz w:val="36"/>
          <w:szCs w:val="36"/>
          <w:highlight w:val="none"/>
        </w:rPr>
      </w:pPr>
    </w:p>
    <w:p>
      <w:pPr>
        <w:jc w:val="center"/>
        <w:rPr>
          <w:rFonts w:ascii="宋体" w:hAnsi="宋体" w:eastAsia="宋体"/>
          <w:b/>
          <w:bCs/>
          <w:color w:val="000000"/>
          <w:sz w:val="36"/>
          <w:szCs w:val="36"/>
          <w:highlight w:val="none"/>
        </w:rPr>
      </w:pPr>
      <w:r>
        <w:rPr>
          <w:rFonts w:ascii="宋体" w:hAnsi="宋体" w:eastAsia="宋体"/>
          <w:b/>
          <w:bCs/>
          <w:color w:val="000000"/>
          <w:sz w:val="36"/>
          <w:szCs w:val="36"/>
          <w:highlight w:val="none"/>
        </w:rPr>
        <w:br w:type="page"/>
      </w:r>
    </w:p>
    <w:p>
      <w:pPr>
        <w:spacing w:before="0" w:after="0" w:line="360" w:lineRule="auto"/>
        <w:ind w:left="0" w:right="0" w:firstLine="0"/>
        <w:jc w:val="center"/>
        <w:rPr>
          <w:b/>
          <w:bCs/>
          <w:color w:val="000000"/>
          <w:sz w:val="36"/>
          <w:szCs w:val="36"/>
          <w:highlight w:val="none"/>
        </w:rPr>
      </w:pPr>
      <w:r>
        <w:rPr>
          <w:rFonts w:ascii="宋体" w:hAnsi="宋体" w:eastAsia="宋体"/>
          <w:b/>
          <w:bCs/>
          <w:color w:val="000000"/>
          <w:sz w:val="36"/>
          <w:szCs w:val="36"/>
          <w:highlight w:val="none"/>
        </w:rPr>
        <w:t>目</w:t>
      </w:r>
      <w:r>
        <w:rPr>
          <w:rFonts w:hint="eastAsia" w:ascii="宋体" w:hAnsi="宋体"/>
          <w:b/>
          <w:bCs/>
          <w:color w:val="000000"/>
          <w:sz w:val="36"/>
          <w:szCs w:val="36"/>
          <w:highlight w:val="none"/>
          <w:lang w:val="en-US" w:eastAsia="zh-CN"/>
        </w:rPr>
        <w:t xml:space="preserve">  </w:t>
      </w:r>
      <w:r>
        <w:rPr>
          <w:rFonts w:ascii="宋体" w:hAnsi="宋体" w:eastAsia="宋体"/>
          <w:b/>
          <w:bCs/>
          <w:color w:val="000000"/>
          <w:sz w:val="36"/>
          <w:szCs w:val="36"/>
          <w:highlight w:val="none"/>
        </w:rPr>
        <w:t>录</w:t>
      </w:r>
    </w:p>
    <w:p>
      <w:pPr>
        <w:pStyle w:val="26"/>
        <w:tabs>
          <w:tab w:val="right" w:leader="hyphen" w:pos="8739"/>
        </w:tabs>
        <w:rPr>
          <w:rFonts w:hint="eastAsia" w:ascii="楷体" w:hAnsi="楷体" w:eastAsia="楷体" w:cs="楷体"/>
        </w:rPr>
      </w:pPr>
      <w:r>
        <w:rPr>
          <w:rFonts w:hint="eastAsia" w:ascii="楷体" w:hAnsi="楷体" w:eastAsia="楷体" w:cs="楷体"/>
          <w:color w:val="000000"/>
          <w:sz w:val="28"/>
          <w:szCs w:val="28"/>
          <w:highlight w:val="none"/>
        </w:rPr>
        <w:fldChar w:fldCharType="begin"/>
      </w:r>
      <w:r>
        <w:rPr>
          <w:rFonts w:hint="eastAsia" w:ascii="楷体" w:hAnsi="楷体" w:eastAsia="楷体" w:cs="楷体"/>
          <w:color w:val="000000"/>
          <w:sz w:val="28"/>
          <w:szCs w:val="28"/>
          <w:highlight w:val="none"/>
        </w:rPr>
        <w:instrText xml:space="preserve">TOC \o "1-1" \h \u </w:instrText>
      </w:r>
      <w:r>
        <w:rPr>
          <w:rFonts w:hint="eastAsia" w:ascii="楷体" w:hAnsi="楷体" w:eastAsia="楷体" w:cs="楷体"/>
          <w:color w:val="000000"/>
          <w:sz w:val="28"/>
          <w:szCs w:val="28"/>
          <w:highlight w:val="none"/>
        </w:rPr>
        <w:fldChar w:fldCharType="separate"/>
      </w: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_Toc5447 </w:instrText>
      </w:r>
      <w:r>
        <w:rPr>
          <w:rFonts w:hint="eastAsia" w:ascii="楷体" w:hAnsi="楷体" w:eastAsia="楷体" w:cs="楷体"/>
          <w:szCs w:val="28"/>
          <w:highlight w:val="none"/>
        </w:rPr>
        <w:fldChar w:fldCharType="separate"/>
      </w:r>
      <w:r>
        <w:rPr>
          <w:rFonts w:hint="eastAsia" w:ascii="楷体" w:hAnsi="楷体" w:eastAsia="楷体" w:cs="楷体"/>
          <w:szCs w:val="30"/>
          <w:highlight w:val="none"/>
        </w:rPr>
        <w:t>一、建设项目基本情况</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_Toc5447 \h </w:instrText>
      </w:r>
      <w:r>
        <w:rPr>
          <w:rFonts w:hint="eastAsia" w:ascii="楷体" w:hAnsi="楷体" w:eastAsia="楷体" w:cs="楷体"/>
        </w:rPr>
        <w:fldChar w:fldCharType="separate"/>
      </w:r>
      <w:r>
        <w:rPr>
          <w:rFonts w:hint="eastAsia" w:ascii="楷体" w:hAnsi="楷体" w:eastAsia="楷体" w:cs="楷体"/>
        </w:rPr>
        <w:t>1</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_Toc1899 </w:instrText>
      </w:r>
      <w:r>
        <w:rPr>
          <w:rFonts w:hint="eastAsia" w:ascii="楷体" w:hAnsi="楷体" w:eastAsia="楷体" w:cs="楷体"/>
          <w:szCs w:val="28"/>
          <w:highlight w:val="none"/>
        </w:rPr>
        <w:fldChar w:fldCharType="separate"/>
      </w:r>
      <w:r>
        <w:rPr>
          <w:rFonts w:hint="eastAsia" w:ascii="楷体" w:hAnsi="楷体" w:eastAsia="楷体" w:cs="楷体"/>
          <w:szCs w:val="30"/>
          <w:highlight w:val="none"/>
        </w:rPr>
        <w:t>二、建设内容</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_Toc1899 \h </w:instrText>
      </w:r>
      <w:r>
        <w:rPr>
          <w:rFonts w:hint="eastAsia" w:ascii="楷体" w:hAnsi="楷体" w:eastAsia="楷体" w:cs="楷体"/>
        </w:rPr>
        <w:fldChar w:fldCharType="separate"/>
      </w:r>
      <w:r>
        <w:rPr>
          <w:rFonts w:hint="eastAsia" w:ascii="楷体" w:hAnsi="楷体" w:eastAsia="楷体" w:cs="楷体"/>
        </w:rPr>
        <w:t>8</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_Toc22328 </w:instrText>
      </w:r>
      <w:r>
        <w:rPr>
          <w:rFonts w:hint="eastAsia" w:ascii="楷体" w:hAnsi="楷体" w:eastAsia="楷体" w:cs="楷体"/>
          <w:szCs w:val="28"/>
          <w:highlight w:val="none"/>
        </w:rPr>
        <w:fldChar w:fldCharType="separate"/>
      </w:r>
      <w:r>
        <w:rPr>
          <w:rFonts w:hint="eastAsia" w:ascii="楷体" w:hAnsi="楷体" w:eastAsia="楷体" w:cs="楷体"/>
          <w:szCs w:val="30"/>
          <w:highlight w:val="none"/>
        </w:rPr>
        <w:t>三、生态环境现状、保护目标及评价标准</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_Toc22328 \h </w:instrText>
      </w:r>
      <w:r>
        <w:rPr>
          <w:rFonts w:hint="eastAsia" w:ascii="楷体" w:hAnsi="楷体" w:eastAsia="楷体" w:cs="楷体"/>
        </w:rPr>
        <w:fldChar w:fldCharType="separate"/>
      </w:r>
      <w:r>
        <w:rPr>
          <w:rFonts w:hint="eastAsia" w:ascii="楷体" w:hAnsi="楷体" w:eastAsia="楷体" w:cs="楷体"/>
        </w:rPr>
        <w:t>32</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_Toc3738 </w:instrText>
      </w:r>
      <w:r>
        <w:rPr>
          <w:rFonts w:hint="eastAsia" w:ascii="楷体" w:hAnsi="楷体" w:eastAsia="楷体" w:cs="楷体"/>
          <w:szCs w:val="28"/>
          <w:highlight w:val="none"/>
        </w:rPr>
        <w:fldChar w:fldCharType="separate"/>
      </w:r>
      <w:r>
        <w:rPr>
          <w:rFonts w:hint="eastAsia" w:ascii="楷体" w:hAnsi="楷体" w:eastAsia="楷体" w:cs="楷体"/>
          <w:szCs w:val="30"/>
          <w:highlight w:val="none"/>
        </w:rPr>
        <w:t>四、生态环境影响分析</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_Toc3738 \h </w:instrText>
      </w:r>
      <w:r>
        <w:rPr>
          <w:rFonts w:hint="eastAsia" w:ascii="楷体" w:hAnsi="楷体" w:eastAsia="楷体" w:cs="楷体"/>
        </w:rPr>
        <w:fldChar w:fldCharType="separate"/>
      </w:r>
      <w:r>
        <w:rPr>
          <w:rFonts w:hint="eastAsia" w:ascii="楷体" w:hAnsi="楷体" w:eastAsia="楷体" w:cs="楷体"/>
        </w:rPr>
        <w:t>41</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_Toc26567 </w:instrText>
      </w:r>
      <w:r>
        <w:rPr>
          <w:rFonts w:hint="eastAsia" w:ascii="楷体" w:hAnsi="楷体" w:eastAsia="楷体" w:cs="楷体"/>
          <w:szCs w:val="28"/>
          <w:highlight w:val="none"/>
        </w:rPr>
        <w:fldChar w:fldCharType="separate"/>
      </w:r>
      <w:r>
        <w:rPr>
          <w:rFonts w:hint="eastAsia" w:ascii="楷体" w:hAnsi="楷体" w:eastAsia="楷体" w:cs="楷体"/>
          <w:szCs w:val="30"/>
          <w:highlight w:val="none"/>
        </w:rPr>
        <w:t>五、主要生态环境保护措施</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_Toc26567 \h </w:instrText>
      </w:r>
      <w:r>
        <w:rPr>
          <w:rFonts w:hint="eastAsia" w:ascii="楷体" w:hAnsi="楷体" w:eastAsia="楷体" w:cs="楷体"/>
        </w:rPr>
        <w:fldChar w:fldCharType="separate"/>
      </w:r>
      <w:r>
        <w:rPr>
          <w:rFonts w:hint="eastAsia" w:ascii="楷体" w:hAnsi="楷体" w:eastAsia="楷体" w:cs="楷体"/>
        </w:rPr>
        <w:t>49</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_Toc17202 </w:instrText>
      </w:r>
      <w:r>
        <w:rPr>
          <w:rFonts w:hint="eastAsia" w:ascii="楷体" w:hAnsi="楷体" w:eastAsia="楷体" w:cs="楷体"/>
          <w:szCs w:val="28"/>
          <w:highlight w:val="none"/>
        </w:rPr>
        <w:fldChar w:fldCharType="separate"/>
      </w:r>
      <w:r>
        <w:rPr>
          <w:rFonts w:hint="eastAsia" w:ascii="楷体" w:hAnsi="楷体" w:eastAsia="楷体" w:cs="楷体"/>
          <w:szCs w:val="30"/>
          <w:highlight w:val="none"/>
        </w:rPr>
        <w:t>六、生态环境保护措施监督检查清单</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_Toc17202 \h </w:instrText>
      </w:r>
      <w:r>
        <w:rPr>
          <w:rFonts w:hint="eastAsia" w:ascii="楷体" w:hAnsi="楷体" w:eastAsia="楷体" w:cs="楷体"/>
        </w:rPr>
        <w:fldChar w:fldCharType="separate"/>
      </w:r>
      <w:r>
        <w:rPr>
          <w:rFonts w:hint="eastAsia" w:ascii="楷体" w:hAnsi="楷体" w:eastAsia="楷体" w:cs="楷体"/>
        </w:rPr>
        <w:t>59</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_Toc21200 </w:instrText>
      </w:r>
      <w:r>
        <w:rPr>
          <w:rFonts w:hint="eastAsia" w:ascii="楷体" w:hAnsi="楷体" w:eastAsia="楷体" w:cs="楷体"/>
          <w:szCs w:val="28"/>
          <w:highlight w:val="none"/>
        </w:rPr>
        <w:fldChar w:fldCharType="separate"/>
      </w:r>
      <w:r>
        <w:rPr>
          <w:rFonts w:hint="eastAsia" w:ascii="楷体" w:hAnsi="楷体" w:eastAsia="楷体" w:cs="楷体"/>
          <w:szCs w:val="30"/>
          <w:highlight w:val="none"/>
        </w:rPr>
        <w:t>七、结论</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_Toc21200 \h </w:instrText>
      </w:r>
      <w:r>
        <w:rPr>
          <w:rFonts w:hint="eastAsia" w:ascii="楷体" w:hAnsi="楷体" w:eastAsia="楷体" w:cs="楷体"/>
        </w:rPr>
        <w:fldChar w:fldCharType="separate"/>
      </w:r>
      <w:r>
        <w:rPr>
          <w:rFonts w:hint="eastAsia" w:ascii="楷体" w:hAnsi="楷体" w:eastAsia="楷体" w:cs="楷体"/>
        </w:rPr>
        <w:t>61</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_Toc12375 </w:instrText>
      </w:r>
      <w:r>
        <w:rPr>
          <w:rFonts w:hint="eastAsia" w:ascii="楷体" w:hAnsi="楷体" w:eastAsia="楷体" w:cs="楷体"/>
          <w:szCs w:val="28"/>
          <w:highlight w:val="none"/>
        </w:rPr>
        <w:fldChar w:fldCharType="separate"/>
      </w:r>
      <w:r>
        <w:rPr>
          <w:rFonts w:hint="eastAsia" w:ascii="楷体" w:hAnsi="楷体" w:eastAsia="楷体" w:cs="楷体"/>
          <w:bCs/>
          <w:szCs w:val="44"/>
          <w:highlight w:val="none"/>
          <w:lang w:val="en-US" w:eastAsia="zh-CN"/>
        </w:rPr>
        <w:t>萍阳北路延伸段及萍洲大桥西岸匝道建设项目</w:t>
      </w:r>
      <w:r>
        <w:rPr>
          <w:rFonts w:hint="eastAsia" w:ascii="楷体" w:hAnsi="楷体" w:eastAsia="楷体" w:cs="楷体"/>
          <w:bCs/>
          <w:szCs w:val="44"/>
          <w:highlight w:val="none"/>
        </w:rPr>
        <w:t>声环境影响专项评价</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_Toc12375 \h </w:instrText>
      </w:r>
      <w:r>
        <w:rPr>
          <w:rFonts w:hint="eastAsia" w:ascii="楷体" w:hAnsi="楷体" w:eastAsia="楷体" w:cs="楷体"/>
        </w:rPr>
        <w:fldChar w:fldCharType="separate"/>
      </w:r>
      <w:r>
        <w:rPr>
          <w:rFonts w:hint="eastAsia" w:ascii="楷体" w:hAnsi="楷体" w:eastAsia="楷体" w:cs="楷体"/>
        </w:rPr>
        <w:t>62</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_Toc16591 </w:instrText>
      </w:r>
      <w:r>
        <w:rPr>
          <w:rFonts w:hint="eastAsia" w:ascii="楷体" w:hAnsi="楷体" w:eastAsia="楷体" w:cs="楷体"/>
          <w:szCs w:val="28"/>
          <w:highlight w:val="none"/>
        </w:rPr>
        <w:fldChar w:fldCharType="separate"/>
      </w:r>
      <w:r>
        <w:rPr>
          <w:rFonts w:hint="eastAsia" w:ascii="楷体" w:hAnsi="楷体" w:eastAsia="楷体" w:cs="楷体"/>
          <w:bCs/>
          <w:kern w:val="44"/>
          <w:szCs w:val="21"/>
          <w:lang w:val="en-US" w:eastAsia="zh-CN" w:bidi="ar-SA"/>
        </w:rPr>
        <w:t xml:space="preserve">1. </w:t>
      </w:r>
      <w:r>
        <w:rPr>
          <w:rFonts w:hint="eastAsia" w:ascii="楷体" w:hAnsi="楷体" w:eastAsia="楷体" w:cs="楷体"/>
          <w:bCs/>
          <w:kern w:val="44"/>
          <w:szCs w:val="21"/>
          <w:highlight w:val="none"/>
          <w:lang w:val="en-US" w:eastAsia="zh-CN" w:bidi="ar-SA"/>
        </w:rPr>
        <w:t>总论</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_Toc16591 \h </w:instrText>
      </w:r>
      <w:r>
        <w:rPr>
          <w:rFonts w:hint="eastAsia" w:ascii="楷体" w:hAnsi="楷体" w:eastAsia="楷体" w:cs="楷体"/>
        </w:rPr>
        <w:fldChar w:fldCharType="separate"/>
      </w:r>
      <w:r>
        <w:rPr>
          <w:rFonts w:hint="eastAsia" w:ascii="楷体" w:hAnsi="楷体" w:eastAsia="楷体" w:cs="楷体"/>
        </w:rPr>
        <w:t>63</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_Toc21721 </w:instrText>
      </w:r>
      <w:r>
        <w:rPr>
          <w:rFonts w:hint="eastAsia" w:ascii="楷体" w:hAnsi="楷体" w:eastAsia="楷体" w:cs="楷体"/>
          <w:szCs w:val="28"/>
          <w:highlight w:val="none"/>
        </w:rPr>
        <w:fldChar w:fldCharType="separate"/>
      </w:r>
      <w:r>
        <w:rPr>
          <w:rFonts w:hint="eastAsia" w:ascii="楷体" w:hAnsi="楷体" w:eastAsia="楷体" w:cs="楷体"/>
          <w:bCs/>
          <w:kern w:val="44"/>
          <w:szCs w:val="21"/>
          <w:lang w:val="en-US" w:eastAsia="zh-CN" w:bidi="ar-SA"/>
        </w:rPr>
        <w:t xml:space="preserve">2. </w:t>
      </w:r>
      <w:r>
        <w:rPr>
          <w:rFonts w:hint="eastAsia" w:ascii="楷体" w:hAnsi="楷体" w:eastAsia="楷体" w:cs="楷体"/>
          <w:bCs/>
          <w:kern w:val="44"/>
          <w:szCs w:val="21"/>
          <w:highlight w:val="none"/>
          <w:lang w:val="en-US" w:eastAsia="zh-CN" w:bidi="ar-SA"/>
        </w:rPr>
        <w:t>工程分析</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_Toc21721 \h </w:instrText>
      </w:r>
      <w:r>
        <w:rPr>
          <w:rFonts w:hint="eastAsia" w:ascii="楷体" w:hAnsi="楷体" w:eastAsia="楷体" w:cs="楷体"/>
        </w:rPr>
        <w:fldChar w:fldCharType="separate"/>
      </w:r>
      <w:r>
        <w:rPr>
          <w:rFonts w:hint="eastAsia" w:ascii="楷体" w:hAnsi="楷体" w:eastAsia="楷体" w:cs="楷体"/>
        </w:rPr>
        <w:t>68</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_Toc9182 </w:instrText>
      </w:r>
      <w:r>
        <w:rPr>
          <w:rFonts w:hint="eastAsia" w:ascii="楷体" w:hAnsi="楷体" w:eastAsia="楷体" w:cs="楷体"/>
          <w:szCs w:val="28"/>
          <w:highlight w:val="none"/>
        </w:rPr>
        <w:fldChar w:fldCharType="separate"/>
      </w:r>
      <w:r>
        <w:rPr>
          <w:rFonts w:hint="eastAsia" w:ascii="楷体" w:hAnsi="楷体" w:eastAsia="楷体" w:cs="楷体"/>
          <w:bCs/>
          <w:kern w:val="44"/>
          <w:szCs w:val="21"/>
          <w:lang w:val="en-US" w:eastAsia="zh-CN" w:bidi="ar-SA"/>
        </w:rPr>
        <w:t xml:space="preserve">3. </w:t>
      </w:r>
      <w:r>
        <w:rPr>
          <w:rFonts w:hint="eastAsia" w:ascii="楷体" w:hAnsi="楷体" w:eastAsia="楷体" w:cs="楷体"/>
          <w:bCs/>
          <w:kern w:val="44"/>
          <w:szCs w:val="21"/>
          <w:highlight w:val="none"/>
          <w:lang w:val="en-US" w:eastAsia="zh-CN" w:bidi="ar-SA"/>
        </w:rPr>
        <w:t>声环境现状调查与评价</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_Toc9182 \h </w:instrText>
      </w:r>
      <w:r>
        <w:rPr>
          <w:rFonts w:hint="eastAsia" w:ascii="楷体" w:hAnsi="楷体" w:eastAsia="楷体" w:cs="楷体"/>
        </w:rPr>
        <w:fldChar w:fldCharType="separate"/>
      </w:r>
      <w:r>
        <w:rPr>
          <w:rFonts w:hint="eastAsia" w:ascii="楷体" w:hAnsi="楷体" w:eastAsia="楷体" w:cs="楷体"/>
        </w:rPr>
        <w:t>72</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_Toc6870 </w:instrText>
      </w:r>
      <w:r>
        <w:rPr>
          <w:rFonts w:hint="eastAsia" w:ascii="楷体" w:hAnsi="楷体" w:eastAsia="楷体" w:cs="楷体"/>
          <w:szCs w:val="28"/>
          <w:highlight w:val="none"/>
        </w:rPr>
        <w:fldChar w:fldCharType="separate"/>
      </w:r>
      <w:r>
        <w:rPr>
          <w:rFonts w:hint="eastAsia" w:ascii="楷体" w:hAnsi="楷体" w:eastAsia="楷体" w:cs="楷体"/>
          <w:bCs/>
          <w:kern w:val="44"/>
          <w:szCs w:val="21"/>
          <w:lang w:val="en-US" w:eastAsia="zh-CN" w:bidi="ar-SA"/>
        </w:rPr>
        <w:t xml:space="preserve">4. </w:t>
      </w:r>
      <w:r>
        <w:rPr>
          <w:rFonts w:hint="eastAsia" w:ascii="楷体" w:hAnsi="楷体" w:eastAsia="楷体" w:cs="楷体"/>
          <w:bCs/>
          <w:kern w:val="44"/>
          <w:szCs w:val="21"/>
          <w:highlight w:val="none"/>
          <w:lang w:val="en-US" w:eastAsia="zh-CN" w:bidi="ar-SA"/>
        </w:rPr>
        <w:t>声环境影响预测与评价</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_Toc6870 \h </w:instrText>
      </w:r>
      <w:r>
        <w:rPr>
          <w:rFonts w:hint="eastAsia" w:ascii="楷体" w:hAnsi="楷体" w:eastAsia="楷体" w:cs="楷体"/>
        </w:rPr>
        <w:fldChar w:fldCharType="separate"/>
      </w:r>
      <w:r>
        <w:rPr>
          <w:rFonts w:hint="eastAsia" w:ascii="楷体" w:hAnsi="楷体" w:eastAsia="楷体" w:cs="楷体"/>
        </w:rPr>
        <w:t>74</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_Toc14724 </w:instrText>
      </w:r>
      <w:r>
        <w:rPr>
          <w:rFonts w:hint="eastAsia" w:ascii="楷体" w:hAnsi="楷体" w:eastAsia="楷体" w:cs="楷体"/>
          <w:szCs w:val="28"/>
          <w:highlight w:val="none"/>
        </w:rPr>
        <w:fldChar w:fldCharType="separate"/>
      </w:r>
      <w:r>
        <w:rPr>
          <w:rFonts w:hint="eastAsia" w:ascii="楷体" w:hAnsi="楷体" w:eastAsia="楷体" w:cs="楷体"/>
          <w:bCs/>
          <w:kern w:val="44"/>
          <w:szCs w:val="21"/>
          <w:lang w:val="en-US" w:eastAsia="zh-CN" w:bidi="ar-SA"/>
        </w:rPr>
        <w:t xml:space="preserve">5. </w:t>
      </w:r>
      <w:r>
        <w:rPr>
          <w:rFonts w:hint="eastAsia" w:ascii="楷体" w:hAnsi="楷体" w:eastAsia="楷体" w:cs="楷体"/>
          <w:bCs/>
          <w:kern w:val="44"/>
          <w:szCs w:val="21"/>
          <w:highlight w:val="none"/>
          <w:lang w:val="en-US" w:eastAsia="zh-CN" w:bidi="ar-SA"/>
        </w:rPr>
        <w:t>声环境防治对策</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_Toc14724 \h </w:instrText>
      </w:r>
      <w:r>
        <w:rPr>
          <w:rFonts w:hint="eastAsia" w:ascii="楷体" w:hAnsi="楷体" w:eastAsia="楷体" w:cs="楷体"/>
        </w:rPr>
        <w:fldChar w:fldCharType="separate"/>
      </w:r>
      <w:r>
        <w:rPr>
          <w:rFonts w:hint="eastAsia" w:ascii="楷体" w:hAnsi="楷体" w:eastAsia="楷体" w:cs="楷体"/>
        </w:rPr>
        <w:t>87</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_Toc933 </w:instrText>
      </w:r>
      <w:r>
        <w:rPr>
          <w:rFonts w:hint="eastAsia" w:ascii="楷体" w:hAnsi="楷体" w:eastAsia="楷体" w:cs="楷体"/>
          <w:szCs w:val="28"/>
          <w:highlight w:val="none"/>
        </w:rPr>
        <w:fldChar w:fldCharType="separate"/>
      </w:r>
      <w:r>
        <w:rPr>
          <w:rFonts w:hint="eastAsia" w:ascii="楷体" w:hAnsi="楷体" w:eastAsia="楷体" w:cs="楷体"/>
          <w:bCs/>
          <w:kern w:val="44"/>
          <w:szCs w:val="21"/>
          <w:lang w:val="en-US" w:eastAsia="zh-CN" w:bidi="ar-SA"/>
        </w:rPr>
        <w:t xml:space="preserve">6. </w:t>
      </w:r>
      <w:r>
        <w:rPr>
          <w:rFonts w:hint="eastAsia" w:ascii="楷体" w:hAnsi="楷体" w:eastAsia="楷体" w:cs="楷体"/>
          <w:bCs/>
          <w:kern w:val="44"/>
          <w:szCs w:val="21"/>
          <w:highlight w:val="none"/>
          <w:lang w:val="en-US" w:eastAsia="zh-CN" w:bidi="ar-SA"/>
        </w:rPr>
        <w:t>声环境管理、监测计划</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_Toc933 \h </w:instrText>
      </w:r>
      <w:r>
        <w:rPr>
          <w:rFonts w:hint="eastAsia" w:ascii="楷体" w:hAnsi="楷体" w:eastAsia="楷体" w:cs="楷体"/>
        </w:rPr>
        <w:fldChar w:fldCharType="separate"/>
      </w:r>
      <w:r>
        <w:rPr>
          <w:rFonts w:hint="eastAsia" w:ascii="楷体" w:hAnsi="楷体" w:eastAsia="楷体" w:cs="楷体"/>
        </w:rPr>
        <w:t>90</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_Toc24565 </w:instrText>
      </w:r>
      <w:r>
        <w:rPr>
          <w:rFonts w:hint="eastAsia" w:ascii="楷体" w:hAnsi="楷体" w:eastAsia="楷体" w:cs="楷体"/>
          <w:szCs w:val="28"/>
          <w:highlight w:val="none"/>
        </w:rPr>
        <w:fldChar w:fldCharType="separate"/>
      </w:r>
      <w:r>
        <w:rPr>
          <w:rFonts w:hint="eastAsia" w:ascii="楷体" w:hAnsi="楷体" w:eastAsia="楷体" w:cs="楷体"/>
          <w:bCs/>
          <w:kern w:val="44"/>
          <w:szCs w:val="21"/>
          <w:lang w:val="en-US" w:eastAsia="zh-CN" w:bidi="ar-SA"/>
        </w:rPr>
        <w:t xml:space="preserve">7. </w:t>
      </w:r>
      <w:r>
        <w:rPr>
          <w:rFonts w:hint="eastAsia" w:ascii="楷体" w:hAnsi="楷体" w:eastAsia="楷体" w:cs="楷体"/>
          <w:bCs/>
          <w:kern w:val="44"/>
          <w:szCs w:val="21"/>
          <w:highlight w:val="none"/>
          <w:lang w:val="en-US" w:eastAsia="zh-CN" w:bidi="ar-SA"/>
        </w:rPr>
        <w:t>结论</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_Toc24565 \h </w:instrText>
      </w:r>
      <w:r>
        <w:rPr>
          <w:rFonts w:hint="eastAsia" w:ascii="楷体" w:hAnsi="楷体" w:eastAsia="楷体" w:cs="楷体"/>
        </w:rPr>
        <w:fldChar w:fldCharType="separate"/>
      </w:r>
      <w:r>
        <w:rPr>
          <w:rFonts w:hint="eastAsia" w:ascii="楷体" w:hAnsi="楷体" w:eastAsia="楷体" w:cs="楷体"/>
        </w:rPr>
        <w:t>92</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_Toc21338 </w:instrText>
      </w:r>
      <w:r>
        <w:rPr>
          <w:rFonts w:hint="eastAsia" w:ascii="楷体" w:hAnsi="楷体" w:eastAsia="楷体" w:cs="楷体"/>
          <w:szCs w:val="28"/>
          <w:highlight w:val="none"/>
        </w:rPr>
        <w:fldChar w:fldCharType="separate"/>
      </w:r>
      <w:r>
        <w:rPr>
          <w:rFonts w:hint="eastAsia" w:ascii="楷体" w:hAnsi="楷体" w:eastAsia="楷体" w:cs="楷体"/>
          <w:kern w:val="2"/>
          <w:highlight w:val="none"/>
        </w:rPr>
        <w:t>声环境影响评价自查表</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_Toc21338 \h </w:instrText>
      </w:r>
      <w:r>
        <w:rPr>
          <w:rFonts w:hint="eastAsia" w:ascii="楷体" w:hAnsi="楷体" w:eastAsia="楷体" w:cs="楷体"/>
        </w:rPr>
        <w:fldChar w:fldCharType="separate"/>
      </w:r>
      <w:r>
        <w:rPr>
          <w:rFonts w:hint="eastAsia" w:ascii="楷体" w:hAnsi="楷体" w:eastAsia="楷体" w:cs="楷体"/>
        </w:rPr>
        <w:t>93</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r>
        <w:rPr>
          <w:rFonts w:hint="eastAsia" w:ascii="楷体" w:hAnsi="楷体" w:eastAsia="楷体" w:cs="楷体"/>
          <w:color w:val="000000"/>
          <w:szCs w:val="28"/>
          <w:highlight w:val="none"/>
        </w:rPr>
        <w:fldChar w:fldCharType="begin"/>
      </w:r>
      <w:r>
        <w:rPr>
          <w:rFonts w:hint="eastAsia" w:ascii="楷体" w:hAnsi="楷体" w:eastAsia="楷体" w:cs="楷体"/>
          <w:szCs w:val="28"/>
          <w:highlight w:val="none"/>
        </w:rPr>
        <w:instrText xml:space="preserve"> HYPERLINK \l _Toc30426 </w:instrText>
      </w:r>
      <w:r>
        <w:rPr>
          <w:rFonts w:hint="eastAsia" w:ascii="楷体" w:hAnsi="楷体" w:eastAsia="楷体" w:cs="楷体"/>
          <w:szCs w:val="28"/>
          <w:highlight w:val="none"/>
        </w:rPr>
        <w:fldChar w:fldCharType="separate"/>
      </w:r>
      <w:r>
        <w:rPr>
          <w:rFonts w:hint="eastAsia" w:ascii="楷体" w:hAnsi="楷体" w:eastAsia="楷体" w:cs="楷体"/>
          <w:highlight w:val="none"/>
        </w:rPr>
        <w:t>贡献值等声值线图</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_Toc30426 \h </w:instrText>
      </w:r>
      <w:r>
        <w:rPr>
          <w:rFonts w:hint="eastAsia" w:ascii="楷体" w:hAnsi="楷体" w:eastAsia="楷体" w:cs="楷体"/>
        </w:rPr>
        <w:fldChar w:fldCharType="separate"/>
      </w:r>
      <w:r>
        <w:rPr>
          <w:rFonts w:hint="eastAsia" w:ascii="楷体" w:hAnsi="楷体" w:eastAsia="楷体" w:cs="楷体"/>
        </w:rPr>
        <w:t>94</w:t>
      </w:r>
      <w:r>
        <w:rPr>
          <w:rFonts w:hint="eastAsia" w:ascii="楷体" w:hAnsi="楷体" w:eastAsia="楷体" w:cs="楷体"/>
        </w:rPr>
        <w:fldChar w:fldCharType="end"/>
      </w:r>
      <w:r>
        <w:rPr>
          <w:rFonts w:hint="eastAsia" w:ascii="楷体" w:hAnsi="楷体" w:eastAsia="楷体" w:cs="楷体"/>
          <w:color w:val="000000"/>
          <w:szCs w:val="28"/>
          <w:highlight w:val="none"/>
        </w:rPr>
        <w:fldChar w:fldCharType="end"/>
      </w:r>
    </w:p>
    <w:p>
      <w:pPr>
        <w:pStyle w:val="26"/>
        <w:tabs>
          <w:tab w:val="right" w:leader="hyphen" w:pos="8739"/>
        </w:tabs>
        <w:rPr>
          <w:rFonts w:hint="eastAsia" w:ascii="楷体" w:hAnsi="楷体" w:eastAsia="楷体" w:cs="楷体"/>
        </w:rPr>
      </w:pPr>
    </w:p>
    <w:p>
      <w:pPr>
        <w:keepNext w:val="0"/>
        <w:keepLines w:val="0"/>
        <w:pageBreakBefore w:val="0"/>
        <w:spacing w:line="400" w:lineRule="exact"/>
        <w:rPr>
          <w:rFonts w:hint="eastAsia" w:ascii="楷体" w:hAnsi="楷体" w:eastAsia="楷体" w:cs="楷体"/>
          <w:color w:val="000000"/>
          <w:sz w:val="28"/>
          <w:szCs w:val="28"/>
          <w:highlight w:val="none"/>
        </w:rPr>
      </w:pPr>
      <w:r>
        <w:rPr>
          <w:rFonts w:hint="eastAsia" w:ascii="楷体" w:hAnsi="楷体" w:eastAsia="楷体" w:cs="楷体"/>
          <w:color w:val="000000"/>
          <w:szCs w:val="28"/>
          <w:highlight w:val="none"/>
        </w:rPr>
        <w:fldChar w:fldCharType="end"/>
      </w:r>
    </w:p>
    <w:p>
      <w:pPr>
        <w:keepNext w:val="0"/>
        <w:keepLines w:val="0"/>
        <w:pageBreakBefore w:val="0"/>
        <w:widowControl w:val="0"/>
        <w:spacing w:line="360" w:lineRule="auto"/>
        <w:ind w:firstLine="480"/>
        <w:outlineLvl w:val="9"/>
        <w:rPr>
          <w:rFonts w:ascii="Times New Roman" w:hAnsi="Times New Roman" w:eastAsia="宋体" w:cs="Times New Roman"/>
          <w:color w:val="000000"/>
          <w:sz w:val="24"/>
          <w:highlight w:val="none"/>
          <w:lang w:val="en-US" w:eastAsia="zh-CN" w:bidi="ar"/>
        </w:rPr>
      </w:pPr>
    </w:p>
    <w:p>
      <w:pPr>
        <w:keepNext w:val="0"/>
        <w:keepLines w:val="0"/>
        <w:pageBreakBefore w:val="0"/>
        <w:widowControl w:val="0"/>
        <w:spacing w:line="360" w:lineRule="auto"/>
        <w:ind w:firstLine="480"/>
        <w:outlineLvl w:val="9"/>
        <w:rPr>
          <w:rFonts w:ascii="Times New Roman" w:hAnsi="Times New Roman" w:eastAsia="宋体" w:cs="Times New Roman"/>
          <w:color w:val="000000"/>
          <w:sz w:val="24"/>
          <w:highlight w:val="none"/>
          <w:lang w:val="en-US" w:eastAsia="zh-CN" w:bidi="ar"/>
        </w:rPr>
        <w:sectPr>
          <w:footerReference r:id="rId6" w:type="default"/>
          <w:pgSz w:w="11915" w:h="16840"/>
          <w:pgMar w:top="1588" w:right="1588" w:bottom="1588" w:left="1588" w:header="851" w:footer="992" w:gutter="0"/>
          <w:pgNumType w:fmt="decimal" w:start="1"/>
          <w:cols w:space="1701" w:num="1"/>
          <w:docGrid w:linePitch="360" w:charSpace="0"/>
        </w:sectPr>
      </w:pPr>
    </w:p>
    <w:p>
      <w:pPr>
        <w:pStyle w:val="218"/>
        <w:jc w:val="center"/>
        <w:outlineLvl w:val="0"/>
        <w:rPr>
          <w:rFonts w:ascii="黑体" w:hAnsi="黑体" w:eastAsia="黑体"/>
          <w:color w:val="000000"/>
          <w:sz w:val="30"/>
          <w:szCs w:val="30"/>
          <w:highlight w:val="none"/>
        </w:rPr>
      </w:pPr>
      <w:bookmarkStart w:id="3" w:name="_Toc16813"/>
      <w:bookmarkStart w:id="4" w:name="_Toc5447"/>
      <w:r>
        <w:rPr>
          <w:rFonts w:hint="eastAsia" w:ascii="黑体" w:hAnsi="黑体" w:eastAsia="黑体"/>
          <w:color w:val="000000"/>
          <w:sz w:val="30"/>
          <w:szCs w:val="30"/>
          <w:highlight w:val="none"/>
        </w:rPr>
        <w:t>一、建设项目基本情况</w:t>
      </w:r>
      <w:bookmarkEnd w:id="3"/>
      <w:bookmarkEnd w:id="4"/>
    </w:p>
    <w:tbl>
      <w:tblPr>
        <w:tblStyle w:val="40"/>
        <w:tblW w:w="8336" w:type="dxa"/>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
      <w:tblGrid>
        <w:gridCol w:w="1847"/>
        <w:gridCol w:w="2088"/>
        <w:gridCol w:w="1961"/>
        <w:gridCol w:w="244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362"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建设项目名称</w:t>
            </w:r>
          </w:p>
        </w:tc>
        <w:tc>
          <w:tcPr>
            <w:tcW w:w="6489" w:type="dxa"/>
            <w:gridSpan w:val="3"/>
            <w:noWrap w:val="0"/>
            <w:vAlign w:val="center"/>
          </w:tcPr>
          <w:p>
            <w:pPr>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萍阳北路延伸段及萍洲大桥西岸匝道建设项目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355"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项目代码</w:t>
            </w:r>
          </w:p>
        </w:tc>
        <w:tc>
          <w:tcPr>
            <w:tcW w:w="6489" w:type="dxa"/>
            <w:gridSpan w:val="3"/>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2407-431102-04-01-689684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362"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建设单位联系人</w:t>
            </w:r>
          </w:p>
        </w:tc>
        <w:tc>
          <w:tcPr>
            <w:tcW w:w="2088"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尹文勇</w:t>
            </w:r>
          </w:p>
        </w:tc>
        <w:tc>
          <w:tcPr>
            <w:tcW w:w="1961" w:type="dxa"/>
            <w:noWrap w:val="0"/>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联系方式</w:t>
            </w:r>
          </w:p>
        </w:tc>
        <w:tc>
          <w:tcPr>
            <w:tcW w:w="2440"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18974660202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362"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建设地点</w:t>
            </w:r>
          </w:p>
        </w:tc>
        <w:tc>
          <w:tcPr>
            <w:tcW w:w="6489" w:type="dxa"/>
            <w:gridSpan w:val="3"/>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ascii="Times New Roman" w:hAnsi="Times New Roman" w:cs="Times New Roman"/>
                <w:color w:val="000000"/>
                <w:sz w:val="21"/>
                <w:szCs w:val="21"/>
                <w:highlight w:val="none"/>
                <w:u w:val="single"/>
                <w:lang w:eastAsia="zh-CN"/>
              </w:rPr>
              <w:t>湖南</w:t>
            </w:r>
            <w:r>
              <w:rPr>
                <w:rFonts w:ascii="Times New Roman" w:hAnsi="Times New Roman" w:cs="Times New Roman"/>
                <w:color w:val="000000"/>
                <w:sz w:val="21"/>
                <w:szCs w:val="21"/>
                <w:highlight w:val="none"/>
              </w:rPr>
              <w:t>省</w:t>
            </w:r>
            <w:r>
              <w:rPr>
                <w:rFonts w:hint="eastAsia" w:cs="Times New Roman"/>
                <w:color w:val="000000"/>
                <w:sz w:val="21"/>
                <w:szCs w:val="21"/>
                <w:highlight w:val="none"/>
                <w:u w:val="single"/>
                <w:lang w:val="en-US" w:eastAsia="zh-CN"/>
              </w:rPr>
              <w:t>永州</w:t>
            </w:r>
            <w:r>
              <w:rPr>
                <w:rFonts w:ascii="Times New Roman" w:hAnsi="Times New Roman" w:cs="Times New Roman"/>
                <w:color w:val="000000"/>
                <w:sz w:val="21"/>
                <w:szCs w:val="21"/>
                <w:highlight w:val="none"/>
              </w:rPr>
              <w:t>市</w:t>
            </w:r>
            <w:r>
              <w:rPr>
                <w:rFonts w:hint="eastAsia" w:cs="Times New Roman"/>
                <w:color w:val="000000"/>
                <w:sz w:val="21"/>
                <w:szCs w:val="21"/>
                <w:highlight w:val="none"/>
                <w:u w:val="single"/>
                <w:lang w:val="en-US" w:eastAsia="zh-CN"/>
              </w:rPr>
              <w:t>零陵</w:t>
            </w:r>
            <w:r>
              <w:rPr>
                <w:rFonts w:hint="eastAsia" w:cs="Times New Roman"/>
                <w:color w:val="000000"/>
                <w:sz w:val="21"/>
                <w:szCs w:val="21"/>
                <w:highlight w:val="none"/>
                <w:lang w:val="en-US" w:eastAsia="zh-CN"/>
              </w:rPr>
              <w:t>区</w:t>
            </w:r>
            <w:r>
              <w:rPr>
                <w:rFonts w:hint="eastAsia" w:cs="Times New Roman"/>
                <w:color w:val="000000"/>
                <w:sz w:val="21"/>
                <w:szCs w:val="21"/>
                <w:highlight w:val="none"/>
                <w:lang w:eastAsia="zh-CN"/>
              </w:rPr>
              <w:t>（</w:t>
            </w:r>
            <w:r>
              <w:rPr>
                <w:rFonts w:ascii="Times New Roman" w:hAnsi="Times New Roman" w:cs="Times New Roman"/>
                <w:color w:val="000000"/>
                <w:sz w:val="21"/>
                <w:szCs w:val="21"/>
                <w:highlight w:val="none"/>
              </w:rPr>
              <w:t>县</w:t>
            </w:r>
            <w:r>
              <w:rPr>
                <w:rFonts w:hint="eastAsia" w:cs="Times New Roman"/>
                <w:color w:val="000000"/>
                <w:sz w:val="21"/>
                <w:szCs w:val="21"/>
                <w:highlight w:val="none"/>
                <w:lang w:eastAsia="zh-CN"/>
              </w:rPr>
              <w:t>）</w:t>
            </w:r>
            <w:r>
              <w:rPr>
                <w:rFonts w:hint="eastAsia" w:cs="Times New Roman"/>
                <w:color w:val="000000"/>
                <w:sz w:val="21"/>
                <w:szCs w:val="21"/>
                <w:highlight w:val="none"/>
                <w:u w:val="single"/>
                <w:lang w:val="en-US" w:eastAsia="zh-CN"/>
              </w:rPr>
              <w:t>萍阳北路</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355"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地理坐标</w:t>
            </w:r>
          </w:p>
        </w:tc>
        <w:tc>
          <w:tcPr>
            <w:tcW w:w="6489" w:type="dxa"/>
            <w:gridSpan w:val="3"/>
            <w:noWrap w:val="0"/>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lang w:eastAsia="zh-CN"/>
              </w:rPr>
              <w:t>起点</w:t>
            </w:r>
            <w:r>
              <w:rPr>
                <w:rFonts w:ascii="Times New Roman" w:hAnsi="Times New Roman" w:cs="Times New Roman"/>
                <w:color w:val="000000"/>
                <w:sz w:val="21"/>
                <w:szCs w:val="21"/>
                <w:highlight w:val="none"/>
              </w:rPr>
              <w:t>（</w:t>
            </w:r>
            <w:r>
              <w:rPr>
                <w:rFonts w:hint="eastAsia" w:cs="Times New Roman"/>
                <w:color w:val="000000"/>
                <w:sz w:val="21"/>
                <w:szCs w:val="21"/>
                <w:highlight w:val="none"/>
                <w:lang w:val="en-US" w:eastAsia="zh-CN"/>
              </w:rPr>
              <w:t>111</w:t>
            </w:r>
            <w:r>
              <w:rPr>
                <w:rFonts w:ascii="Times New Roman" w:hAnsi="Times New Roman" w:cs="Times New Roman"/>
                <w:color w:val="000000"/>
                <w:sz w:val="21"/>
                <w:szCs w:val="21"/>
                <w:highlight w:val="none"/>
              </w:rPr>
              <w:t>度</w:t>
            </w:r>
            <w:r>
              <w:rPr>
                <w:rFonts w:hint="eastAsia" w:cs="Times New Roman"/>
                <w:color w:val="000000"/>
                <w:sz w:val="21"/>
                <w:szCs w:val="21"/>
                <w:highlight w:val="none"/>
                <w:lang w:val="en-US" w:eastAsia="zh-CN"/>
              </w:rPr>
              <w:t>36</w:t>
            </w:r>
            <w:r>
              <w:rPr>
                <w:rFonts w:ascii="Times New Roman" w:hAnsi="Times New Roman" w:cs="Times New Roman"/>
                <w:color w:val="000000"/>
                <w:sz w:val="21"/>
                <w:szCs w:val="21"/>
                <w:highlight w:val="none"/>
              </w:rPr>
              <w:t>分</w:t>
            </w:r>
            <w:r>
              <w:rPr>
                <w:rFonts w:hint="eastAsia" w:cs="Times New Roman"/>
                <w:color w:val="000000"/>
                <w:sz w:val="21"/>
                <w:szCs w:val="21"/>
                <w:highlight w:val="none"/>
                <w:lang w:val="en-US" w:eastAsia="zh-CN"/>
              </w:rPr>
              <w:t>51.55</w:t>
            </w:r>
            <w:r>
              <w:rPr>
                <w:rFonts w:ascii="Times New Roman" w:hAnsi="Times New Roman" w:cs="Times New Roman"/>
                <w:color w:val="000000"/>
                <w:sz w:val="21"/>
                <w:szCs w:val="21"/>
                <w:highlight w:val="none"/>
              </w:rPr>
              <w:t>秒，</w:t>
            </w:r>
            <w:r>
              <w:rPr>
                <w:rFonts w:hint="eastAsia" w:cs="Times New Roman"/>
                <w:color w:val="000000"/>
                <w:sz w:val="21"/>
                <w:szCs w:val="21"/>
                <w:highlight w:val="none"/>
                <w:lang w:val="en-US" w:eastAsia="zh-CN"/>
              </w:rPr>
              <w:t>26</w:t>
            </w:r>
            <w:r>
              <w:rPr>
                <w:rFonts w:ascii="Times New Roman" w:hAnsi="Times New Roman" w:cs="Times New Roman"/>
                <w:color w:val="000000"/>
                <w:sz w:val="21"/>
                <w:szCs w:val="21"/>
                <w:highlight w:val="none"/>
              </w:rPr>
              <w:t>度</w:t>
            </w:r>
            <w:r>
              <w:rPr>
                <w:rFonts w:hint="eastAsia" w:cs="Times New Roman"/>
                <w:color w:val="000000"/>
                <w:sz w:val="21"/>
                <w:szCs w:val="21"/>
                <w:highlight w:val="none"/>
                <w:lang w:val="en-US" w:eastAsia="zh-CN"/>
              </w:rPr>
              <w:t>14</w:t>
            </w:r>
            <w:r>
              <w:rPr>
                <w:rFonts w:ascii="Times New Roman" w:hAnsi="Times New Roman" w:cs="Times New Roman"/>
                <w:color w:val="000000"/>
                <w:sz w:val="21"/>
                <w:szCs w:val="21"/>
                <w:highlight w:val="none"/>
              </w:rPr>
              <w:t>分</w:t>
            </w:r>
            <w:r>
              <w:rPr>
                <w:rFonts w:hint="eastAsia" w:cs="Times New Roman"/>
                <w:color w:val="000000"/>
                <w:sz w:val="21"/>
                <w:szCs w:val="21"/>
                <w:highlight w:val="none"/>
                <w:lang w:val="en-US" w:eastAsia="zh-CN"/>
              </w:rPr>
              <w:t>2.63</w:t>
            </w:r>
            <w:r>
              <w:rPr>
                <w:rFonts w:ascii="Times New Roman" w:hAnsi="Times New Roman" w:cs="Times New Roman"/>
                <w:color w:val="000000"/>
                <w:sz w:val="21"/>
                <w:szCs w:val="21"/>
                <w:highlight w:val="none"/>
              </w:rPr>
              <w:t>秒）</w:t>
            </w:r>
          </w:p>
          <w:p>
            <w:pPr>
              <w:jc w:val="center"/>
              <w:rPr>
                <w:rFonts w:ascii="Times New Roman" w:hAnsi="Times New Roman" w:eastAsia="宋体" w:cs="Times New Roman"/>
                <w:color w:val="000000"/>
                <w:sz w:val="21"/>
                <w:szCs w:val="21"/>
                <w:highlight w:val="none"/>
                <w:lang w:eastAsia="zh-CN"/>
              </w:rPr>
            </w:pPr>
            <w:r>
              <w:rPr>
                <w:rFonts w:ascii="Times New Roman" w:hAnsi="Times New Roman" w:eastAsia="宋体" w:cs="Times New Roman"/>
                <w:color w:val="000000"/>
                <w:sz w:val="21"/>
                <w:szCs w:val="21"/>
                <w:highlight w:val="none"/>
                <w:lang w:val="en-US" w:eastAsia="zh-CN" w:bidi="ar-SA"/>
              </w:rPr>
              <w:t>终点</w:t>
            </w:r>
            <w:r>
              <w:rPr>
                <w:rFonts w:ascii="Times New Roman" w:hAnsi="Times New Roman" w:cs="Times New Roman"/>
                <w:color w:val="000000"/>
                <w:sz w:val="21"/>
                <w:szCs w:val="21"/>
                <w:highlight w:val="none"/>
              </w:rPr>
              <w:t>（</w:t>
            </w:r>
            <w:r>
              <w:rPr>
                <w:rFonts w:hint="eastAsia" w:cs="Times New Roman"/>
                <w:color w:val="000000"/>
                <w:sz w:val="21"/>
                <w:szCs w:val="21"/>
                <w:highlight w:val="none"/>
                <w:lang w:val="en-US" w:eastAsia="zh-CN"/>
              </w:rPr>
              <w:t>111</w:t>
            </w:r>
            <w:r>
              <w:rPr>
                <w:rFonts w:ascii="Times New Roman" w:hAnsi="Times New Roman" w:cs="Times New Roman"/>
                <w:color w:val="000000"/>
                <w:sz w:val="21"/>
                <w:szCs w:val="21"/>
                <w:highlight w:val="none"/>
              </w:rPr>
              <w:t>度</w:t>
            </w:r>
            <w:r>
              <w:rPr>
                <w:rFonts w:hint="eastAsia" w:cs="Times New Roman"/>
                <w:color w:val="000000"/>
                <w:sz w:val="21"/>
                <w:szCs w:val="21"/>
                <w:highlight w:val="none"/>
                <w:lang w:val="en-US" w:eastAsia="zh-CN"/>
              </w:rPr>
              <w:t>36</w:t>
            </w:r>
            <w:r>
              <w:rPr>
                <w:rFonts w:ascii="Times New Roman" w:hAnsi="Times New Roman" w:cs="Times New Roman"/>
                <w:color w:val="000000"/>
                <w:sz w:val="21"/>
                <w:szCs w:val="21"/>
                <w:highlight w:val="none"/>
              </w:rPr>
              <w:t>分</w:t>
            </w:r>
            <w:r>
              <w:rPr>
                <w:rFonts w:hint="eastAsia" w:cs="Times New Roman"/>
                <w:color w:val="000000"/>
                <w:sz w:val="21"/>
                <w:szCs w:val="21"/>
                <w:highlight w:val="none"/>
                <w:lang w:val="en-US" w:eastAsia="zh-CN"/>
              </w:rPr>
              <w:t>34.72</w:t>
            </w:r>
            <w:r>
              <w:rPr>
                <w:rFonts w:ascii="Times New Roman" w:hAnsi="Times New Roman" w:cs="Times New Roman"/>
                <w:color w:val="000000"/>
                <w:sz w:val="21"/>
                <w:szCs w:val="21"/>
                <w:highlight w:val="none"/>
              </w:rPr>
              <w:t>秒，</w:t>
            </w:r>
            <w:r>
              <w:rPr>
                <w:rFonts w:hint="eastAsia" w:cs="Times New Roman"/>
                <w:color w:val="000000"/>
                <w:sz w:val="21"/>
                <w:szCs w:val="21"/>
                <w:highlight w:val="none"/>
                <w:lang w:val="en-US" w:eastAsia="zh-CN"/>
              </w:rPr>
              <w:t>26</w:t>
            </w:r>
            <w:r>
              <w:rPr>
                <w:rFonts w:ascii="Times New Roman" w:hAnsi="Times New Roman" w:cs="Times New Roman"/>
                <w:color w:val="000000"/>
                <w:sz w:val="21"/>
                <w:szCs w:val="21"/>
                <w:highlight w:val="none"/>
              </w:rPr>
              <w:t>度</w:t>
            </w:r>
            <w:r>
              <w:rPr>
                <w:rFonts w:hint="eastAsia" w:cs="Times New Roman"/>
                <w:color w:val="000000"/>
                <w:sz w:val="21"/>
                <w:szCs w:val="21"/>
                <w:highlight w:val="none"/>
                <w:lang w:val="en-US" w:eastAsia="zh-CN"/>
              </w:rPr>
              <w:t>14</w:t>
            </w:r>
            <w:r>
              <w:rPr>
                <w:rFonts w:ascii="Times New Roman" w:hAnsi="Times New Roman" w:cs="Times New Roman"/>
                <w:color w:val="000000"/>
                <w:sz w:val="21"/>
                <w:szCs w:val="21"/>
                <w:highlight w:val="none"/>
              </w:rPr>
              <w:t>分</w:t>
            </w:r>
            <w:r>
              <w:rPr>
                <w:rFonts w:hint="eastAsia" w:cs="Times New Roman"/>
                <w:color w:val="000000"/>
                <w:sz w:val="21"/>
                <w:szCs w:val="21"/>
                <w:highlight w:val="none"/>
                <w:lang w:val="en-US" w:eastAsia="zh-CN"/>
              </w:rPr>
              <w:t>42.11</w:t>
            </w:r>
            <w:r>
              <w:rPr>
                <w:rFonts w:ascii="Times New Roman" w:hAnsi="Times New Roman" w:cs="Times New Roman"/>
                <w:color w:val="000000"/>
                <w:sz w:val="21"/>
                <w:szCs w:val="21"/>
                <w:highlight w:val="none"/>
              </w:rPr>
              <w:t>秒）</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715"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建设项目</w:t>
            </w:r>
          </w:p>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行业类别</w:t>
            </w:r>
          </w:p>
        </w:tc>
        <w:tc>
          <w:tcPr>
            <w:tcW w:w="2088" w:type="dxa"/>
            <w:noWrap w:val="0"/>
            <w:vAlign w:val="center"/>
          </w:tcPr>
          <w:p>
            <w:pPr>
              <w:jc w:val="center"/>
              <w:rPr>
                <w:rFonts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rPr>
              <w:t>五十二、交通运输业、管道运输业第131、城市道路（不含维护；不含支路、人行天桥、人行地道）</w:t>
            </w:r>
          </w:p>
        </w:tc>
        <w:tc>
          <w:tcPr>
            <w:tcW w:w="1961" w:type="dxa"/>
            <w:noWrap w:val="0"/>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用地面积（</w:t>
            </w:r>
            <w:r>
              <w:rPr>
                <w:rFonts w:hint="eastAsia" w:cs="Times New Roman"/>
                <w:color w:val="000000"/>
                <w:sz w:val="21"/>
                <w:szCs w:val="21"/>
                <w:highlight w:val="none"/>
                <w:lang w:eastAsia="zh-CN"/>
              </w:rPr>
              <w:t>m</w:t>
            </w:r>
            <w:r>
              <w:rPr>
                <w:rFonts w:hint="eastAsia" w:cs="Times New Roman"/>
                <w:color w:val="000000"/>
                <w:sz w:val="21"/>
                <w:szCs w:val="21"/>
                <w:highlight w:val="none"/>
                <w:vertAlign w:val="superscript"/>
                <w:lang w:eastAsia="zh-CN"/>
              </w:rPr>
              <w:t>2</w:t>
            </w:r>
            <w:r>
              <w:rPr>
                <w:rFonts w:ascii="Times New Roman" w:hAnsi="Times New Roman" w:cs="Times New Roman"/>
                <w:color w:val="000000"/>
                <w:sz w:val="21"/>
                <w:szCs w:val="21"/>
                <w:highlight w:val="none"/>
              </w:rPr>
              <w:t>）/长度（km）</w:t>
            </w:r>
          </w:p>
        </w:tc>
        <w:tc>
          <w:tcPr>
            <w:tcW w:w="2440"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萍阳北路延伸段全长:1.56km；</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西岸匝道：0.56km；</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104"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建设性质</w:t>
            </w:r>
          </w:p>
        </w:tc>
        <w:tc>
          <w:tcPr>
            <w:tcW w:w="2088" w:type="dxa"/>
            <w:noWrap w:val="0"/>
            <w:vAlign w:val="center"/>
          </w:tcPr>
          <w:p>
            <w:pPr>
              <w:jc w:val="left"/>
              <w:rPr>
                <w:rFonts w:ascii="Times New Roman" w:hAnsi="Times New Roman" w:cs="Times New Roman"/>
                <w:color w:val="000000"/>
                <w:sz w:val="21"/>
                <w:szCs w:val="21"/>
                <w:highlight w:val="none"/>
              </w:rPr>
            </w:pPr>
            <w:r>
              <w:rPr>
                <w:rFonts w:ascii="Wingdings 2" w:hAnsi="Wingdings 2" w:eastAsia="Wingdings 2" w:cs="Wingdings 2"/>
                <w:color w:val="000000"/>
                <w:sz w:val="21"/>
                <w:szCs w:val="21"/>
                <w:highlight w:val="none"/>
              </w:rPr>
              <w:sym w:font="Wingdings 2" w:char="0052"/>
            </w:r>
            <w:r>
              <w:rPr>
                <w:rFonts w:ascii="Times New Roman" w:hAnsi="Times New Roman" w:cs="Times New Roman"/>
                <w:color w:val="000000"/>
                <w:sz w:val="21"/>
                <w:szCs w:val="21"/>
                <w:highlight w:val="none"/>
              </w:rPr>
              <w:t>新建（迁建）</w:t>
            </w:r>
          </w:p>
          <w:p>
            <w:pPr>
              <w:jc w:val="left"/>
              <w:rPr>
                <w:rFonts w:ascii="Times New Roman" w:hAnsi="Times New Roman" w:cs="Times New Roman"/>
                <w:color w:val="000000"/>
                <w:sz w:val="21"/>
                <w:szCs w:val="21"/>
                <w:highlight w:val="none"/>
              </w:rPr>
            </w:pPr>
            <w:r>
              <w:rPr>
                <w:rFonts w:ascii="Wingdings 2" w:hAnsi="Wingdings 2" w:eastAsia="Wingdings 2" w:cs="Wingdings 2"/>
                <w:color w:val="000000"/>
                <w:sz w:val="21"/>
                <w:szCs w:val="21"/>
                <w:highlight w:val="none"/>
              </w:rPr>
              <w:sym w:font="Wingdings 2" w:char="00A3"/>
            </w:r>
            <w:r>
              <w:rPr>
                <w:rFonts w:ascii="Times New Roman" w:hAnsi="Times New Roman" w:cs="Times New Roman"/>
                <w:color w:val="000000"/>
                <w:sz w:val="21"/>
                <w:szCs w:val="21"/>
                <w:highlight w:val="none"/>
              </w:rPr>
              <w:t>改建</w:t>
            </w:r>
          </w:p>
          <w:p>
            <w:pPr>
              <w:jc w:val="left"/>
              <w:rPr>
                <w:rFonts w:ascii="Times New Roman" w:hAnsi="Times New Roman" w:cs="Times New Roman"/>
                <w:color w:val="000000"/>
                <w:sz w:val="21"/>
                <w:szCs w:val="21"/>
                <w:highlight w:val="none"/>
              </w:rPr>
            </w:pPr>
            <w:r>
              <w:rPr>
                <w:rFonts w:ascii="Wingdings 2" w:hAnsi="Wingdings 2" w:eastAsia="Wingdings 2" w:cs="Wingdings 2"/>
                <w:color w:val="000000"/>
                <w:sz w:val="21"/>
                <w:szCs w:val="21"/>
                <w:highlight w:val="none"/>
              </w:rPr>
              <w:t>£</w:t>
            </w:r>
            <w:r>
              <w:rPr>
                <w:rFonts w:ascii="Times New Roman" w:hAnsi="Times New Roman" w:cs="Times New Roman"/>
                <w:color w:val="000000"/>
                <w:sz w:val="21"/>
                <w:szCs w:val="21"/>
                <w:highlight w:val="none"/>
              </w:rPr>
              <w:t>扩建</w:t>
            </w:r>
          </w:p>
          <w:p>
            <w:pPr>
              <w:jc w:val="left"/>
              <w:rPr>
                <w:rFonts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ascii="Times New Roman" w:hAnsi="Times New Roman" w:cs="Times New Roman"/>
                <w:color w:val="000000"/>
                <w:sz w:val="21"/>
                <w:szCs w:val="21"/>
                <w:highlight w:val="none"/>
              </w:rPr>
              <w:t>技术改造</w:t>
            </w:r>
          </w:p>
        </w:tc>
        <w:tc>
          <w:tcPr>
            <w:tcW w:w="1961" w:type="dxa"/>
            <w:noWrap w:val="0"/>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建设项目</w:t>
            </w:r>
          </w:p>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申报情形</w:t>
            </w:r>
          </w:p>
        </w:tc>
        <w:tc>
          <w:tcPr>
            <w:tcW w:w="2440" w:type="dxa"/>
            <w:noWrap w:val="0"/>
            <w:vAlign w:val="center"/>
          </w:tcPr>
          <w:p>
            <w:pPr>
              <w:jc w:val="left"/>
              <w:rPr>
                <w:rFonts w:ascii="Times New Roman" w:hAnsi="Times New Roman" w:cs="Times New Roman"/>
                <w:color w:val="000000"/>
                <w:sz w:val="21"/>
                <w:szCs w:val="21"/>
                <w:highlight w:val="none"/>
              </w:rPr>
            </w:pPr>
            <w:r>
              <w:rPr>
                <w:rFonts w:ascii="Wingdings 2" w:hAnsi="Wingdings 2" w:eastAsia="Wingdings 2" w:cs="Wingdings 2"/>
                <w:color w:val="000000"/>
                <w:sz w:val="21"/>
                <w:szCs w:val="21"/>
                <w:highlight w:val="none"/>
              </w:rPr>
              <w:t>R</w:t>
            </w:r>
            <w:r>
              <w:rPr>
                <w:rFonts w:ascii="Times New Roman" w:hAnsi="Times New Roman" w:cs="Times New Roman"/>
                <w:color w:val="000000"/>
                <w:sz w:val="21"/>
                <w:szCs w:val="21"/>
                <w:highlight w:val="none"/>
              </w:rPr>
              <w:t>首次申报项目</w:t>
            </w:r>
          </w:p>
          <w:p>
            <w:pPr>
              <w:jc w:val="left"/>
              <w:rPr>
                <w:rFonts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ascii="Times New Roman" w:hAnsi="Times New Roman" w:cs="Times New Roman"/>
                <w:color w:val="000000"/>
                <w:sz w:val="21"/>
                <w:szCs w:val="21"/>
                <w:highlight w:val="none"/>
              </w:rPr>
              <w:t>不予批准后再次申报项目</w:t>
            </w:r>
          </w:p>
          <w:p>
            <w:pPr>
              <w:jc w:val="left"/>
              <w:rPr>
                <w:rFonts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ascii="Times New Roman" w:hAnsi="Times New Roman" w:cs="Times New Roman"/>
                <w:color w:val="000000"/>
                <w:sz w:val="21"/>
                <w:szCs w:val="21"/>
                <w:highlight w:val="none"/>
              </w:rPr>
              <w:t>超五年重新审核项目</w:t>
            </w:r>
          </w:p>
          <w:p>
            <w:pPr>
              <w:rPr>
                <w:rFonts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ascii="Times New Roman" w:hAnsi="Times New Roman" w:cs="Times New Roman"/>
                <w:color w:val="000000"/>
                <w:sz w:val="21"/>
                <w:szCs w:val="21"/>
                <w:highlight w:val="none"/>
              </w:rPr>
              <w:t>重大变动重新报批项目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762"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项目审批（核准/</w:t>
            </w:r>
          </w:p>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备案）部门（选填）</w:t>
            </w:r>
          </w:p>
        </w:tc>
        <w:tc>
          <w:tcPr>
            <w:tcW w:w="2088"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color w:val="000000"/>
                <w:sz w:val="21"/>
                <w:szCs w:val="21"/>
                <w:highlight w:val="none"/>
                <w:lang w:val="en-US" w:eastAsia="zh-CN"/>
              </w:rPr>
              <w:t>永州零陵区发展和改革局</w:t>
            </w:r>
          </w:p>
        </w:tc>
        <w:tc>
          <w:tcPr>
            <w:tcW w:w="1961" w:type="dxa"/>
            <w:noWrap w:val="0"/>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项目审批（核准/</w:t>
            </w:r>
          </w:p>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备案）文号（选填）</w:t>
            </w:r>
          </w:p>
        </w:tc>
        <w:tc>
          <w:tcPr>
            <w:tcW w:w="2440"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hint="eastAsia"/>
                <w:color w:val="000000"/>
                <w:sz w:val="21"/>
                <w:szCs w:val="21"/>
                <w:highlight w:val="none"/>
                <w:lang w:val="en-US" w:eastAsia="zh-CN"/>
              </w:rPr>
              <w:t>零</w:t>
            </w:r>
            <w:r>
              <w:rPr>
                <w:color w:val="000000"/>
                <w:sz w:val="21"/>
                <w:szCs w:val="21"/>
                <w:highlight w:val="none"/>
              </w:rPr>
              <w:t>发改</w:t>
            </w:r>
            <w:r>
              <w:rPr>
                <w:rFonts w:hint="eastAsia"/>
                <w:color w:val="000000"/>
                <w:sz w:val="21"/>
                <w:szCs w:val="21"/>
                <w:highlight w:val="none"/>
                <w:lang w:val="en-US" w:eastAsia="zh-CN"/>
              </w:rPr>
              <w:t>概</w:t>
            </w:r>
            <w:r>
              <w:rPr>
                <w:color w:val="000000"/>
                <w:sz w:val="21"/>
                <w:szCs w:val="21"/>
                <w:highlight w:val="none"/>
              </w:rPr>
              <w:t>[202</w:t>
            </w:r>
            <w:r>
              <w:rPr>
                <w:rFonts w:hint="eastAsia"/>
                <w:color w:val="000000"/>
                <w:sz w:val="21"/>
                <w:szCs w:val="21"/>
                <w:highlight w:val="none"/>
                <w:lang w:val="en-US" w:eastAsia="zh-CN"/>
              </w:rPr>
              <w:t>4</w:t>
            </w:r>
            <w:r>
              <w:rPr>
                <w:rFonts w:hint="eastAsia"/>
                <w:color w:val="000000"/>
                <w:sz w:val="21"/>
                <w:szCs w:val="21"/>
                <w:highlight w:val="none"/>
              </w:rPr>
              <w:t>]</w:t>
            </w:r>
            <w:r>
              <w:rPr>
                <w:rFonts w:hint="eastAsia"/>
                <w:color w:val="000000"/>
                <w:sz w:val="21"/>
                <w:szCs w:val="21"/>
                <w:highlight w:val="none"/>
                <w:lang w:val="en-US" w:eastAsia="zh-CN"/>
              </w:rPr>
              <w:t>06</w:t>
            </w:r>
            <w:r>
              <w:rPr>
                <w:color w:val="000000"/>
                <w:sz w:val="21"/>
                <w:szCs w:val="21"/>
                <w:highlight w:val="none"/>
              </w:rPr>
              <w:t>号</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355"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总投资（万元）</w:t>
            </w:r>
          </w:p>
        </w:tc>
        <w:tc>
          <w:tcPr>
            <w:tcW w:w="2088"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8832.72</w:t>
            </w:r>
          </w:p>
        </w:tc>
        <w:tc>
          <w:tcPr>
            <w:tcW w:w="1961"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环保投资（万元）</w:t>
            </w:r>
          </w:p>
        </w:tc>
        <w:tc>
          <w:tcPr>
            <w:tcW w:w="2440"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hint="eastAsia" w:cs="Times New Roman"/>
                <w:color w:val="000000"/>
                <w:spacing w:val="-2"/>
                <w:sz w:val="21"/>
                <w:szCs w:val="21"/>
                <w:highlight w:val="none"/>
                <w:lang w:val="en-US" w:eastAsia="zh-CN"/>
              </w:rPr>
              <w:t>416.5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364"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环保投资占比（%）</w:t>
            </w:r>
          </w:p>
        </w:tc>
        <w:tc>
          <w:tcPr>
            <w:tcW w:w="2088"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4.72</w:t>
            </w:r>
          </w:p>
        </w:tc>
        <w:tc>
          <w:tcPr>
            <w:tcW w:w="1961"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施工工期</w:t>
            </w:r>
          </w:p>
        </w:tc>
        <w:tc>
          <w:tcPr>
            <w:tcW w:w="2440" w:type="dxa"/>
            <w:noWrap w:val="0"/>
            <w:vAlign w:val="center"/>
          </w:tcPr>
          <w:p>
            <w:pPr>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16月</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773"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是否开工建设</w:t>
            </w:r>
          </w:p>
        </w:tc>
        <w:tc>
          <w:tcPr>
            <w:tcW w:w="6489" w:type="dxa"/>
            <w:gridSpan w:val="3"/>
            <w:noWrap w:val="0"/>
            <w:vAlign w:val="center"/>
          </w:tcPr>
          <w:p>
            <w:pPr>
              <w:ind w:firstLine="105"/>
              <w:jc w:val="left"/>
              <w:rPr>
                <w:rFonts w:ascii="Times New Roman" w:hAnsi="Times New Roman" w:cs="Times New Roman"/>
                <w:color w:val="000000"/>
                <w:sz w:val="21"/>
                <w:szCs w:val="21"/>
                <w:highlight w:val="none"/>
              </w:rPr>
            </w:pPr>
            <w:r>
              <w:rPr>
                <w:rFonts w:ascii="Wingdings 2" w:hAnsi="Wingdings 2" w:eastAsia="Wingdings 2" w:cs="Wingdings 2"/>
                <w:color w:val="000000"/>
                <w:sz w:val="21"/>
                <w:szCs w:val="21"/>
                <w:highlight w:val="none"/>
              </w:rPr>
              <w:t>R</w:t>
            </w:r>
            <w:r>
              <w:rPr>
                <w:rFonts w:ascii="Times New Roman" w:hAnsi="Times New Roman" w:cs="Times New Roman"/>
                <w:color w:val="000000"/>
                <w:sz w:val="21"/>
                <w:szCs w:val="21"/>
                <w:highlight w:val="none"/>
              </w:rPr>
              <w:t>否</w:t>
            </w:r>
          </w:p>
          <w:p>
            <w:pPr>
              <w:ind w:firstLine="92"/>
              <w:jc w:val="left"/>
              <w:rPr>
                <w:rFonts w:ascii="Times New Roman" w:hAnsi="Times New Roman" w:cs="Times New Roman"/>
                <w:color w:val="000000"/>
                <w:sz w:val="21"/>
                <w:szCs w:val="21"/>
                <w:highlight w:val="none"/>
              </w:rPr>
            </w:pPr>
            <w:r>
              <w:rPr>
                <w:rFonts w:ascii="Wingdings 2" w:hAnsi="Wingdings 2" w:eastAsia="Wingdings 2" w:cs="Wingdings 2"/>
                <w:color w:val="000000"/>
                <w:sz w:val="21"/>
                <w:szCs w:val="21"/>
                <w:highlight w:val="none"/>
              </w:rPr>
              <w:t>£</w:t>
            </w:r>
            <w:r>
              <w:rPr>
                <w:rFonts w:ascii="Times New Roman" w:hAnsi="Times New Roman" w:cs="Times New Roman"/>
                <w:color w:val="000000"/>
                <w:sz w:val="21"/>
                <w:szCs w:val="21"/>
                <w:highlight w:val="none"/>
              </w:rPr>
              <w:t>是：</w:t>
            </w:r>
            <w:r>
              <w:rPr>
                <w:rFonts w:ascii="Times New Roman" w:hAnsi="Times New Roman" w:cs="Times New Roman"/>
                <w:color w:val="000000"/>
                <w:sz w:val="21"/>
                <w:szCs w:val="21"/>
                <w:highlight w:val="none"/>
                <w:u w:val="single"/>
              </w:rPr>
              <w:t xml:space="preserve">  </w:t>
            </w:r>
            <w:r>
              <w:rPr>
                <w:rFonts w:hint="eastAsia" w:cs="Times New Roman"/>
                <w:color w:val="000000"/>
                <w:sz w:val="21"/>
                <w:szCs w:val="21"/>
                <w:highlight w:val="none"/>
                <w:u w:val="single"/>
                <w:lang w:val="en-US" w:eastAsia="zh-CN"/>
              </w:rPr>
              <w:t xml:space="preserve">  </w:t>
            </w:r>
            <w:r>
              <w:rPr>
                <w:rFonts w:ascii="Times New Roman" w:hAnsi="Times New Roman" w:cs="Times New Roman"/>
                <w:color w:val="000000"/>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707"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专项评价设置情况</w:t>
            </w:r>
          </w:p>
        </w:tc>
        <w:tc>
          <w:tcPr>
            <w:tcW w:w="6489" w:type="dxa"/>
            <w:gridSpan w:val="3"/>
            <w:noWrap w:val="0"/>
            <w:tcMar>
              <w:top w:w="16" w:type="dxa"/>
              <w:left w:w="16" w:type="dxa"/>
              <w:right w:w="16" w:type="dxa"/>
            </w:tcMar>
            <w:vAlign w:val="center"/>
          </w:tcPr>
          <w:p>
            <w:pPr>
              <w:pStyle w:val="260"/>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000000"/>
                <w:sz w:val="21"/>
                <w:szCs w:val="21"/>
                <w:highlight w:val="none"/>
              </w:rPr>
            </w:pPr>
            <w:r>
              <w:rPr>
                <w:rFonts w:hint="eastAsia"/>
                <w:color w:val="000000"/>
                <w:sz w:val="21"/>
                <w:szCs w:val="21"/>
                <w:highlight w:val="none"/>
              </w:rPr>
              <w:t>根据《建设项目环境影响报告表编制技术指南（生态影响类）（试行）》设置专项评价的原则</w:t>
            </w:r>
            <w:r>
              <w:rPr>
                <w:rFonts w:hint="eastAsia"/>
                <w:color w:val="000000"/>
                <w:sz w:val="21"/>
                <w:szCs w:val="21"/>
                <w:highlight w:val="none"/>
                <w:lang w:eastAsia="zh-CN"/>
              </w:rPr>
              <w:t>（</w:t>
            </w:r>
            <w:r>
              <w:rPr>
                <w:rFonts w:hint="eastAsia"/>
                <w:color w:val="000000"/>
                <w:sz w:val="21"/>
                <w:szCs w:val="21"/>
                <w:highlight w:val="none"/>
                <w:lang w:val="en-US" w:eastAsia="zh-CN"/>
              </w:rPr>
              <w:t>表1-1</w:t>
            </w:r>
            <w:r>
              <w:rPr>
                <w:rFonts w:hint="eastAsia"/>
                <w:color w:val="000000"/>
                <w:sz w:val="21"/>
                <w:szCs w:val="21"/>
                <w:highlight w:val="none"/>
                <w:lang w:eastAsia="zh-CN"/>
              </w:rPr>
              <w:t>），本项目属于</w:t>
            </w:r>
            <w:r>
              <w:rPr>
                <w:rFonts w:hint="eastAsia"/>
                <w:color w:val="000000"/>
                <w:sz w:val="21"/>
                <w:szCs w:val="21"/>
                <w:highlight w:val="none"/>
                <w:lang w:val="en-US" w:eastAsia="zh-CN"/>
              </w:rPr>
              <w:t>城市主干道</w:t>
            </w:r>
            <w:r>
              <w:rPr>
                <w:rFonts w:hint="eastAsia"/>
                <w:color w:val="000000"/>
                <w:sz w:val="21"/>
                <w:szCs w:val="21"/>
                <w:highlight w:val="none"/>
                <w:lang w:eastAsia="zh-CN"/>
              </w:rPr>
              <w:t>，</w:t>
            </w:r>
            <w:r>
              <w:rPr>
                <w:rFonts w:hint="eastAsia"/>
                <w:color w:val="000000"/>
                <w:sz w:val="21"/>
                <w:szCs w:val="21"/>
                <w:highlight w:val="none"/>
                <w:lang w:val="en-US" w:eastAsia="zh-CN"/>
              </w:rPr>
              <w:t>需</w:t>
            </w:r>
            <w:r>
              <w:rPr>
                <w:rFonts w:hint="eastAsia"/>
                <w:color w:val="000000"/>
                <w:sz w:val="21"/>
                <w:szCs w:val="21"/>
                <w:highlight w:val="none"/>
                <w:lang w:eastAsia="zh-CN"/>
              </w:rPr>
              <w:t>设置声环境影响专题评价。</w:t>
            </w:r>
          </w:p>
          <w:p>
            <w:pPr>
              <w:pStyle w:val="261"/>
              <w:keepNext w:val="0"/>
              <w:keepLines w:val="0"/>
              <w:pageBreakBefore w:val="0"/>
              <w:widowControl w:val="0"/>
              <w:spacing w:before="0" w:line="240" w:lineRule="auto"/>
              <w:rPr>
                <w:color w:val="000000"/>
                <w:sz w:val="21"/>
                <w:szCs w:val="21"/>
                <w:highlight w:val="none"/>
              </w:rPr>
            </w:pPr>
            <w:r>
              <w:rPr>
                <w:rFonts w:hint="eastAsia"/>
                <w:color w:val="000000"/>
                <w:sz w:val="21"/>
                <w:szCs w:val="21"/>
                <w:highlight w:val="none"/>
              </w:rPr>
              <w:t>表1</w:t>
            </w:r>
            <w:r>
              <w:rPr>
                <w:color w:val="000000"/>
                <w:sz w:val="21"/>
                <w:szCs w:val="21"/>
                <w:highlight w:val="none"/>
              </w:rPr>
              <w:t xml:space="preserve">-1 </w:t>
            </w:r>
            <w:r>
              <w:rPr>
                <w:rFonts w:hint="eastAsia"/>
                <w:color w:val="000000"/>
                <w:sz w:val="21"/>
                <w:szCs w:val="21"/>
                <w:highlight w:val="none"/>
              </w:rPr>
              <w:t>专项评价设置原则表</w:t>
            </w:r>
          </w:p>
          <w:tbl>
            <w:tblPr>
              <w:tblStyle w:val="40"/>
              <w:tblW w:w="6323" w:type="dxa"/>
              <w:jc w:val="center"/>
              <w:tblInd w:w="0" w:type="dxa"/>
              <w:tblLayout w:type="fixed"/>
              <w:tblCellMar>
                <w:top w:w="0" w:type="dxa"/>
                <w:left w:w="28" w:type="dxa"/>
                <w:bottom w:w="0" w:type="dxa"/>
                <w:right w:w="28" w:type="dxa"/>
              </w:tblCellMar>
            </w:tblPr>
            <w:tblGrid>
              <w:gridCol w:w="946"/>
              <w:gridCol w:w="3225"/>
              <w:gridCol w:w="1274"/>
              <w:gridCol w:w="878"/>
            </w:tblGrid>
            <w:tr>
              <w:tblPrEx>
                <w:tblLayout w:type="fixed"/>
                <w:tblCellMar>
                  <w:top w:w="0" w:type="dxa"/>
                  <w:left w:w="28" w:type="dxa"/>
                  <w:bottom w:w="0" w:type="dxa"/>
                  <w:right w:w="28" w:type="dxa"/>
                </w:tblCellMar>
              </w:tblPrEx>
              <w:trPr>
                <w:trHeight w:val="799"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bookmarkStart w:id="5" w:name="三、具体编制要求"/>
                  <w:bookmarkEnd w:id="5"/>
                  <w:bookmarkStart w:id="6" w:name="（一）建设项目基本情况"/>
                  <w:bookmarkEnd w:id="6"/>
                  <w:r>
                    <w:rPr>
                      <w:rFonts w:hint="eastAsia"/>
                      <w:color w:val="000000"/>
                      <w:sz w:val="21"/>
                      <w:szCs w:val="21"/>
                      <w:highlight w:val="none"/>
                    </w:rPr>
                    <w:t>专项评价</w:t>
                  </w:r>
                </w:p>
                <w:p>
                  <w:pPr>
                    <w:pStyle w:val="259"/>
                    <w:rPr>
                      <w:color w:val="000000"/>
                      <w:sz w:val="21"/>
                      <w:szCs w:val="21"/>
                      <w:highlight w:val="none"/>
                    </w:rPr>
                  </w:pPr>
                  <w:r>
                    <w:rPr>
                      <w:rFonts w:hint="eastAsia"/>
                      <w:color w:val="000000"/>
                      <w:sz w:val="21"/>
                      <w:szCs w:val="21"/>
                      <w:highlight w:val="none"/>
                    </w:rPr>
                    <w:t>的类别</w:t>
                  </w:r>
                </w:p>
              </w:tc>
              <w:tc>
                <w:tcPr>
                  <w:tcW w:w="3225"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color w:val="000000"/>
                      <w:sz w:val="21"/>
                      <w:szCs w:val="21"/>
                      <w:highlight w:val="none"/>
                    </w:rPr>
                    <w:t>涉及项目类别</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color w:val="000000"/>
                      <w:sz w:val="21"/>
                      <w:szCs w:val="21"/>
                      <w:highlight w:val="none"/>
                    </w:rPr>
                    <w:t>本项目情况</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color w:val="000000"/>
                      <w:sz w:val="21"/>
                      <w:szCs w:val="21"/>
                      <w:highlight w:val="none"/>
                    </w:rPr>
                    <w:t>是否需要设置专项评价</w:t>
                  </w:r>
                </w:p>
              </w:tc>
            </w:tr>
            <w:tr>
              <w:tblPrEx>
                <w:tblLayout w:type="fixed"/>
                <w:tblCellMar>
                  <w:top w:w="0" w:type="dxa"/>
                  <w:left w:w="28" w:type="dxa"/>
                  <w:bottom w:w="0" w:type="dxa"/>
                  <w:right w:w="28" w:type="dxa"/>
                </w:tblCellMar>
              </w:tblPrEx>
              <w:trPr>
                <w:trHeight w:val="1588"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ascii="宋体" w:cs="宋体"/>
                      <w:color w:val="000000"/>
                      <w:sz w:val="21"/>
                      <w:szCs w:val="21"/>
                      <w:highlight w:val="none"/>
                    </w:rPr>
                    <w:t>地表水</w:t>
                  </w:r>
                </w:p>
              </w:tc>
              <w:tc>
                <w:tcPr>
                  <w:tcW w:w="3225" w:type="dxa"/>
                  <w:tcBorders>
                    <w:top w:val="single" w:color="000000" w:sz="4" w:space="0"/>
                    <w:left w:val="single" w:color="000000" w:sz="4" w:space="0"/>
                    <w:bottom w:val="single" w:color="000000" w:sz="4" w:space="0"/>
                    <w:right w:val="single" w:color="000000" w:sz="4" w:space="0"/>
                  </w:tcBorders>
                  <w:noWrap w:val="0"/>
                  <w:vAlign w:val="center"/>
                </w:tcPr>
                <w:p>
                  <w:pPr>
                    <w:pStyle w:val="259"/>
                    <w:jc w:val="both"/>
                    <w:rPr>
                      <w:color w:val="000000"/>
                      <w:sz w:val="21"/>
                      <w:szCs w:val="21"/>
                      <w:highlight w:val="none"/>
                    </w:rPr>
                  </w:pPr>
                  <w:r>
                    <w:rPr>
                      <w:color w:val="000000"/>
                      <w:sz w:val="21"/>
                      <w:szCs w:val="21"/>
                      <w:highlight w:val="none"/>
                    </w:rPr>
                    <w:t>水力发电：引水式发电、涉及调峰发电的项目；</w:t>
                  </w:r>
                </w:p>
                <w:p>
                  <w:pPr>
                    <w:pStyle w:val="259"/>
                    <w:jc w:val="both"/>
                    <w:rPr>
                      <w:color w:val="000000"/>
                      <w:sz w:val="21"/>
                      <w:szCs w:val="21"/>
                      <w:highlight w:val="none"/>
                    </w:rPr>
                  </w:pPr>
                  <w:r>
                    <w:rPr>
                      <w:color w:val="000000"/>
                      <w:sz w:val="21"/>
                      <w:szCs w:val="21"/>
                      <w:highlight w:val="none"/>
                    </w:rPr>
                    <w:t>人工湖、人工湿地：全部；</w:t>
                  </w:r>
                </w:p>
                <w:p>
                  <w:pPr>
                    <w:pStyle w:val="259"/>
                    <w:jc w:val="both"/>
                    <w:rPr>
                      <w:color w:val="000000"/>
                      <w:sz w:val="21"/>
                      <w:szCs w:val="21"/>
                      <w:highlight w:val="none"/>
                    </w:rPr>
                  </w:pPr>
                  <w:r>
                    <w:rPr>
                      <w:color w:val="000000"/>
                      <w:sz w:val="21"/>
                      <w:szCs w:val="21"/>
                      <w:highlight w:val="none"/>
                    </w:rPr>
                    <w:t>水库：全部；引水工程：全部（配套的管线工程等除外）；</w:t>
                  </w:r>
                </w:p>
                <w:p>
                  <w:pPr>
                    <w:pStyle w:val="259"/>
                    <w:jc w:val="both"/>
                    <w:rPr>
                      <w:color w:val="000000"/>
                      <w:sz w:val="21"/>
                      <w:szCs w:val="21"/>
                      <w:highlight w:val="none"/>
                    </w:rPr>
                  </w:pPr>
                  <w:r>
                    <w:rPr>
                      <w:color w:val="000000"/>
                      <w:sz w:val="21"/>
                      <w:szCs w:val="21"/>
                      <w:highlight w:val="none"/>
                    </w:rPr>
                    <w:t>防洪除涝工程：包含水库的项目；</w:t>
                  </w:r>
                </w:p>
                <w:p>
                  <w:pPr>
                    <w:pStyle w:val="259"/>
                    <w:jc w:val="both"/>
                    <w:rPr>
                      <w:color w:val="000000"/>
                      <w:sz w:val="21"/>
                      <w:szCs w:val="21"/>
                      <w:highlight w:val="none"/>
                    </w:rPr>
                  </w:pPr>
                  <w:r>
                    <w:rPr>
                      <w:color w:val="000000"/>
                      <w:sz w:val="21"/>
                      <w:szCs w:val="21"/>
                      <w:highlight w:val="none"/>
                    </w:rPr>
                    <w:t>河湖整治：涉及清淤且底泥存在重金属污染的项目</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pStyle w:val="259"/>
                    <w:rPr>
                      <w:rFonts w:hint="eastAsia" w:eastAsia="宋体"/>
                      <w:color w:val="000000"/>
                      <w:sz w:val="21"/>
                      <w:szCs w:val="21"/>
                      <w:highlight w:val="none"/>
                      <w:lang w:val="en-US" w:eastAsia="zh-CN"/>
                    </w:rPr>
                  </w:pPr>
                  <w:r>
                    <w:rPr>
                      <w:rFonts w:hint="eastAsia"/>
                      <w:color w:val="000000"/>
                      <w:sz w:val="21"/>
                      <w:szCs w:val="21"/>
                      <w:highlight w:val="none"/>
                    </w:rPr>
                    <w:t>本项目</w:t>
                  </w:r>
                  <w:r>
                    <w:rPr>
                      <w:rFonts w:hint="eastAsia"/>
                      <w:color w:val="000000"/>
                      <w:sz w:val="21"/>
                      <w:szCs w:val="21"/>
                      <w:highlight w:val="none"/>
                      <w:lang w:val="en-US" w:eastAsia="zh-CN"/>
                    </w:rPr>
                    <w:t>不涉及</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color w:val="000000"/>
                      <w:sz w:val="21"/>
                      <w:szCs w:val="21"/>
                      <w:highlight w:val="none"/>
                    </w:rPr>
                    <w:t>否</w:t>
                  </w:r>
                </w:p>
              </w:tc>
            </w:tr>
            <w:tr>
              <w:tblPrEx>
                <w:tblLayout w:type="fixed"/>
                <w:tblCellMar>
                  <w:top w:w="0" w:type="dxa"/>
                  <w:left w:w="28" w:type="dxa"/>
                  <w:bottom w:w="0" w:type="dxa"/>
                  <w:right w:w="28" w:type="dxa"/>
                </w:tblCellMar>
              </w:tblPrEx>
              <w:trPr>
                <w:trHeight w:val="1062"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ascii="宋体" w:cs="宋体"/>
                      <w:color w:val="000000"/>
                      <w:sz w:val="21"/>
                      <w:szCs w:val="21"/>
                      <w:highlight w:val="none"/>
                    </w:rPr>
                    <w:t>地下水</w:t>
                  </w:r>
                </w:p>
              </w:tc>
              <w:tc>
                <w:tcPr>
                  <w:tcW w:w="3225" w:type="dxa"/>
                  <w:tcBorders>
                    <w:top w:val="single" w:color="000000" w:sz="4" w:space="0"/>
                    <w:left w:val="single" w:color="000000" w:sz="4" w:space="0"/>
                    <w:bottom w:val="single" w:color="000000" w:sz="4" w:space="0"/>
                    <w:right w:val="single" w:color="000000" w:sz="4" w:space="0"/>
                  </w:tcBorders>
                  <w:noWrap w:val="0"/>
                  <w:vAlign w:val="center"/>
                </w:tcPr>
                <w:p>
                  <w:pPr>
                    <w:pStyle w:val="259"/>
                    <w:jc w:val="both"/>
                    <w:rPr>
                      <w:color w:val="000000"/>
                      <w:sz w:val="21"/>
                      <w:szCs w:val="21"/>
                      <w:highlight w:val="none"/>
                    </w:rPr>
                  </w:pPr>
                  <w:r>
                    <w:rPr>
                      <w:color w:val="000000"/>
                      <w:sz w:val="21"/>
                      <w:szCs w:val="21"/>
                      <w:highlight w:val="none"/>
                    </w:rPr>
                    <w:t>陆地石油和天然气开采：全部；</w:t>
                  </w:r>
                </w:p>
                <w:p>
                  <w:pPr>
                    <w:pStyle w:val="259"/>
                    <w:jc w:val="both"/>
                    <w:rPr>
                      <w:color w:val="000000"/>
                      <w:sz w:val="21"/>
                      <w:szCs w:val="21"/>
                      <w:highlight w:val="none"/>
                    </w:rPr>
                  </w:pPr>
                  <w:r>
                    <w:rPr>
                      <w:color w:val="000000"/>
                      <w:sz w:val="21"/>
                      <w:szCs w:val="21"/>
                      <w:highlight w:val="none"/>
                    </w:rPr>
                    <w:t>地下水（含矿泉水）开采：全部；</w:t>
                  </w:r>
                </w:p>
                <w:p>
                  <w:pPr>
                    <w:pStyle w:val="259"/>
                    <w:jc w:val="both"/>
                    <w:rPr>
                      <w:color w:val="000000"/>
                      <w:sz w:val="21"/>
                      <w:szCs w:val="21"/>
                      <w:highlight w:val="none"/>
                    </w:rPr>
                  </w:pPr>
                  <w:r>
                    <w:rPr>
                      <w:color w:val="000000"/>
                      <w:sz w:val="21"/>
                      <w:szCs w:val="21"/>
                      <w:highlight w:val="none"/>
                    </w:rPr>
                    <w:t>水利、水电、交通等：含穿越可溶岩地层隧道的项目</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color w:val="000000"/>
                      <w:sz w:val="21"/>
                      <w:szCs w:val="21"/>
                      <w:highlight w:val="none"/>
                    </w:rPr>
                    <w:t>本项目</w:t>
                  </w:r>
                  <w:r>
                    <w:rPr>
                      <w:rFonts w:hint="eastAsia"/>
                      <w:color w:val="000000"/>
                      <w:sz w:val="21"/>
                      <w:szCs w:val="21"/>
                      <w:highlight w:val="none"/>
                      <w:lang w:val="en-US" w:eastAsia="zh-CN"/>
                    </w:rPr>
                    <w:t>不涉及</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color w:val="000000"/>
                      <w:sz w:val="21"/>
                      <w:szCs w:val="21"/>
                      <w:highlight w:val="none"/>
                    </w:rPr>
                    <w:t>否</w:t>
                  </w:r>
                </w:p>
              </w:tc>
            </w:tr>
            <w:tr>
              <w:tblPrEx>
                <w:tblLayout w:type="fixed"/>
                <w:tblCellMar>
                  <w:top w:w="0" w:type="dxa"/>
                  <w:left w:w="28" w:type="dxa"/>
                  <w:bottom w:w="0" w:type="dxa"/>
                  <w:right w:w="28" w:type="dxa"/>
                </w:tblCellMar>
              </w:tblPrEx>
              <w:trPr>
                <w:trHeight w:val="1062"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ascii="宋体" w:cs="宋体"/>
                      <w:color w:val="000000"/>
                      <w:sz w:val="21"/>
                      <w:szCs w:val="21"/>
                      <w:highlight w:val="none"/>
                    </w:rPr>
                    <w:t>生态</w:t>
                  </w:r>
                </w:p>
              </w:tc>
              <w:tc>
                <w:tcPr>
                  <w:tcW w:w="3225" w:type="dxa"/>
                  <w:tcBorders>
                    <w:top w:val="single" w:color="000000" w:sz="4" w:space="0"/>
                    <w:left w:val="single" w:color="000000" w:sz="4" w:space="0"/>
                    <w:bottom w:val="single" w:color="000000" w:sz="4" w:space="0"/>
                    <w:right w:val="single" w:color="000000" w:sz="4" w:space="0"/>
                  </w:tcBorders>
                  <w:noWrap w:val="0"/>
                  <w:vAlign w:val="center"/>
                </w:tcPr>
                <w:p>
                  <w:pPr>
                    <w:pStyle w:val="259"/>
                    <w:jc w:val="both"/>
                    <w:rPr>
                      <w:color w:val="000000"/>
                      <w:sz w:val="21"/>
                      <w:szCs w:val="21"/>
                      <w:highlight w:val="none"/>
                    </w:rPr>
                  </w:pPr>
                  <w:r>
                    <w:rPr>
                      <w:rFonts w:ascii="Times New Roman" w:hAnsi="Times New Roman" w:eastAsia="宋体" w:cs="Times New Roman"/>
                      <w:color w:val="000000"/>
                      <w:sz w:val="21"/>
                      <w:szCs w:val="21"/>
                      <w:highlight w:val="none"/>
                    </w:rPr>
                    <w:t>涉及环境敏感区（不包括饮用水水源保护区，以居住、医疗卫生、文化教育、</w:t>
                  </w:r>
                  <w:r>
                    <w:rPr>
                      <w:color w:val="000000"/>
                      <w:sz w:val="21"/>
                      <w:szCs w:val="21"/>
                      <w:highlight w:val="none"/>
                    </w:rPr>
                    <w:t>科研、行政办公为主要功能的区域，以及文物保护单位）的项目</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pStyle w:val="259"/>
                    <w:rPr>
                      <w:rFonts w:eastAsia="宋体"/>
                      <w:color w:val="000000"/>
                      <w:spacing w:val="-2"/>
                      <w:sz w:val="21"/>
                      <w:szCs w:val="21"/>
                      <w:highlight w:val="none"/>
                      <w:lang w:val="en-US" w:eastAsia="zh-CN"/>
                    </w:rPr>
                  </w:pPr>
                  <w:r>
                    <w:rPr>
                      <w:rFonts w:hint="eastAsia"/>
                      <w:color w:val="000000"/>
                      <w:sz w:val="21"/>
                      <w:szCs w:val="21"/>
                      <w:highlight w:val="none"/>
                    </w:rPr>
                    <w:t>本项目</w:t>
                  </w:r>
                  <w:r>
                    <w:rPr>
                      <w:rFonts w:hint="eastAsia"/>
                      <w:color w:val="000000"/>
                      <w:sz w:val="21"/>
                      <w:szCs w:val="21"/>
                      <w:highlight w:val="none"/>
                      <w:lang w:val="en-US" w:eastAsia="zh-CN"/>
                    </w:rPr>
                    <w:t>不涉及</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pStyle w:val="259"/>
                    <w:rPr>
                      <w:rFonts w:hint="eastAsia" w:eastAsia="宋体"/>
                      <w:color w:val="000000"/>
                      <w:spacing w:val="-2"/>
                      <w:sz w:val="21"/>
                      <w:szCs w:val="21"/>
                      <w:highlight w:val="none"/>
                      <w:lang w:eastAsia="zh-CN"/>
                    </w:rPr>
                  </w:pPr>
                  <w:r>
                    <w:rPr>
                      <w:rFonts w:hint="eastAsia"/>
                      <w:color w:val="000000"/>
                      <w:sz w:val="21"/>
                      <w:szCs w:val="21"/>
                      <w:highlight w:val="none"/>
                    </w:rPr>
                    <w:t>否</w:t>
                  </w:r>
                </w:p>
              </w:tc>
            </w:tr>
            <w:tr>
              <w:tblPrEx>
                <w:tblLayout w:type="fixed"/>
                <w:tblCellMar>
                  <w:top w:w="0" w:type="dxa"/>
                  <w:left w:w="28" w:type="dxa"/>
                  <w:bottom w:w="0" w:type="dxa"/>
                  <w:right w:w="28" w:type="dxa"/>
                </w:tblCellMar>
              </w:tblPrEx>
              <w:trPr>
                <w:trHeight w:val="1062"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bookmarkStart w:id="7" w:name="_Hlk135689547"/>
                  <w:r>
                    <w:rPr>
                      <w:rFonts w:hint="eastAsia" w:ascii="宋体" w:cs="宋体"/>
                      <w:color w:val="000000"/>
                      <w:sz w:val="21"/>
                      <w:szCs w:val="21"/>
                      <w:highlight w:val="none"/>
                    </w:rPr>
                    <w:t>大气</w:t>
                  </w:r>
                </w:p>
              </w:tc>
              <w:tc>
                <w:tcPr>
                  <w:tcW w:w="3225" w:type="dxa"/>
                  <w:tcBorders>
                    <w:top w:val="single" w:color="000000" w:sz="4" w:space="0"/>
                    <w:left w:val="single" w:color="000000" w:sz="4" w:space="0"/>
                    <w:bottom w:val="single" w:color="000000" w:sz="4" w:space="0"/>
                    <w:right w:val="single" w:color="000000" w:sz="4" w:space="0"/>
                  </w:tcBorders>
                  <w:noWrap w:val="0"/>
                  <w:vAlign w:val="center"/>
                </w:tcPr>
                <w:p>
                  <w:pPr>
                    <w:pStyle w:val="259"/>
                    <w:jc w:val="both"/>
                    <w:rPr>
                      <w:color w:val="000000"/>
                      <w:sz w:val="21"/>
                      <w:szCs w:val="21"/>
                      <w:highlight w:val="none"/>
                    </w:rPr>
                  </w:pPr>
                  <w:r>
                    <w:rPr>
                      <w:color w:val="000000"/>
                      <w:sz w:val="21"/>
                      <w:szCs w:val="21"/>
                      <w:highlight w:val="none"/>
                    </w:rPr>
                    <w:t>油气、液体化工码头：全部；</w:t>
                  </w:r>
                </w:p>
                <w:p>
                  <w:pPr>
                    <w:pStyle w:val="259"/>
                    <w:jc w:val="both"/>
                    <w:rPr>
                      <w:color w:val="000000"/>
                      <w:sz w:val="21"/>
                      <w:szCs w:val="21"/>
                      <w:highlight w:val="none"/>
                    </w:rPr>
                  </w:pPr>
                  <w:r>
                    <w:rPr>
                      <w:color w:val="000000"/>
                      <w:sz w:val="21"/>
                      <w:szCs w:val="21"/>
                      <w:highlight w:val="none"/>
                    </w:rPr>
                    <w:t>干散货（含煤炭、矿石）、件杂、多用途、通用码头：涉及粉尘、挥发性有机物排放的项目</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color w:val="000000"/>
                      <w:sz w:val="21"/>
                      <w:szCs w:val="21"/>
                      <w:highlight w:val="none"/>
                      <w:lang w:val="en-US" w:eastAsia="zh-CN"/>
                    </w:rPr>
                    <w:t>本项目为城市道路</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color w:val="000000"/>
                      <w:sz w:val="21"/>
                      <w:szCs w:val="21"/>
                      <w:highlight w:val="none"/>
                    </w:rPr>
                    <w:t>否</w:t>
                  </w:r>
                </w:p>
              </w:tc>
            </w:tr>
            <w:bookmarkEnd w:id="7"/>
            <w:tr>
              <w:tblPrEx>
                <w:tblLayout w:type="fixed"/>
                <w:tblCellMar>
                  <w:top w:w="0" w:type="dxa"/>
                  <w:left w:w="28" w:type="dxa"/>
                  <w:bottom w:w="0" w:type="dxa"/>
                  <w:right w:w="28" w:type="dxa"/>
                </w:tblCellMar>
              </w:tblPrEx>
              <w:trPr>
                <w:trHeight w:val="1720"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ascii="宋体" w:cs="宋体"/>
                      <w:color w:val="000000"/>
                      <w:sz w:val="21"/>
                      <w:szCs w:val="21"/>
                      <w:highlight w:val="none"/>
                    </w:rPr>
                    <w:t>噪声</w:t>
                  </w:r>
                </w:p>
              </w:tc>
              <w:tc>
                <w:tcPr>
                  <w:tcW w:w="3225" w:type="dxa"/>
                  <w:tcBorders>
                    <w:top w:val="single" w:color="000000" w:sz="4" w:space="0"/>
                    <w:left w:val="single" w:color="000000" w:sz="4" w:space="0"/>
                    <w:bottom w:val="single" w:color="000000" w:sz="4" w:space="0"/>
                    <w:right w:val="single" w:color="000000" w:sz="4" w:space="0"/>
                  </w:tcBorders>
                  <w:noWrap w:val="0"/>
                  <w:vAlign w:val="center"/>
                </w:tcPr>
                <w:p>
                  <w:pPr>
                    <w:pStyle w:val="259"/>
                    <w:jc w:val="both"/>
                    <w:rPr>
                      <w:color w:val="000000"/>
                      <w:sz w:val="21"/>
                      <w:szCs w:val="21"/>
                      <w:highlight w:val="none"/>
                    </w:rPr>
                  </w:pPr>
                  <w:r>
                    <w:rPr>
                      <w:color w:val="000000"/>
                      <w:sz w:val="21"/>
                      <w:szCs w:val="21"/>
                      <w:highlight w:val="none"/>
                    </w:rPr>
                    <w:t>公路、铁路、机场等交通运输业涉及环境敏感区（以居住、医疗卫生、文化教育、科研、行政办公为主要功能的区域）的项目；</w:t>
                  </w:r>
                </w:p>
                <w:p>
                  <w:pPr>
                    <w:pStyle w:val="259"/>
                    <w:jc w:val="both"/>
                    <w:rPr>
                      <w:color w:val="000000"/>
                      <w:sz w:val="21"/>
                      <w:szCs w:val="21"/>
                      <w:highlight w:val="none"/>
                    </w:rPr>
                  </w:pPr>
                  <w:r>
                    <w:rPr>
                      <w:color w:val="000000"/>
                      <w:sz w:val="21"/>
                      <w:szCs w:val="21"/>
                      <w:highlight w:val="none"/>
                    </w:rPr>
                    <w:t>城市道路（不含维护，不含支路、人行天桥、人行地道）：全部</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pStyle w:val="259"/>
                    <w:rPr>
                      <w:rFonts w:hint="default" w:eastAsia="宋体"/>
                      <w:color w:val="000000"/>
                      <w:sz w:val="21"/>
                      <w:szCs w:val="21"/>
                      <w:highlight w:val="none"/>
                      <w:lang w:val="en-US" w:eastAsia="zh-CN"/>
                    </w:rPr>
                  </w:pPr>
                  <w:r>
                    <w:rPr>
                      <w:rFonts w:hint="eastAsia"/>
                      <w:color w:val="000000"/>
                      <w:sz w:val="21"/>
                      <w:szCs w:val="21"/>
                      <w:highlight w:val="none"/>
                      <w:lang w:val="en-US" w:eastAsia="zh-CN"/>
                    </w:rPr>
                    <w:t>本项目为城市道路</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pStyle w:val="259"/>
                    <w:rPr>
                      <w:rFonts w:hint="default" w:eastAsia="宋体"/>
                      <w:color w:val="000000"/>
                      <w:sz w:val="21"/>
                      <w:szCs w:val="21"/>
                      <w:highlight w:val="none"/>
                      <w:lang w:val="en-US" w:eastAsia="zh-CN"/>
                    </w:rPr>
                  </w:pPr>
                  <w:r>
                    <w:rPr>
                      <w:rFonts w:hint="eastAsia"/>
                      <w:color w:val="000000"/>
                      <w:sz w:val="21"/>
                      <w:szCs w:val="21"/>
                      <w:highlight w:val="none"/>
                      <w:lang w:val="en-US" w:eastAsia="zh-CN"/>
                    </w:rPr>
                    <w:t>是</w:t>
                  </w:r>
                </w:p>
              </w:tc>
            </w:tr>
            <w:tr>
              <w:tblPrEx>
                <w:tblLayout w:type="fixed"/>
                <w:tblCellMar>
                  <w:top w:w="0" w:type="dxa"/>
                  <w:left w:w="28" w:type="dxa"/>
                  <w:bottom w:w="0" w:type="dxa"/>
                  <w:right w:w="28" w:type="dxa"/>
                </w:tblCellMar>
              </w:tblPrEx>
              <w:trPr>
                <w:trHeight w:val="1598" w:hRule="atLeast"/>
                <w:jc w:val="center"/>
              </w:trPr>
              <w:tc>
                <w:tcPr>
                  <w:tcW w:w="946"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ascii="宋体" w:cs="宋体"/>
                      <w:color w:val="000000"/>
                      <w:sz w:val="21"/>
                      <w:szCs w:val="21"/>
                      <w:highlight w:val="none"/>
                    </w:rPr>
                    <w:t>环境风险</w:t>
                  </w:r>
                </w:p>
              </w:tc>
              <w:tc>
                <w:tcPr>
                  <w:tcW w:w="3225" w:type="dxa"/>
                  <w:tcBorders>
                    <w:top w:val="single" w:color="000000" w:sz="4" w:space="0"/>
                    <w:left w:val="single" w:color="000000" w:sz="4" w:space="0"/>
                    <w:bottom w:val="single" w:color="000000" w:sz="4" w:space="0"/>
                    <w:right w:val="single" w:color="000000" w:sz="4" w:space="0"/>
                  </w:tcBorders>
                  <w:noWrap w:val="0"/>
                  <w:vAlign w:val="center"/>
                </w:tcPr>
                <w:p>
                  <w:pPr>
                    <w:pStyle w:val="259"/>
                    <w:jc w:val="both"/>
                    <w:rPr>
                      <w:color w:val="000000"/>
                      <w:sz w:val="21"/>
                      <w:szCs w:val="21"/>
                      <w:highlight w:val="none"/>
                    </w:rPr>
                  </w:pPr>
                  <w:r>
                    <w:rPr>
                      <w:color w:val="000000"/>
                      <w:sz w:val="21"/>
                      <w:szCs w:val="21"/>
                      <w:highlight w:val="none"/>
                    </w:rPr>
                    <w:t>石油和天然气开采：全部；油气、液体化工码头：全部；</w:t>
                  </w:r>
                </w:p>
                <w:p>
                  <w:pPr>
                    <w:pStyle w:val="259"/>
                    <w:jc w:val="both"/>
                    <w:rPr>
                      <w:color w:val="000000"/>
                      <w:sz w:val="21"/>
                      <w:szCs w:val="21"/>
                      <w:highlight w:val="none"/>
                    </w:rPr>
                  </w:pPr>
                  <w:r>
                    <w:rPr>
                      <w:color w:val="000000"/>
                      <w:sz w:val="21"/>
                      <w:szCs w:val="21"/>
                      <w:highlight w:val="none"/>
                    </w:rPr>
                    <w:t>原油、成品油、天然气管线（不含城镇天然气管线、企业厂区内管线），危险化学品输送管线（不含企业厂区内管线）：全部</w:t>
                  </w:r>
                </w:p>
              </w:tc>
              <w:tc>
                <w:tcPr>
                  <w:tcW w:w="1274"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color w:val="000000"/>
                      <w:sz w:val="21"/>
                      <w:szCs w:val="21"/>
                      <w:highlight w:val="none"/>
                    </w:rPr>
                    <w:t>本项目</w:t>
                  </w:r>
                  <w:r>
                    <w:rPr>
                      <w:rFonts w:hint="eastAsia"/>
                      <w:color w:val="000000"/>
                      <w:sz w:val="21"/>
                      <w:szCs w:val="21"/>
                      <w:highlight w:val="none"/>
                      <w:lang w:val="en-US" w:eastAsia="zh-CN"/>
                    </w:rPr>
                    <w:t>不涉及</w:t>
                  </w:r>
                </w:p>
              </w:tc>
              <w:tc>
                <w:tcPr>
                  <w:tcW w:w="878" w:type="dxa"/>
                  <w:tcBorders>
                    <w:top w:val="single" w:color="000000" w:sz="4" w:space="0"/>
                    <w:left w:val="single" w:color="000000" w:sz="4" w:space="0"/>
                    <w:bottom w:val="single" w:color="000000" w:sz="4" w:space="0"/>
                    <w:right w:val="single" w:color="000000" w:sz="4" w:space="0"/>
                  </w:tcBorders>
                  <w:noWrap w:val="0"/>
                  <w:vAlign w:val="center"/>
                </w:tcPr>
                <w:p>
                  <w:pPr>
                    <w:pStyle w:val="259"/>
                    <w:rPr>
                      <w:color w:val="000000"/>
                      <w:sz w:val="21"/>
                      <w:szCs w:val="21"/>
                      <w:highlight w:val="none"/>
                    </w:rPr>
                  </w:pPr>
                  <w:r>
                    <w:rPr>
                      <w:rFonts w:hint="eastAsia"/>
                      <w:color w:val="000000"/>
                      <w:sz w:val="21"/>
                      <w:szCs w:val="21"/>
                      <w:highlight w:val="none"/>
                    </w:rPr>
                    <w:t>否</w:t>
                  </w:r>
                </w:p>
              </w:tc>
            </w:tr>
          </w:tbl>
          <w:p>
            <w:pPr>
              <w:jc w:val="center"/>
              <w:rPr>
                <w:rFonts w:ascii="Times New Roman" w:hAnsi="Times New Roman" w:eastAsia="宋体" w:cs="Times New Roman"/>
                <w:color w:val="00000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1190"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规划情况</w:t>
            </w:r>
          </w:p>
        </w:tc>
        <w:tc>
          <w:tcPr>
            <w:tcW w:w="6489"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jc w:val="left"/>
              <w:textAlignment w:val="auto"/>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1、《湖南省“十四五”现代化综合交通运输体系发展规划》，湖南省人民政府办公厅，2021年8月；</w:t>
            </w:r>
          </w:p>
          <w:p>
            <w:pPr>
              <w:keepNext w:val="0"/>
              <w:keepLines w:val="0"/>
              <w:pageBreakBefore w:val="0"/>
              <w:widowControl w:val="0"/>
              <w:kinsoku/>
              <w:wordWrap/>
              <w:overflowPunct/>
              <w:topLinePunct w:val="0"/>
              <w:autoSpaceDE/>
              <w:autoSpaceDN/>
              <w:bidi w:val="0"/>
              <w:adjustRightInd w:val="0"/>
              <w:snapToGrid w:val="0"/>
              <w:spacing w:line="360" w:lineRule="auto"/>
              <w:ind w:firstLine="0"/>
              <w:jc w:val="left"/>
              <w:textAlignment w:val="auto"/>
              <w:rPr>
                <w:rFonts w:ascii="Times New Roman" w:hAnsi="Times New Roman" w:eastAsia="宋体" w:cs="Times New Roman"/>
                <w:color w:val="000000"/>
                <w:sz w:val="21"/>
                <w:szCs w:val="21"/>
                <w:highlight w:val="none"/>
                <w:lang w:eastAsia="zh-CN"/>
              </w:rPr>
            </w:pPr>
            <w:r>
              <w:rPr>
                <w:rFonts w:hint="eastAsia" w:cs="Times New Roman"/>
                <w:color w:val="000000"/>
                <w:sz w:val="21"/>
                <w:szCs w:val="21"/>
                <w:highlight w:val="none"/>
                <w:lang w:val="en-US" w:eastAsia="zh-CN"/>
              </w:rPr>
              <w:t>2</w:t>
            </w:r>
            <w:r>
              <w:rPr>
                <w:rFonts w:hint="eastAsia" w:ascii="Times New Roman" w:hAnsi="Times New Roman" w:eastAsia="宋体" w:cs="Times New Roman"/>
                <w:color w:val="000000"/>
                <w:sz w:val="21"/>
                <w:szCs w:val="21"/>
                <w:highlight w:val="none"/>
                <w:lang w:eastAsia="zh-CN"/>
              </w:rPr>
              <w:t>、《永州市交通运输“十四五”发展规划》，永州市交通运输局，2022年1月5日；</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752"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规划环境影响</w:t>
            </w:r>
          </w:p>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评价情况</w:t>
            </w:r>
          </w:p>
        </w:tc>
        <w:tc>
          <w:tcPr>
            <w:tcW w:w="6489"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789"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规划及规划环境影响评价符合性分析</w:t>
            </w:r>
          </w:p>
        </w:tc>
        <w:tc>
          <w:tcPr>
            <w:tcW w:w="6489"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eastAsia"/>
                <w:b/>
                <w:bCs/>
                <w:color w:val="000000"/>
                <w:sz w:val="21"/>
                <w:szCs w:val="21"/>
                <w:highlight w:val="none"/>
                <w:u w:val="none"/>
                <w:lang w:val="en-US" w:eastAsia="zh-CN"/>
              </w:rPr>
            </w:pPr>
            <w:r>
              <w:rPr>
                <w:rFonts w:hint="eastAsia"/>
                <w:b/>
                <w:bCs/>
                <w:color w:val="000000"/>
                <w:sz w:val="21"/>
                <w:szCs w:val="21"/>
                <w:highlight w:val="none"/>
                <w:u w:val="none"/>
                <w:lang w:val="en-US" w:eastAsia="zh-CN"/>
              </w:rPr>
              <w:t>1.1 与《湖南省“十四五”现代化综合交通运输体系发展规划》的符合性分析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left"/>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根据《湖南省“十四五”现代化综合交通运输体系发展规划》中“第三节 构建全域覆盖公路网”规划内容：</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left"/>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提升普通国省道等级与服务水平。充分发挥普通国省道干线集散功能，着力提升技术等级水平，重点推进瓶颈路段、骨干路段、重点城镇路段、旅游通道的提质改造，规划实施里程8000公里以上，其中完成提质改造约6400公里。畅通普通国省道骨架网，优先实现普通国道、普通省道骨架网中重要线路按三级以上公路标准贯通。强化省际通道建设，提升省际通道互联互通水平。实施拥堵路段及绕城镇路段提质改造，促进城市内外交通高效衔接。推动高等级公路连通机场、高铁站、重要港口、高速互通收费站等重点节点，强化多种运输方式有效衔接。推动二级以上公路连通省级以上产业园及国家级战略布局点，提升对重点城镇和重要经济节点的支撑保障作用。”</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left"/>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本项目为永州市零陵区萍阳北路延伸段及萍洲大桥西岸匝道建设项目，有助于提高公路通行能力，优化区域公路路网结构，解决高峰时交通拥堵问题。因此，本项目建设符合《湖南省“十四五”现代化综合交通运输体系发展规划》。</w:t>
            </w:r>
          </w:p>
          <w:p>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eastAsia"/>
                <w:b/>
                <w:bCs/>
                <w:color w:val="000000"/>
                <w:sz w:val="21"/>
                <w:szCs w:val="21"/>
                <w:highlight w:val="none"/>
                <w:u w:val="none"/>
                <w:lang w:val="en-US" w:eastAsia="zh-CN"/>
              </w:rPr>
            </w:pPr>
            <w:r>
              <w:rPr>
                <w:rFonts w:hint="eastAsia"/>
                <w:b/>
                <w:bCs/>
                <w:color w:val="000000"/>
                <w:sz w:val="21"/>
                <w:szCs w:val="21"/>
                <w:highlight w:val="none"/>
                <w:u w:val="none"/>
                <w:lang w:val="en-US" w:eastAsia="zh-CN"/>
              </w:rPr>
              <w:t>1.2 与《永州市交通运输“十四五”发展规划》的符合性分析</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left"/>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根据《永州市交通运输“十四五”发展规划》中“第四章 综合运输体系发展战略”规划内容：</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left"/>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普通国道（主干线）全面提质消除普通国道断头路、单车道路段，推进永州市普通国道三级及以上全线贯通，有效缓解普通国道过城镇路段瓶颈制约。形成“一环一横八射”一级公路主干线网络，主要作用是增强永州市中心城区与其他县乡之间的快速联系，凸显市中心城区的中心首位功能。”</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left"/>
              <w:textAlignment w:val="auto"/>
              <w:rPr>
                <w:color w:val="000000"/>
                <w:sz w:val="21"/>
                <w:szCs w:val="21"/>
                <w:highlight w:val="none"/>
                <w:u w:val="none"/>
                <w:lang w:val="en-US" w:eastAsia="zh-CN"/>
              </w:rPr>
            </w:pPr>
            <w:r>
              <w:rPr>
                <w:rFonts w:hint="eastAsia"/>
                <w:color w:val="000000"/>
                <w:sz w:val="21"/>
                <w:szCs w:val="21"/>
                <w:highlight w:val="none"/>
                <w:u w:val="none"/>
                <w:lang w:val="en-US" w:eastAsia="zh-CN"/>
              </w:rPr>
              <w:t>本项目为永州市零陵区萍阳北路延伸段及萍洲大桥西岸匝道建设项目，有助于提高公路通行能力，优化区域公路路网结构，解决高峰时交通拥堵问题，加快城区与其他县乡之间的快速联系。因此，本项目建设符合《永州市交通运输“十四五”发展规划》。</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16" w:type="dxa"/>
            <w:left w:w="16" w:type="dxa"/>
            <w:bottom w:w="0" w:type="dxa"/>
            <w:right w:w="16" w:type="dxa"/>
          </w:tblCellMar>
        </w:tblPrEx>
        <w:trPr>
          <w:trHeight w:val="1431" w:hRule="atLeast"/>
        </w:trPr>
        <w:tc>
          <w:tcPr>
            <w:tcW w:w="1847" w:type="dxa"/>
            <w:noWrap w:val="0"/>
            <w:tcMar>
              <w:top w:w="16" w:type="dxa"/>
              <w:left w:w="16" w:type="dxa"/>
              <w:right w:w="16" w:type="dxa"/>
            </w:tcMar>
            <w:vAlign w:val="center"/>
          </w:tcPr>
          <w:p>
            <w:pPr>
              <w:jc w:val="center"/>
              <w:rPr>
                <w:rFonts w:ascii="Times New Roman" w:hAnsi="Times New Roman" w:cs="Times New Roman"/>
                <w:color w:val="000000"/>
                <w:sz w:val="21"/>
                <w:szCs w:val="21"/>
                <w:highlight w:val="none"/>
              </w:rPr>
            </w:pPr>
            <w:bookmarkStart w:id="8" w:name="_Hlk56690880"/>
            <w:r>
              <w:rPr>
                <w:rFonts w:ascii="Times New Roman" w:hAnsi="Times New Roman" w:cs="Times New Roman"/>
                <w:color w:val="000000"/>
                <w:sz w:val="21"/>
                <w:szCs w:val="21"/>
                <w:highlight w:val="none"/>
              </w:rPr>
              <w:t>其他符合性分析</w:t>
            </w:r>
            <w:bookmarkEnd w:id="8"/>
          </w:p>
        </w:tc>
        <w:tc>
          <w:tcPr>
            <w:tcW w:w="6489" w:type="dxa"/>
            <w:gridSpan w:val="3"/>
            <w:noWrap w:val="0"/>
            <w:tcMar>
              <w:top w:w="16" w:type="dxa"/>
              <w:left w:w="16" w:type="dxa"/>
              <w:right w:w="16" w:type="dxa"/>
            </w:tcMar>
            <w:vAlign w:val="center"/>
          </w:tcPr>
          <w:p>
            <w:pPr>
              <w:spacing w:line="360" w:lineRule="auto"/>
              <w:rPr>
                <w:rFonts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1.</w:t>
            </w:r>
            <w:r>
              <w:rPr>
                <w:rFonts w:hint="eastAsia" w:cs="Times New Roman"/>
                <w:b/>
                <w:bCs/>
                <w:color w:val="000000"/>
                <w:sz w:val="21"/>
                <w:szCs w:val="21"/>
                <w:highlight w:val="none"/>
                <w:lang w:val="en-US" w:eastAsia="zh-CN"/>
              </w:rPr>
              <w:t>3</w:t>
            </w:r>
            <w:r>
              <w:rPr>
                <w:rFonts w:hint="eastAsia" w:ascii="Times New Roman" w:hAnsi="Times New Roman" w:cs="Times New Roman"/>
                <w:b/>
                <w:bCs/>
                <w:color w:val="000000"/>
                <w:sz w:val="21"/>
                <w:szCs w:val="21"/>
                <w:highlight w:val="none"/>
                <w:lang w:val="en-US" w:eastAsia="zh-CN"/>
              </w:rPr>
              <w:t xml:space="preserve"> 产业政策符合性分析</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left"/>
              <w:textAlignment w:val="auto"/>
              <w:rPr>
                <w:rFonts w:hint="default" w:ascii="Times New Roman" w:hAnsi="Times New Roman" w:eastAsia="宋体" w:cs="Times New Roman"/>
                <w:color w:val="000000"/>
                <w:sz w:val="21"/>
                <w:szCs w:val="21"/>
                <w:highlight w:val="none"/>
                <w:u w:val="none"/>
                <w:lang w:val="en-US" w:eastAsia="zh-CN"/>
              </w:rPr>
            </w:pPr>
            <w:r>
              <w:rPr>
                <w:rFonts w:hint="default" w:ascii="Times New Roman" w:hAnsi="Times New Roman" w:eastAsia="宋体" w:cs="Times New Roman"/>
                <w:color w:val="000000"/>
                <w:sz w:val="21"/>
                <w:szCs w:val="21"/>
                <w:highlight w:val="none"/>
                <w:u w:val="none"/>
                <w:lang w:val="en-US" w:eastAsia="zh-CN"/>
              </w:rPr>
              <w:t>根据《产业结构调整指导目录（2024年本）》，本项目属于鼓励类中的“二十四、</w:t>
            </w:r>
            <w:r>
              <w:rPr>
                <w:rFonts w:hint="eastAsia" w:ascii="Times New Roman" w:hAnsi="Times New Roman" w:eastAsia="宋体" w:cs="Times New Roman"/>
                <w:color w:val="000000"/>
                <w:sz w:val="21"/>
                <w:szCs w:val="21"/>
                <w:highlight w:val="none"/>
                <w:u w:val="none"/>
                <w:lang w:val="en-US" w:eastAsia="zh-CN"/>
              </w:rPr>
              <w:t>公路及道路运输中的城市公共交通</w:t>
            </w:r>
            <w:r>
              <w:rPr>
                <w:rFonts w:hint="default" w:ascii="Times New Roman" w:hAnsi="Times New Roman" w:eastAsia="宋体" w:cs="Times New Roman"/>
                <w:color w:val="000000"/>
                <w:sz w:val="21"/>
                <w:szCs w:val="21"/>
                <w:highlight w:val="none"/>
                <w:u w:val="none"/>
                <w:lang w:val="en-US" w:eastAsia="zh-CN"/>
              </w:rPr>
              <w:t>”，不属于淘汰类或限制类项目，符合国家现行产业政策要求。</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jc w:val="left"/>
              <w:textAlignment w:val="auto"/>
              <w:rPr>
                <w:rFonts w:hint="eastAsia" w:ascii="Times New Roman" w:hAnsi="Times New Roman" w:eastAsia="宋体" w:cs="Times New Roman"/>
                <w:color w:val="000000"/>
                <w:sz w:val="21"/>
                <w:szCs w:val="21"/>
                <w:highlight w:val="none"/>
                <w:u w:val="none"/>
                <w:lang w:val="en-US" w:eastAsia="zh-CN"/>
              </w:rPr>
            </w:pPr>
            <w:r>
              <w:rPr>
                <w:rFonts w:hint="default" w:ascii="Times New Roman" w:hAnsi="Times New Roman" w:eastAsia="宋体" w:cs="Times New Roman"/>
                <w:color w:val="000000"/>
                <w:sz w:val="21"/>
                <w:szCs w:val="21"/>
                <w:highlight w:val="none"/>
                <w:u w:val="none"/>
                <w:lang w:val="en-US" w:eastAsia="zh-CN"/>
              </w:rPr>
              <w:t>因此，本项目的建设符合国家产业政策要求</w:t>
            </w:r>
            <w:r>
              <w:rPr>
                <w:rFonts w:hint="eastAsia" w:ascii="Times New Roman" w:hAnsi="Times New Roman" w:eastAsia="宋体" w:cs="Times New Roman"/>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1.</w:t>
            </w:r>
            <w:r>
              <w:rPr>
                <w:rFonts w:hint="eastAsia" w:cs="Times New Roman"/>
                <w:b/>
                <w:bCs/>
                <w:color w:val="000000"/>
                <w:sz w:val="21"/>
                <w:szCs w:val="21"/>
                <w:highlight w:val="none"/>
                <w:lang w:val="en-US" w:eastAsia="zh-CN"/>
              </w:rPr>
              <w:t>4</w:t>
            </w:r>
            <w:r>
              <w:rPr>
                <w:rFonts w:hint="eastAsia" w:ascii="Times New Roman" w:hAnsi="Times New Roman" w:cs="Times New Roman"/>
                <w:b/>
                <w:bCs/>
                <w:color w:val="000000"/>
                <w:sz w:val="21"/>
                <w:szCs w:val="21"/>
                <w:highlight w:val="none"/>
                <w:lang w:val="en-US" w:eastAsia="zh-CN"/>
              </w:rPr>
              <w:t xml:space="preserve"> </w:t>
            </w:r>
            <w:r>
              <w:rPr>
                <w:rFonts w:ascii="Times New Roman" w:hAnsi="Times New Roman" w:cs="Times New Roman"/>
                <w:b/>
                <w:bCs/>
                <w:color w:val="000000"/>
                <w:sz w:val="21"/>
                <w:szCs w:val="21"/>
                <w:highlight w:val="none"/>
                <w:lang w:val="en-US" w:eastAsia="zh-CN"/>
              </w:rPr>
              <w:t>与“三线一单”相符性分析</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1.</w:t>
            </w:r>
            <w:r>
              <w:rPr>
                <w:rFonts w:hint="eastAsia" w:cs="Times New Roman"/>
                <w:b/>
                <w:bCs/>
                <w:color w:val="000000"/>
                <w:sz w:val="21"/>
                <w:szCs w:val="21"/>
                <w:highlight w:val="none"/>
                <w:lang w:val="en-US" w:eastAsia="zh-CN"/>
              </w:rPr>
              <w:t>4.1</w:t>
            </w:r>
            <w:r>
              <w:rPr>
                <w:rFonts w:hint="eastAsia" w:ascii="Times New Roman" w:hAnsi="Times New Roman" w:cs="Times New Roman"/>
                <w:b/>
                <w:bCs/>
                <w:color w:val="000000"/>
                <w:sz w:val="21"/>
                <w:szCs w:val="21"/>
                <w:highlight w:val="none"/>
                <w:lang w:val="en-US" w:eastAsia="zh-CN"/>
              </w:rPr>
              <w:t xml:space="preserve"> 生态保护红线</w:t>
            </w:r>
          </w:p>
          <w:p>
            <w:pPr>
              <w:pStyle w:val="199"/>
              <w:keepNext w:val="0"/>
              <w:keepLines w:val="0"/>
              <w:pageBreakBefore w:val="0"/>
              <w:widowControl/>
              <w:spacing w:before="0" w:after="0" w:line="360" w:lineRule="auto"/>
              <w:ind w:right="0" w:firstLine="48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湖南省生态保护红线划定面积为4.28万平方公里，占全省国土面积的20.23%。全省生态保护红线空间格局为“一湖三山四水”：“一湖”为洞庭湖（主要包括东洞庭湖、南洞庭湖、横岭湖、西洞庭湖等自然保护区和长江岸线），主要生态功能为生物多样性 维护、洪水调蓄。“三山”包括武陵—雪峰山脉生态屏障，主要生态功能为生物多样性维护与水土保持；罗霄—幕阜山脉生态屏障，主要生态功能为生物多样性维护、水源涵养和水土保持；南岭山脉生态屏障，主要生态功能为水源涵养和生物多样性维护，其中南岭山脉生态屏障是南方丘陵山地带的重要组成部分。“四水”为湘资沅澧（湘江、资水、沅江、澧水）的源头及重要水域。</w:t>
            </w:r>
          </w:p>
          <w:p>
            <w:pPr>
              <w:pStyle w:val="199"/>
              <w:keepNext w:val="0"/>
              <w:keepLines w:val="0"/>
              <w:pageBreakBefore w:val="0"/>
              <w:widowControl/>
              <w:spacing w:before="0" w:after="0" w:line="360" w:lineRule="auto"/>
              <w:ind w:right="0" w:firstLine="48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本项目为道路建设项目，位于湖南省永州市零陵区萍阳北路，根据零陵区土地利用规划图，本项目规划为道路运输，项目不在生态保护红线范围内。</w:t>
            </w:r>
          </w:p>
          <w:p>
            <w:pPr>
              <w:pStyle w:val="199"/>
              <w:keepNext w:val="0"/>
              <w:keepLines w:val="0"/>
              <w:pageBreakBefore w:val="0"/>
              <w:widowControl/>
              <w:spacing w:before="0" w:after="0" w:line="360" w:lineRule="auto"/>
              <w:ind w:right="0"/>
              <w:rPr>
                <w:rFonts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1.</w:t>
            </w:r>
            <w:r>
              <w:rPr>
                <w:rFonts w:hint="eastAsia" w:cs="Times New Roman"/>
                <w:b/>
                <w:bCs/>
                <w:color w:val="000000"/>
                <w:sz w:val="21"/>
                <w:szCs w:val="21"/>
                <w:highlight w:val="none"/>
                <w:lang w:val="en-US" w:eastAsia="zh-CN"/>
              </w:rPr>
              <w:t>4.2</w:t>
            </w:r>
            <w:r>
              <w:rPr>
                <w:rFonts w:hint="eastAsia" w:ascii="Times New Roman" w:hAnsi="Times New Roman" w:cs="Times New Roman"/>
                <w:b/>
                <w:bCs/>
                <w:color w:val="000000"/>
                <w:sz w:val="21"/>
                <w:szCs w:val="21"/>
                <w:highlight w:val="none"/>
                <w:lang w:val="en-US" w:eastAsia="zh-CN"/>
              </w:rPr>
              <w:t xml:space="preserve"> </w:t>
            </w:r>
            <w:r>
              <w:rPr>
                <w:rFonts w:ascii="Times New Roman" w:hAnsi="Times New Roman" w:cs="Times New Roman"/>
                <w:b/>
                <w:bCs/>
                <w:color w:val="000000"/>
                <w:sz w:val="21"/>
                <w:szCs w:val="21"/>
                <w:highlight w:val="none"/>
                <w:lang w:val="en-US" w:eastAsia="zh-CN"/>
              </w:rPr>
              <w:t>环境质量底线</w:t>
            </w:r>
          </w:p>
          <w:p>
            <w:pPr>
              <w:pStyle w:val="260"/>
              <w:ind w:firstLine="480"/>
              <w:rPr>
                <w:rFonts w:eastAsia="宋体"/>
                <w:color w:val="000000"/>
                <w:sz w:val="21"/>
                <w:szCs w:val="21"/>
                <w:highlight w:val="none"/>
                <w:u w:val="none"/>
                <w:lang w:val="en-US" w:eastAsia="zh-CN"/>
              </w:rPr>
            </w:pPr>
            <w:r>
              <w:rPr>
                <w:rFonts w:hint="eastAsia"/>
                <w:color w:val="000000"/>
                <w:sz w:val="21"/>
                <w:szCs w:val="21"/>
                <w:highlight w:val="none"/>
                <w:u w:val="none"/>
              </w:rPr>
              <w:t>根据永州市生态环境局《关于2023年12月全市环境质量状况通报》中附件4《2023年1-12月全市城市环境空气质量污染物浓度情况》）</w:t>
            </w:r>
            <w:r>
              <w:rPr>
                <w:color w:val="000000"/>
                <w:sz w:val="21"/>
                <w:szCs w:val="21"/>
                <w:highlight w:val="none"/>
                <w:u w:val="none"/>
              </w:rPr>
              <w:t>，</w:t>
            </w:r>
            <w:r>
              <w:rPr>
                <w:rFonts w:hint="eastAsia"/>
                <w:color w:val="000000"/>
                <w:sz w:val="21"/>
                <w:szCs w:val="21"/>
                <w:highlight w:val="none"/>
                <w:u w:val="none"/>
              </w:rPr>
              <w:t>零陵区2023年常规大气污染物中</w:t>
            </w:r>
            <w:r>
              <w:rPr>
                <w:rFonts w:hint="eastAsia"/>
                <w:color w:val="000000"/>
                <w:sz w:val="21"/>
                <w:szCs w:val="21"/>
                <w:highlight w:val="none"/>
                <w:u w:val="none"/>
                <w:lang w:eastAsia="zh-CN"/>
              </w:rPr>
              <w:t>PM</w:t>
            </w:r>
            <w:r>
              <w:rPr>
                <w:rFonts w:hint="eastAsia"/>
                <w:color w:val="000000"/>
                <w:sz w:val="21"/>
                <w:szCs w:val="21"/>
                <w:highlight w:val="none"/>
                <w:u w:val="none"/>
                <w:vertAlign w:val="subscript"/>
                <w:lang w:eastAsia="zh-CN"/>
              </w:rPr>
              <w:t>10</w:t>
            </w:r>
            <w:r>
              <w:rPr>
                <w:rFonts w:hint="eastAsia"/>
                <w:color w:val="000000"/>
                <w:sz w:val="21"/>
                <w:szCs w:val="21"/>
                <w:highlight w:val="none"/>
                <w:u w:val="none"/>
              </w:rPr>
              <w:t>、</w:t>
            </w:r>
            <w:r>
              <w:rPr>
                <w:rFonts w:hint="eastAsia"/>
                <w:color w:val="000000"/>
                <w:sz w:val="21"/>
                <w:szCs w:val="21"/>
                <w:highlight w:val="none"/>
                <w:u w:val="none"/>
                <w:lang w:eastAsia="zh-CN"/>
              </w:rPr>
              <w:t>SO</w:t>
            </w:r>
            <w:r>
              <w:rPr>
                <w:rFonts w:hint="eastAsia"/>
                <w:color w:val="000000"/>
                <w:sz w:val="21"/>
                <w:szCs w:val="21"/>
                <w:highlight w:val="none"/>
                <w:u w:val="none"/>
                <w:vertAlign w:val="subscript"/>
                <w:lang w:eastAsia="zh-CN"/>
              </w:rPr>
              <w:t>2</w:t>
            </w:r>
            <w:r>
              <w:rPr>
                <w:rFonts w:hint="eastAsia"/>
                <w:color w:val="000000"/>
                <w:sz w:val="21"/>
                <w:szCs w:val="21"/>
                <w:highlight w:val="none"/>
                <w:u w:val="none"/>
              </w:rPr>
              <w:t>、</w:t>
            </w:r>
            <w:r>
              <w:rPr>
                <w:rFonts w:hint="eastAsia"/>
                <w:color w:val="000000"/>
                <w:sz w:val="21"/>
                <w:szCs w:val="21"/>
                <w:highlight w:val="none"/>
                <w:u w:val="none"/>
                <w:lang w:eastAsia="zh-CN"/>
              </w:rPr>
              <w:t>NO</w:t>
            </w:r>
            <w:r>
              <w:rPr>
                <w:rFonts w:hint="eastAsia"/>
                <w:color w:val="000000"/>
                <w:sz w:val="21"/>
                <w:szCs w:val="21"/>
                <w:highlight w:val="none"/>
                <w:u w:val="none"/>
                <w:vertAlign w:val="subscript"/>
                <w:lang w:eastAsia="zh-CN"/>
              </w:rPr>
              <w:t>2</w:t>
            </w:r>
            <w:r>
              <w:rPr>
                <w:rFonts w:hint="eastAsia"/>
                <w:color w:val="000000"/>
                <w:sz w:val="21"/>
                <w:szCs w:val="21"/>
                <w:highlight w:val="none"/>
                <w:u w:val="none"/>
              </w:rPr>
              <w:t>、CO年平均值、O</w:t>
            </w:r>
            <w:r>
              <w:rPr>
                <w:rFonts w:hint="eastAsia"/>
                <w:color w:val="000000"/>
                <w:sz w:val="21"/>
                <w:szCs w:val="21"/>
                <w:highlight w:val="none"/>
                <w:u w:val="none"/>
                <w:vertAlign w:val="subscript"/>
              </w:rPr>
              <w:t>3</w:t>
            </w:r>
            <w:r>
              <w:rPr>
                <w:rFonts w:hint="eastAsia"/>
                <w:color w:val="000000"/>
                <w:sz w:val="21"/>
                <w:szCs w:val="21"/>
                <w:highlight w:val="none"/>
                <w:u w:val="none"/>
              </w:rPr>
              <w:t>日最大8h平均值浓度均满足《环境空气质量标准》（GB3096-2012）中二级标准要求。</w:t>
            </w:r>
            <w:r>
              <w:rPr>
                <w:rFonts w:hint="eastAsia"/>
                <w:color w:val="000000"/>
                <w:sz w:val="21"/>
                <w:szCs w:val="21"/>
                <w:highlight w:val="none"/>
                <w:u w:val="none"/>
                <w:lang w:eastAsia="zh-CN"/>
              </w:rPr>
              <w:t>PM</w:t>
            </w:r>
            <w:r>
              <w:rPr>
                <w:rFonts w:hint="eastAsia"/>
                <w:color w:val="000000"/>
                <w:sz w:val="21"/>
                <w:szCs w:val="21"/>
                <w:highlight w:val="none"/>
                <w:u w:val="none"/>
                <w:vertAlign w:val="subscript"/>
                <w:lang w:eastAsia="zh-CN"/>
              </w:rPr>
              <w:t>2.5</w:t>
            </w:r>
            <w:r>
              <w:rPr>
                <w:rFonts w:hint="eastAsia"/>
                <w:color w:val="000000"/>
                <w:sz w:val="21"/>
                <w:szCs w:val="21"/>
                <w:highlight w:val="none"/>
                <w:u w:val="none"/>
              </w:rPr>
              <w:t>占标率是102.9%，项目所在区域环境空气属于不达标区</w:t>
            </w:r>
            <w:r>
              <w:rPr>
                <w:rFonts w:hint="eastAsia"/>
                <w:color w:val="000000"/>
                <w:sz w:val="21"/>
                <w:szCs w:val="21"/>
                <w:highlight w:val="none"/>
                <w:u w:val="none"/>
                <w:lang w:eastAsia="zh-CN"/>
              </w:rPr>
              <w:t>，</w:t>
            </w:r>
            <w:r>
              <w:rPr>
                <w:rFonts w:hint="eastAsia"/>
                <w:color w:val="000000"/>
                <w:sz w:val="21"/>
                <w:szCs w:val="21"/>
                <w:highlight w:val="none"/>
                <w:u w:val="none"/>
                <w:lang w:val="en-US" w:eastAsia="zh-CN"/>
              </w:rPr>
              <w:t>超标原因为1、重污染天气应急减排不到位；2、烟花爆竹燃放管控不到位，因强化重污染天气防范和应对，全力加强烟花爆竹燃放管控。在采取上述措施后环境空气质量将得到改善并恢复到达标区。</w:t>
            </w:r>
          </w:p>
          <w:p>
            <w:pPr>
              <w:pStyle w:val="260"/>
              <w:ind w:left="0" w:leftChars="0" w:firstLine="420" w:firstLineChars="200"/>
              <w:rPr>
                <w:rFonts w:hint="default" w:eastAsia="宋体"/>
                <w:color w:val="000000"/>
                <w:sz w:val="21"/>
                <w:szCs w:val="21"/>
                <w:highlight w:val="none"/>
                <w:u w:val="none"/>
                <w:lang w:val="en-US" w:eastAsia="zh-CN"/>
              </w:rPr>
            </w:pPr>
            <w:r>
              <w:rPr>
                <w:rFonts w:hint="eastAsia"/>
                <w:color w:val="000000"/>
                <w:sz w:val="21"/>
                <w:szCs w:val="21"/>
                <w:highlight w:val="none"/>
                <w:u w:val="none"/>
                <w:lang w:val="en-US" w:eastAsia="zh-CN"/>
              </w:rPr>
              <w:t>区域</w:t>
            </w:r>
            <w:r>
              <w:rPr>
                <w:rFonts w:hint="eastAsia"/>
                <w:color w:val="000000"/>
                <w:sz w:val="21"/>
                <w:szCs w:val="21"/>
                <w:highlight w:val="none"/>
                <w:u w:val="none"/>
              </w:rPr>
              <w:t>地表水环境质量</w:t>
            </w:r>
            <w:r>
              <w:rPr>
                <w:rFonts w:hint="eastAsia"/>
                <w:color w:val="000000"/>
                <w:sz w:val="21"/>
                <w:szCs w:val="21"/>
                <w:highlight w:val="none"/>
                <w:u w:val="none"/>
                <w:lang w:val="en-US" w:eastAsia="zh-CN"/>
              </w:rPr>
              <w:t>满足</w:t>
            </w:r>
            <w:r>
              <w:rPr>
                <w:rFonts w:hint="eastAsia"/>
                <w:color w:val="000000"/>
                <w:sz w:val="21"/>
                <w:szCs w:val="21"/>
                <w:highlight w:val="none"/>
                <w:u w:val="none"/>
              </w:rPr>
              <w:t>《地表水环境质量标准》(GB3838-2002)Ⅲ类</w:t>
            </w:r>
            <w:r>
              <w:rPr>
                <w:rFonts w:hint="eastAsia"/>
                <w:color w:val="000000"/>
                <w:sz w:val="21"/>
                <w:szCs w:val="21"/>
                <w:highlight w:val="none"/>
                <w:u w:val="none"/>
                <w:lang w:val="en-US" w:eastAsia="zh-CN"/>
              </w:rPr>
              <w:t>标准要求</w:t>
            </w:r>
            <w:r>
              <w:rPr>
                <w:rFonts w:hint="eastAsia"/>
                <w:color w:val="000000"/>
                <w:sz w:val="21"/>
                <w:szCs w:val="21"/>
                <w:highlight w:val="none"/>
                <w:u w:val="none"/>
              </w:rPr>
              <w:t>，</w:t>
            </w:r>
            <w:r>
              <w:rPr>
                <w:rFonts w:hint="eastAsia"/>
                <w:color w:val="000000"/>
                <w:sz w:val="21"/>
                <w:szCs w:val="21"/>
                <w:highlight w:val="none"/>
                <w:u w:val="none"/>
                <w:lang w:val="en-US" w:eastAsia="zh-CN"/>
              </w:rPr>
              <w:t>区域</w:t>
            </w:r>
            <w:r>
              <w:rPr>
                <w:rFonts w:hint="eastAsia"/>
                <w:color w:val="000000"/>
                <w:sz w:val="21"/>
                <w:szCs w:val="21"/>
                <w:highlight w:val="none"/>
                <w:u w:val="none"/>
              </w:rPr>
              <w:t>声环境质量</w:t>
            </w:r>
            <w:r>
              <w:rPr>
                <w:rFonts w:hint="eastAsia"/>
                <w:color w:val="000000"/>
                <w:sz w:val="21"/>
                <w:szCs w:val="21"/>
                <w:highlight w:val="none"/>
                <w:u w:val="none"/>
                <w:lang w:val="en-US" w:eastAsia="zh-CN"/>
              </w:rPr>
              <w:t>满足</w:t>
            </w:r>
            <w:r>
              <w:rPr>
                <w:rFonts w:hint="eastAsia"/>
                <w:color w:val="000000"/>
                <w:sz w:val="21"/>
                <w:szCs w:val="21"/>
                <w:highlight w:val="none"/>
                <w:u w:val="none"/>
              </w:rPr>
              <w:t>《声环境质量标准》(GB3096-2008)2类</w:t>
            </w:r>
            <w:r>
              <w:rPr>
                <w:rFonts w:hint="eastAsia"/>
                <w:color w:val="000000"/>
                <w:sz w:val="21"/>
                <w:szCs w:val="21"/>
                <w:highlight w:val="none"/>
                <w:u w:val="none"/>
                <w:lang w:eastAsia="zh-CN"/>
              </w:rPr>
              <w:t>，</w:t>
            </w:r>
            <w:r>
              <w:rPr>
                <w:rFonts w:hint="eastAsia"/>
                <w:color w:val="000000"/>
                <w:sz w:val="21"/>
                <w:szCs w:val="21"/>
                <w:highlight w:val="none"/>
                <w:u w:val="none"/>
                <w:lang w:val="en-US" w:eastAsia="zh-CN"/>
              </w:rPr>
              <w:t>根据环境影响分析和预测，项目实施后对区域内环境影响较小，不会造成区域环境质量下降，噪声对周围影响在可接受范围内，不会突破项目所在地的环境质量底线。</w:t>
            </w:r>
          </w:p>
          <w:p>
            <w:pPr>
              <w:pStyle w:val="260"/>
              <w:ind w:left="0" w:firstLine="720"/>
              <w:rPr>
                <w:color w:val="000000"/>
                <w:sz w:val="21"/>
                <w:szCs w:val="21"/>
                <w:highlight w:val="none"/>
                <w:u w:val="none"/>
              </w:rPr>
            </w:pPr>
            <w:r>
              <w:rPr>
                <w:rFonts w:hint="eastAsia"/>
                <w:color w:val="000000"/>
                <w:sz w:val="21"/>
                <w:szCs w:val="21"/>
                <w:highlight w:val="none"/>
                <w:u w:val="none"/>
              </w:rPr>
              <w:t>因此</w:t>
            </w:r>
            <w:r>
              <w:rPr>
                <w:rFonts w:hint="eastAsia"/>
                <w:color w:val="000000"/>
                <w:sz w:val="21"/>
                <w:szCs w:val="21"/>
                <w:highlight w:val="none"/>
                <w:u w:val="none"/>
                <w:lang w:eastAsia="zh-CN"/>
              </w:rPr>
              <w:t>，</w:t>
            </w:r>
            <w:r>
              <w:rPr>
                <w:rFonts w:hint="eastAsia"/>
                <w:color w:val="000000"/>
                <w:sz w:val="21"/>
                <w:szCs w:val="21"/>
                <w:highlight w:val="none"/>
                <w:u w:val="none"/>
              </w:rPr>
              <w:t>本项目的建设符合环境质量底线要求。</w:t>
            </w:r>
          </w:p>
          <w:p>
            <w:pPr>
              <w:pStyle w:val="199"/>
              <w:keepNext w:val="0"/>
              <w:keepLines w:val="0"/>
              <w:pageBreakBefore w:val="0"/>
              <w:widowControl/>
              <w:spacing w:before="0" w:after="0" w:line="360" w:lineRule="auto"/>
              <w:ind w:right="0"/>
              <w:rPr>
                <w:rFonts w:hint="default"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1.</w:t>
            </w:r>
            <w:r>
              <w:rPr>
                <w:rFonts w:hint="eastAsia" w:cs="Times New Roman"/>
                <w:b/>
                <w:bCs/>
                <w:color w:val="000000"/>
                <w:sz w:val="21"/>
                <w:szCs w:val="21"/>
                <w:highlight w:val="none"/>
                <w:lang w:val="en-US" w:eastAsia="zh-CN"/>
              </w:rPr>
              <w:t>4.3</w:t>
            </w:r>
            <w:r>
              <w:rPr>
                <w:rFonts w:hint="eastAsia" w:ascii="Times New Roman" w:hAnsi="Times New Roman" w:cs="Times New Roman"/>
                <w:b/>
                <w:bCs/>
                <w:color w:val="000000"/>
                <w:sz w:val="21"/>
                <w:szCs w:val="21"/>
                <w:highlight w:val="none"/>
                <w:lang w:val="en-US" w:eastAsia="zh-CN"/>
              </w:rPr>
              <w:t xml:space="preserve"> 资源利用上线</w:t>
            </w:r>
          </w:p>
          <w:p>
            <w:pPr>
              <w:pStyle w:val="199"/>
              <w:keepNext w:val="0"/>
              <w:keepLines w:val="0"/>
              <w:pageBreakBefore w:val="0"/>
              <w:widowControl/>
              <w:spacing w:before="0" w:after="0" w:line="360" w:lineRule="auto"/>
              <w:ind w:right="0" w:firstLine="480"/>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本项目为</w:t>
            </w:r>
            <w:r>
              <w:rPr>
                <w:rFonts w:hint="default" w:ascii="Times New Roman" w:hAnsi="Times New Roman" w:cs="Times New Roman"/>
                <w:sz w:val="21"/>
                <w:szCs w:val="21"/>
                <w:highlight w:val="none"/>
                <w:u w:val="none"/>
                <w:lang w:val="en-US" w:eastAsia="zh-CN"/>
              </w:rPr>
              <w:t>城市道路建设</w:t>
            </w:r>
            <w:r>
              <w:rPr>
                <w:rFonts w:hint="default" w:ascii="Times New Roman" w:hAnsi="Times New Roman" w:cs="Times New Roman"/>
                <w:sz w:val="21"/>
                <w:szCs w:val="21"/>
                <w:highlight w:val="none"/>
                <w:u w:val="none"/>
              </w:rPr>
              <w:t>项目，不属于高耗能、重污染类项目，不建设服务区、加油站等，运营过程中无电能、水资源等资源消耗，本项目不会造成水、气、土等资源利用突破区域的资源利用上线</w:t>
            </w:r>
            <w:r>
              <w:rPr>
                <w:rFonts w:hint="default" w:ascii="Times New Roman" w:hAnsi="Times New Roman" w:cs="Times New Roman"/>
                <w:sz w:val="21"/>
                <w:szCs w:val="21"/>
                <w:highlight w:val="none"/>
                <w:u w:val="none"/>
                <w:lang w:eastAsia="zh-CN"/>
              </w:rPr>
              <w:t>，</w:t>
            </w:r>
            <w:r>
              <w:rPr>
                <w:rFonts w:hint="default" w:ascii="Times New Roman" w:hAnsi="Times New Roman" w:cs="Times New Roman"/>
                <w:color w:val="000000"/>
                <w:sz w:val="21"/>
                <w:szCs w:val="21"/>
                <w:highlight w:val="none"/>
                <w:u w:val="none"/>
                <w:lang w:val="en-US" w:eastAsia="zh-CN"/>
              </w:rPr>
              <w:t>且会促进当地经济发展，具有“增值保值”的趋势，因此，项目建设符合资源利用上线的管控要求。</w:t>
            </w:r>
          </w:p>
          <w:p>
            <w:pPr>
              <w:pStyle w:val="199"/>
              <w:keepNext w:val="0"/>
              <w:keepLines w:val="0"/>
              <w:pageBreakBefore w:val="0"/>
              <w:widowControl/>
              <w:spacing w:before="0" w:after="0" w:line="360" w:lineRule="auto"/>
              <w:ind w:right="0"/>
              <w:rPr>
                <w:rFonts w:ascii="Times New Roman" w:hAnsi="Times New Roman" w:cs="Times New Roman"/>
                <w:color w:val="000000"/>
                <w:sz w:val="21"/>
                <w:szCs w:val="21"/>
                <w:highlight w:val="none"/>
                <w:u w:val="none"/>
                <w:lang w:val="en-US" w:eastAsia="zh-CN"/>
              </w:rPr>
            </w:pPr>
            <w:r>
              <w:rPr>
                <w:rFonts w:hint="eastAsia" w:ascii="Times New Roman" w:hAnsi="Times New Roman" w:cs="Times New Roman"/>
                <w:b/>
                <w:bCs/>
                <w:color w:val="000000"/>
                <w:sz w:val="21"/>
                <w:szCs w:val="21"/>
                <w:highlight w:val="none"/>
                <w:lang w:val="en-US" w:eastAsia="zh-CN"/>
              </w:rPr>
              <w:t>1.</w:t>
            </w:r>
            <w:r>
              <w:rPr>
                <w:rFonts w:hint="eastAsia" w:cs="Times New Roman"/>
                <w:b/>
                <w:bCs/>
                <w:color w:val="000000"/>
                <w:sz w:val="21"/>
                <w:szCs w:val="21"/>
                <w:highlight w:val="none"/>
                <w:lang w:val="en-US" w:eastAsia="zh-CN"/>
              </w:rPr>
              <w:t>4.4</w:t>
            </w:r>
            <w:r>
              <w:rPr>
                <w:rFonts w:hint="eastAsia" w:ascii="Times New Roman" w:hAnsi="Times New Roman" w:cs="Times New Roman"/>
                <w:b/>
                <w:bCs/>
                <w:color w:val="000000"/>
                <w:sz w:val="21"/>
                <w:szCs w:val="21"/>
                <w:highlight w:val="none"/>
                <w:lang w:val="en-US" w:eastAsia="zh-CN"/>
              </w:rPr>
              <w:t xml:space="preserve"> </w:t>
            </w:r>
            <w:r>
              <w:rPr>
                <w:rFonts w:ascii="Times New Roman" w:hAnsi="Times New Roman" w:cs="Times New Roman"/>
                <w:b/>
                <w:bCs/>
                <w:color w:val="000000"/>
                <w:sz w:val="21"/>
                <w:szCs w:val="21"/>
                <w:highlight w:val="none"/>
                <w:u w:val="none"/>
                <w:lang w:val="en-US" w:eastAsia="zh-CN"/>
              </w:rPr>
              <w:t>与生态环境准入清单相符性</w:t>
            </w:r>
          </w:p>
          <w:p>
            <w:pPr>
              <w:pStyle w:val="45"/>
              <w:keepNext w:val="0"/>
              <w:keepLines w:val="0"/>
              <w:pageBreakBefore w:val="0"/>
              <w:widowControl/>
              <w:spacing w:before="0" w:beforeAutospacing="0" w:after="0" w:afterAutospacing="0" w:line="360" w:lineRule="auto"/>
              <w:ind w:firstLine="420" w:firstLineChars="200"/>
              <w:jc w:val="both"/>
              <w:rPr>
                <w:rFonts w:ascii="Times New Roman" w:hAnsi="Times New Roman" w:eastAsia="宋体" w:cs="Times New Roman"/>
                <w:color w:val="000000"/>
                <w:sz w:val="21"/>
                <w:szCs w:val="21"/>
                <w:highlight w:val="none"/>
                <w:u w:val="none"/>
                <w:shd w:val="clear" w:color="auto" w:fill="auto"/>
                <w:lang w:val="en-US" w:eastAsia="zh-CN" w:bidi="zh-TW"/>
              </w:rPr>
            </w:pPr>
            <w:r>
              <w:rPr>
                <w:rFonts w:hint="eastAsia" w:ascii="Times New Roman" w:hAnsi="Times New Roman" w:eastAsia="宋体" w:cs="Times New Roman"/>
                <w:color w:val="000000"/>
                <w:sz w:val="21"/>
                <w:szCs w:val="21"/>
                <w:highlight w:val="none"/>
                <w:u w:val="none"/>
                <w:shd w:val="clear" w:color="auto" w:fill="auto"/>
                <w:lang w:val="en-US" w:eastAsia="zh-CN" w:bidi="zh-TW"/>
              </w:rPr>
              <w:t>本项目</w:t>
            </w:r>
            <w:r>
              <w:rPr>
                <w:rFonts w:hint="eastAsia" w:cs="Times New Roman"/>
                <w:color w:val="000000"/>
                <w:sz w:val="21"/>
                <w:szCs w:val="21"/>
                <w:highlight w:val="none"/>
                <w:u w:val="none"/>
                <w:shd w:val="clear" w:color="auto" w:fill="auto"/>
                <w:lang w:val="en-US" w:eastAsia="zh-CN" w:bidi="zh-TW"/>
              </w:rPr>
              <w:t>位于</w:t>
            </w:r>
            <w:r>
              <w:rPr>
                <w:rFonts w:hint="eastAsia" w:cs="Times New Roman"/>
                <w:color w:val="000000"/>
                <w:sz w:val="21"/>
                <w:szCs w:val="21"/>
                <w:highlight w:val="none"/>
                <w:lang w:val="en-US" w:eastAsia="zh-CN"/>
              </w:rPr>
              <w:t>湖南省永州市零陵区萍阳北路，根据《永州市生态环境局关于发布永州市生态环境分区管控更新成果（2023版）的通知》，项目所在地属于朝阳街道，环境管控单元编码ZH43110210001，优先保护单元，属于省级重点开发区域，对照该管控意见中对零陵区的管控要求，对本项目相符性进行分析，具体分析见下表</w:t>
            </w:r>
            <w:r>
              <w:rPr>
                <w:rFonts w:hint="eastAsia" w:ascii="Times New Roman" w:hAnsi="Times New Roman" w:eastAsia="宋体" w:cs="Times New Roman"/>
                <w:color w:val="000000"/>
                <w:sz w:val="21"/>
                <w:szCs w:val="21"/>
                <w:highlight w:val="none"/>
                <w:u w:val="none"/>
                <w:shd w:val="clear" w:color="auto" w:fill="auto"/>
                <w:lang w:val="en-US" w:eastAsia="zh-CN" w:bidi="zh-TW"/>
              </w:rPr>
              <w:t>。</w:t>
            </w:r>
          </w:p>
          <w:p>
            <w:pPr>
              <w:pStyle w:val="45"/>
              <w:keepNext w:val="0"/>
              <w:keepLines w:val="0"/>
              <w:pageBreakBefore w:val="0"/>
              <w:widowControl/>
              <w:spacing w:before="0" w:beforeAutospacing="0" w:after="0" w:afterAutospacing="0" w:line="240" w:lineRule="exact"/>
              <w:ind w:firstLine="422"/>
              <w:jc w:val="center"/>
              <w:rPr>
                <w:rFonts w:hint="eastAsia" w:ascii="Times New Roman" w:hAnsi="Times New Roman" w:cs="Times New Roman"/>
                <w:b/>
                <w:bCs/>
                <w:color w:val="000000"/>
                <w:sz w:val="21"/>
                <w:szCs w:val="21"/>
                <w:highlight w:val="none"/>
                <w:u w:val="none"/>
                <w:lang w:val="en-US" w:eastAsia="zh-CN"/>
              </w:rPr>
            </w:pPr>
            <w:r>
              <w:rPr>
                <w:rFonts w:hint="eastAsia" w:ascii="Times New Roman" w:hAnsi="Times New Roman" w:cs="Times New Roman"/>
                <w:b/>
                <w:bCs/>
                <w:color w:val="000000"/>
                <w:sz w:val="21"/>
                <w:szCs w:val="21"/>
                <w:highlight w:val="none"/>
                <w:u w:val="none"/>
                <w:lang w:val="en-US" w:eastAsia="zh-CN"/>
              </w:rPr>
              <w:t>表1</w:t>
            </w:r>
            <w:r>
              <w:rPr>
                <w:rFonts w:hint="eastAsia" w:cs="Times New Roman"/>
                <w:b/>
                <w:bCs/>
                <w:color w:val="000000"/>
                <w:sz w:val="21"/>
                <w:szCs w:val="21"/>
                <w:highlight w:val="none"/>
                <w:u w:val="none"/>
                <w:lang w:val="en-US" w:eastAsia="zh-CN"/>
              </w:rPr>
              <w:t>-2</w:t>
            </w:r>
            <w:r>
              <w:rPr>
                <w:rFonts w:hint="eastAsia" w:ascii="Times New Roman" w:hAnsi="Times New Roman" w:cs="Times New Roman"/>
                <w:b/>
                <w:bCs/>
                <w:color w:val="000000"/>
                <w:sz w:val="21"/>
                <w:szCs w:val="21"/>
                <w:highlight w:val="none"/>
                <w:u w:val="none"/>
                <w:lang w:val="en-US" w:eastAsia="zh-CN"/>
              </w:rPr>
              <w:t xml:space="preserve"> 项目与生态环境分区管控符合性一览表</w:t>
            </w:r>
          </w:p>
          <w:tbl>
            <w:tblPr>
              <w:tblStyle w:val="40"/>
              <w:tblW w:w="64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3443"/>
              <w:gridCol w:w="1624"/>
              <w:gridCol w:w="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690" w:type="dxa"/>
                  <w:noWrap w:val="0"/>
                  <w:vAlign w:val="center"/>
                </w:tcPr>
                <w:p>
                  <w:pPr>
                    <w:pStyle w:val="264"/>
                    <w:spacing w:line="240" w:lineRule="auto"/>
                    <w:rPr>
                      <w:b/>
                      <w:bCs/>
                      <w:color w:val="auto"/>
                      <w:u w:val="none" w:color="auto"/>
                    </w:rPr>
                  </w:pPr>
                  <w:r>
                    <w:rPr>
                      <w:b/>
                      <w:bCs/>
                      <w:color w:val="auto"/>
                      <w:u w:val="none" w:color="auto"/>
                    </w:rPr>
                    <w:t>管控</w:t>
                  </w:r>
                </w:p>
                <w:p>
                  <w:pPr>
                    <w:pStyle w:val="264"/>
                    <w:spacing w:line="240" w:lineRule="auto"/>
                    <w:rPr>
                      <w:b/>
                      <w:bCs/>
                      <w:color w:val="auto"/>
                      <w:u w:val="none" w:color="auto"/>
                    </w:rPr>
                  </w:pPr>
                  <w:r>
                    <w:rPr>
                      <w:b/>
                      <w:bCs/>
                      <w:color w:val="auto"/>
                      <w:u w:val="none" w:color="auto"/>
                    </w:rPr>
                    <w:t>维度</w:t>
                  </w:r>
                </w:p>
              </w:tc>
              <w:tc>
                <w:tcPr>
                  <w:tcW w:w="3443" w:type="dxa"/>
                  <w:noWrap w:val="0"/>
                  <w:vAlign w:val="center"/>
                </w:tcPr>
                <w:p>
                  <w:pPr>
                    <w:pStyle w:val="264"/>
                    <w:spacing w:line="240" w:lineRule="auto"/>
                    <w:rPr>
                      <w:b/>
                      <w:bCs/>
                      <w:color w:val="auto"/>
                      <w:u w:val="none" w:color="auto"/>
                    </w:rPr>
                  </w:pPr>
                  <w:r>
                    <w:rPr>
                      <w:b/>
                      <w:bCs/>
                      <w:color w:val="auto"/>
                      <w:u w:val="none" w:color="auto"/>
                    </w:rPr>
                    <w:t>管控要求</w:t>
                  </w:r>
                </w:p>
              </w:tc>
              <w:tc>
                <w:tcPr>
                  <w:tcW w:w="1624" w:type="dxa"/>
                  <w:noWrap w:val="0"/>
                  <w:vAlign w:val="center"/>
                </w:tcPr>
                <w:p>
                  <w:pPr>
                    <w:pStyle w:val="264"/>
                    <w:spacing w:line="240" w:lineRule="auto"/>
                    <w:rPr>
                      <w:b/>
                      <w:bCs/>
                      <w:color w:val="auto"/>
                      <w:u w:val="none" w:color="auto"/>
                    </w:rPr>
                  </w:pPr>
                  <w:r>
                    <w:rPr>
                      <w:b/>
                      <w:bCs/>
                      <w:color w:val="auto"/>
                      <w:u w:val="none" w:color="auto"/>
                    </w:rPr>
                    <w:t>项目实际情况</w:t>
                  </w:r>
                </w:p>
              </w:tc>
              <w:tc>
                <w:tcPr>
                  <w:tcW w:w="686" w:type="dxa"/>
                  <w:noWrap w:val="0"/>
                  <w:vAlign w:val="center"/>
                </w:tcPr>
                <w:p>
                  <w:pPr>
                    <w:pStyle w:val="264"/>
                    <w:spacing w:line="240" w:lineRule="auto"/>
                    <w:rPr>
                      <w:b/>
                      <w:bCs/>
                      <w:color w:val="auto"/>
                      <w:u w:val="none" w:color="auto"/>
                    </w:rPr>
                  </w:pPr>
                  <w:r>
                    <w:rPr>
                      <w:b/>
                      <w:bCs/>
                      <w:color w:val="auto"/>
                      <w:u w:val="none" w:color="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0" w:type="dxa"/>
                  <w:noWrap w:val="0"/>
                  <w:vAlign w:val="center"/>
                </w:tcPr>
                <w:p>
                  <w:pPr>
                    <w:pStyle w:val="264"/>
                    <w:spacing w:line="240" w:lineRule="auto"/>
                    <w:rPr>
                      <w:color w:val="auto"/>
                      <w:u w:val="none" w:color="auto"/>
                    </w:rPr>
                  </w:pPr>
                  <w:r>
                    <w:rPr>
                      <w:color w:val="auto"/>
                      <w:u w:val="none" w:color="auto"/>
                    </w:rPr>
                    <w:t>空间布局约束</w:t>
                  </w:r>
                </w:p>
              </w:tc>
              <w:tc>
                <w:tcPr>
                  <w:tcW w:w="3443" w:type="dxa"/>
                  <w:noWrap w:val="0"/>
                  <w:vAlign w:val="center"/>
                </w:tcPr>
                <w:p>
                  <w:pPr>
                    <w:pStyle w:val="264"/>
                    <w:spacing w:line="240" w:lineRule="auto"/>
                    <w:jc w:val="both"/>
                    <w:rPr>
                      <w:rFonts w:hint="eastAsia" w:ascii="Times New Roman" w:hAnsi="Times New Roman"/>
                      <w:color w:val="auto"/>
                      <w:kern w:val="2"/>
                      <w:sz w:val="21"/>
                      <w:szCs w:val="21"/>
                      <w:u w:val="none" w:color="auto"/>
                    </w:rPr>
                  </w:pPr>
                  <w:r>
                    <w:rPr>
                      <w:rFonts w:hint="eastAsia" w:ascii="Times New Roman" w:hAnsi="Times New Roman"/>
                      <w:color w:val="auto"/>
                      <w:kern w:val="2"/>
                      <w:sz w:val="21"/>
                      <w:szCs w:val="21"/>
                      <w:u w:val="none" w:color="auto"/>
                      <w:lang w:eastAsia="zh-CN"/>
                    </w:rPr>
                    <w:t>(</w:t>
                  </w:r>
                  <w:r>
                    <w:rPr>
                      <w:rFonts w:ascii="Times New Roman" w:hAnsi="Times New Roman"/>
                      <w:color w:val="auto"/>
                      <w:kern w:val="2"/>
                      <w:sz w:val="21"/>
                      <w:szCs w:val="21"/>
                      <w:u w:val="none" w:color="auto"/>
                    </w:rPr>
                    <w:t>1.1</w:t>
                  </w:r>
                  <w:r>
                    <w:rPr>
                      <w:rFonts w:hint="eastAsia" w:ascii="Times New Roman" w:hAnsi="Times New Roman"/>
                      <w:color w:val="auto"/>
                      <w:kern w:val="2"/>
                      <w:sz w:val="21"/>
                      <w:szCs w:val="21"/>
                      <w:u w:val="none" w:color="auto"/>
                      <w:lang w:eastAsia="zh-CN"/>
                    </w:rPr>
                    <w:t>)</w:t>
                  </w:r>
                  <w:r>
                    <w:rPr>
                      <w:rFonts w:hint="eastAsia" w:ascii="Times New Roman" w:hAnsi="Times New Roman"/>
                      <w:color w:val="auto"/>
                      <w:kern w:val="2"/>
                      <w:sz w:val="21"/>
                      <w:szCs w:val="21"/>
                      <w:u w:val="none" w:color="auto"/>
                    </w:rPr>
                    <w:t>永州市零陵区潇水饮用水水源保护区：严格控制旅游、航运、项目建设等开发行为，禁止燃油船舶在饮用水源保护区内游玩，严格控制二级保护区范围内新上旅游开发项目。禁止在南津渡水厂、娘子岭水厂取水口上游1000米，下游200米范围内垂钓、停泊渔船和电鱼捕鱼。</w:t>
                  </w:r>
                </w:p>
                <w:p>
                  <w:pPr>
                    <w:pStyle w:val="264"/>
                    <w:spacing w:line="240" w:lineRule="auto"/>
                    <w:jc w:val="both"/>
                    <w:rPr>
                      <w:rFonts w:hint="eastAsia" w:ascii="Times New Roman" w:hAnsi="Times New Roman"/>
                      <w:color w:val="auto"/>
                      <w:kern w:val="2"/>
                      <w:sz w:val="21"/>
                      <w:szCs w:val="21"/>
                      <w:u w:val="none" w:color="auto"/>
                    </w:rPr>
                  </w:pPr>
                  <w:r>
                    <w:rPr>
                      <w:rFonts w:hint="eastAsia" w:ascii="Times New Roman" w:hAnsi="Times New Roman"/>
                      <w:color w:val="auto"/>
                      <w:kern w:val="2"/>
                      <w:sz w:val="21"/>
                      <w:szCs w:val="21"/>
                      <w:u w:val="none" w:color="auto"/>
                      <w:lang w:eastAsia="zh-CN"/>
                    </w:rPr>
                    <w:t>(</w:t>
                  </w:r>
                  <w:r>
                    <w:rPr>
                      <w:rFonts w:hint="eastAsia" w:ascii="Times New Roman" w:hAnsi="Times New Roman"/>
                      <w:color w:val="auto"/>
                      <w:kern w:val="2"/>
                      <w:sz w:val="21"/>
                      <w:szCs w:val="21"/>
                      <w:u w:val="none" w:color="auto"/>
                    </w:rPr>
                    <w:t>1.2</w:t>
                  </w:r>
                  <w:r>
                    <w:rPr>
                      <w:rFonts w:hint="eastAsia" w:ascii="Times New Roman" w:hAnsi="Times New Roman"/>
                      <w:color w:val="auto"/>
                      <w:kern w:val="2"/>
                      <w:sz w:val="21"/>
                      <w:szCs w:val="21"/>
                      <w:u w:val="none" w:color="auto"/>
                      <w:lang w:eastAsia="zh-CN"/>
                    </w:rPr>
                    <w:t>)</w:t>
                  </w:r>
                  <w:r>
                    <w:rPr>
                      <w:rFonts w:hint="eastAsia" w:ascii="Times New Roman" w:hAnsi="Times New Roman"/>
                      <w:color w:val="auto"/>
                      <w:kern w:val="2"/>
                      <w:sz w:val="21"/>
                      <w:szCs w:val="21"/>
                      <w:u w:val="none" w:color="auto"/>
                    </w:rPr>
                    <w:t>湖南零陵潇水国家湿地公园：湿地公园内不得设立开发区、度假区。禁止擅自在水面设置竹箔等障碍物，禁止非法引进外来物种或擅自放生，确需修建相关工程的，应当进行科学论证、评估，并征求相关部门的意见。已退耕还湿的地域禁止新建居民点或者其他永久性建筑物、构筑物。湿地公园管理局划定的植被恢复区，禁止放牧和种植。</w:t>
                  </w:r>
                </w:p>
                <w:p>
                  <w:pPr>
                    <w:pStyle w:val="264"/>
                    <w:spacing w:line="240" w:lineRule="auto"/>
                    <w:jc w:val="both"/>
                    <w:rPr>
                      <w:color w:val="auto"/>
                      <w:u w:val="none" w:color="auto"/>
                    </w:rPr>
                  </w:pPr>
                  <w:r>
                    <w:rPr>
                      <w:rFonts w:hint="eastAsia" w:ascii="Times New Roman" w:hAnsi="Times New Roman"/>
                      <w:color w:val="auto"/>
                      <w:kern w:val="2"/>
                      <w:sz w:val="21"/>
                      <w:szCs w:val="21"/>
                      <w:u w:val="none" w:color="auto"/>
                      <w:lang w:eastAsia="zh-CN"/>
                    </w:rPr>
                    <w:t>(</w:t>
                  </w:r>
                  <w:r>
                    <w:rPr>
                      <w:rFonts w:hint="eastAsia" w:ascii="Times New Roman" w:hAnsi="Times New Roman"/>
                      <w:color w:val="auto"/>
                      <w:kern w:val="2"/>
                      <w:sz w:val="21"/>
                      <w:szCs w:val="21"/>
                      <w:u w:val="none" w:color="auto"/>
                    </w:rPr>
                    <w:t>1.3</w:t>
                  </w:r>
                  <w:r>
                    <w:rPr>
                      <w:rFonts w:hint="eastAsia" w:ascii="Times New Roman" w:hAnsi="Times New Roman"/>
                      <w:color w:val="auto"/>
                      <w:kern w:val="2"/>
                      <w:sz w:val="21"/>
                      <w:szCs w:val="21"/>
                      <w:u w:val="none" w:color="auto"/>
                      <w:lang w:eastAsia="zh-CN"/>
                    </w:rPr>
                    <w:t>)</w:t>
                  </w:r>
                  <w:r>
                    <w:rPr>
                      <w:rFonts w:hint="eastAsia" w:ascii="Times New Roman" w:hAnsi="Times New Roman"/>
                      <w:color w:val="auto"/>
                      <w:kern w:val="2"/>
                      <w:sz w:val="21"/>
                      <w:szCs w:val="21"/>
                      <w:u w:val="none" w:color="auto"/>
                    </w:rPr>
                    <w:t>畜禽养殖布局应符合《零陵区畜禽规模养殖“三区”划定方案》</w:t>
                  </w:r>
                  <w:r>
                    <w:rPr>
                      <w:color w:val="auto"/>
                      <w:u w:val="none" w:color="auto"/>
                      <w:shd w:val="clear" w:color="auto" w:fill="FFFFFF"/>
                    </w:rPr>
                    <w:t>。</w:t>
                  </w:r>
                </w:p>
              </w:tc>
              <w:tc>
                <w:tcPr>
                  <w:tcW w:w="1624" w:type="dxa"/>
                  <w:noWrap w:val="0"/>
                  <w:vAlign w:val="center"/>
                </w:tcPr>
                <w:p>
                  <w:pPr>
                    <w:pStyle w:val="264"/>
                    <w:spacing w:line="240" w:lineRule="auto"/>
                    <w:jc w:val="both"/>
                    <w:rPr>
                      <w:rFonts w:ascii="Times New Roman" w:hAnsi="Times New Roman"/>
                      <w:color w:val="auto"/>
                      <w:u w:val="none" w:color="auto"/>
                    </w:rPr>
                  </w:pPr>
                  <w:r>
                    <w:rPr>
                      <w:rFonts w:hint="eastAsia"/>
                      <w:sz w:val="21"/>
                      <w:szCs w:val="21"/>
                      <w:highlight w:val="none"/>
                      <w:u w:val="none"/>
                    </w:rPr>
                    <w:t>本项目为</w:t>
                  </w:r>
                  <w:r>
                    <w:rPr>
                      <w:color w:val="000000"/>
                      <w:sz w:val="21"/>
                      <w:szCs w:val="21"/>
                      <w:highlight w:val="none"/>
                    </w:rPr>
                    <w:t>城市道路</w:t>
                  </w:r>
                  <w:r>
                    <w:rPr>
                      <w:rFonts w:hint="eastAsia"/>
                      <w:sz w:val="21"/>
                      <w:szCs w:val="21"/>
                      <w:highlight w:val="none"/>
                      <w:u w:val="none"/>
                      <w:lang w:val="en-US" w:eastAsia="zh-CN"/>
                    </w:rPr>
                    <w:t>建设</w:t>
                  </w:r>
                  <w:r>
                    <w:rPr>
                      <w:rFonts w:hint="eastAsia"/>
                      <w:sz w:val="21"/>
                      <w:szCs w:val="21"/>
                      <w:highlight w:val="none"/>
                      <w:u w:val="none"/>
                    </w:rPr>
                    <w:t>项目，</w:t>
                  </w:r>
                  <w:r>
                    <w:rPr>
                      <w:rFonts w:hint="eastAsia"/>
                      <w:color w:val="auto"/>
                      <w:u w:val="none" w:color="auto"/>
                    </w:rPr>
                    <w:t>项目所在地不涉及</w:t>
                  </w:r>
                  <w:r>
                    <w:rPr>
                      <w:rFonts w:hint="eastAsia" w:ascii="Times New Roman" w:hAnsi="Times New Roman"/>
                      <w:color w:val="auto"/>
                      <w:kern w:val="2"/>
                      <w:sz w:val="21"/>
                      <w:szCs w:val="21"/>
                      <w:u w:val="none" w:color="auto"/>
                    </w:rPr>
                    <w:t>永州市零陵区潇水饮用水水源保护区</w:t>
                  </w:r>
                  <w:r>
                    <w:rPr>
                      <w:rFonts w:hint="eastAsia"/>
                      <w:color w:val="auto"/>
                      <w:kern w:val="2"/>
                      <w:sz w:val="21"/>
                      <w:szCs w:val="21"/>
                      <w:u w:val="none" w:color="auto"/>
                      <w:lang w:eastAsia="zh-CN"/>
                    </w:rPr>
                    <w:t>、</w:t>
                  </w:r>
                  <w:r>
                    <w:rPr>
                      <w:rFonts w:hint="eastAsia" w:ascii="Times New Roman" w:hAnsi="Times New Roman"/>
                      <w:color w:val="auto"/>
                      <w:kern w:val="2"/>
                      <w:sz w:val="21"/>
                      <w:szCs w:val="21"/>
                      <w:u w:val="none" w:color="auto"/>
                    </w:rPr>
                    <w:t>零陵潇水国家湿地公园</w:t>
                  </w:r>
                  <w:r>
                    <w:rPr>
                      <w:rFonts w:hint="eastAsia" w:ascii="Times New Roman" w:hAnsi="Times New Roman"/>
                      <w:color w:val="auto"/>
                      <w:u w:val="none" w:color="auto"/>
                    </w:rPr>
                    <w:t>。</w:t>
                  </w:r>
                </w:p>
              </w:tc>
              <w:tc>
                <w:tcPr>
                  <w:tcW w:w="686" w:type="dxa"/>
                  <w:noWrap w:val="0"/>
                  <w:vAlign w:val="center"/>
                </w:tcPr>
                <w:p>
                  <w:pPr>
                    <w:pStyle w:val="264"/>
                    <w:spacing w:line="240" w:lineRule="auto"/>
                    <w:rPr>
                      <w:color w:val="auto"/>
                      <w:u w:val="none" w:color="auto"/>
                    </w:rPr>
                  </w:pPr>
                  <w:r>
                    <w:rPr>
                      <w:color w:val="auto"/>
                      <w:u w:val="none" w:color="auto"/>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90" w:type="dxa"/>
                  <w:noWrap w:val="0"/>
                  <w:vAlign w:val="center"/>
                </w:tcPr>
                <w:p>
                  <w:pPr>
                    <w:pStyle w:val="264"/>
                    <w:spacing w:line="240" w:lineRule="auto"/>
                    <w:rPr>
                      <w:color w:val="auto"/>
                      <w:u w:val="none" w:color="auto"/>
                    </w:rPr>
                  </w:pPr>
                  <w:r>
                    <w:rPr>
                      <w:color w:val="auto"/>
                      <w:u w:val="none" w:color="auto"/>
                    </w:rPr>
                    <w:t>污染物排放管控</w:t>
                  </w:r>
                </w:p>
              </w:tc>
              <w:tc>
                <w:tcPr>
                  <w:tcW w:w="3443" w:type="dxa"/>
                  <w:noWrap w:val="0"/>
                  <w:vAlign w:val="center"/>
                </w:tcPr>
                <w:p>
                  <w:pPr>
                    <w:pStyle w:val="265"/>
                    <w:spacing w:line="240" w:lineRule="auto"/>
                    <w:ind w:firstLine="0" w:firstLineChars="0"/>
                    <w:jc w:val="left"/>
                    <w:rPr>
                      <w:rFonts w:hint="eastAsia"/>
                      <w:color w:val="auto"/>
                      <w:szCs w:val="21"/>
                      <w:u w:val="none" w:color="auto"/>
                      <w:lang w:eastAsia="zh-CN"/>
                    </w:rPr>
                  </w:pPr>
                  <w:r>
                    <w:rPr>
                      <w:rFonts w:hint="eastAsia"/>
                      <w:color w:val="auto"/>
                      <w:szCs w:val="21"/>
                      <w:u w:val="none" w:color="auto"/>
                      <w:lang w:eastAsia="zh-CN"/>
                    </w:rPr>
                    <w:t>(2.1)湖南零陵潇水国家湿地公园：禁止任意存储固体废弃物，对农用薄膜和渔网等不可降解的废弃物，使用者应当采取回收利用等措施。湿地公园内航行的船舶，应当配置符合国家规定的防污设备，不得排放污染物、生活污水及固体垃圾。</w:t>
                  </w:r>
                </w:p>
                <w:p>
                  <w:pPr>
                    <w:pStyle w:val="265"/>
                    <w:spacing w:line="240" w:lineRule="auto"/>
                    <w:ind w:firstLine="0" w:firstLineChars="0"/>
                    <w:jc w:val="left"/>
                    <w:rPr>
                      <w:rFonts w:hint="eastAsia"/>
                      <w:color w:val="auto"/>
                      <w:szCs w:val="21"/>
                      <w:u w:val="none" w:color="auto"/>
                      <w:lang w:eastAsia="zh-CN"/>
                    </w:rPr>
                  </w:pPr>
                  <w:r>
                    <w:rPr>
                      <w:rFonts w:hint="eastAsia"/>
                      <w:color w:val="auto"/>
                      <w:szCs w:val="21"/>
                      <w:u w:val="none" w:color="auto"/>
                      <w:lang w:eastAsia="zh-CN"/>
                    </w:rPr>
                    <w:t>(2.2)现有规模化畜禽养殖场（小区）根据污染治理需要，配套建设粪便污水贮存、处理、利用设施，配套设施比例达到95%以上；加强畜禽养殖场污水的资源化利用。提升畜禽粪污资源利用水平，到2025年，全区畜禽粪污综合利用率达到90%以上。</w:t>
                  </w:r>
                </w:p>
                <w:p>
                  <w:pPr>
                    <w:pStyle w:val="265"/>
                    <w:spacing w:line="240" w:lineRule="auto"/>
                    <w:ind w:firstLine="0" w:firstLineChars="0"/>
                    <w:jc w:val="left"/>
                    <w:rPr>
                      <w:rFonts w:hint="eastAsia"/>
                      <w:color w:val="auto"/>
                      <w:szCs w:val="21"/>
                      <w:u w:val="none" w:color="auto"/>
                      <w:lang w:eastAsia="zh-CN"/>
                    </w:rPr>
                  </w:pPr>
                  <w:r>
                    <w:rPr>
                      <w:rFonts w:hint="eastAsia"/>
                      <w:color w:val="auto"/>
                      <w:szCs w:val="21"/>
                      <w:u w:val="none" w:color="auto"/>
                      <w:lang w:eastAsia="zh-CN"/>
                    </w:rPr>
                    <w:t>(2.3)池塘及适宜养殖山塘、水库，全面推行生态养殖、减排增效技术，提高水产养殖生产水平，开展养殖尾水处理，池塘尾水排放应符合《淡水池塘养殖水排放要求》。</w:t>
                  </w:r>
                </w:p>
                <w:p>
                  <w:pPr>
                    <w:pStyle w:val="265"/>
                    <w:spacing w:line="240" w:lineRule="auto"/>
                    <w:ind w:firstLine="0" w:firstLineChars="0"/>
                    <w:jc w:val="left"/>
                    <w:rPr>
                      <w:rFonts w:hint="eastAsia"/>
                      <w:color w:val="auto"/>
                      <w:szCs w:val="21"/>
                      <w:u w:val="none" w:color="auto"/>
                      <w:lang w:eastAsia="zh-CN"/>
                    </w:rPr>
                  </w:pPr>
                  <w:r>
                    <w:rPr>
                      <w:rFonts w:hint="eastAsia"/>
                      <w:color w:val="auto"/>
                      <w:szCs w:val="21"/>
                      <w:u w:val="none" w:color="auto"/>
                      <w:lang w:eastAsia="zh-CN"/>
                    </w:rPr>
                    <w:t>(2.4)建设乡镇垃圾中转站等垃圾处理转运设施，实现农村乡镇和生活垃圾处理全普及。开展黑臭水体治理，加快推进污水处理厂建设，农村生活污水治理覆盖面达到80%以上。</w:t>
                  </w:r>
                </w:p>
                <w:p>
                  <w:pPr>
                    <w:pStyle w:val="265"/>
                    <w:spacing w:line="240" w:lineRule="auto"/>
                    <w:ind w:firstLine="0" w:firstLineChars="0"/>
                    <w:jc w:val="left"/>
                    <w:rPr>
                      <w:rFonts w:hint="eastAsia"/>
                      <w:color w:val="auto"/>
                      <w:szCs w:val="21"/>
                      <w:u w:val="none" w:color="auto"/>
                      <w:lang w:eastAsia="zh-CN"/>
                    </w:rPr>
                  </w:pPr>
                  <w:r>
                    <w:rPr>
                      <w:rFonts w:hint="eastAsia"/>
                      <w:color w:val="auto"/>
                      <w:szCs w:val="21"/>
                      <w:u w:val="none" w:color="auto"/>
                      <w:lang w:eastAsia="zh-CN"/>
                    </w:rPr>
                    <w:t>(2.</w:t>
                  </w:r>
                  <w:r>
                    <w:rPr>
                      <w:rFonts w:hint="eastAsia"/>
                      <w:color w:val="auto"/>
                      <w:szCs w:val="21"/>
                      <w:u w:val="none" w:color="auto"/>
                      <w:lang w:val="en-US" w:eastAsia="zh-CN"/>
                    </w:rPr>
                    <w:t>5</w:t>
                  </w:r>
                  <w:r>
                    <w:rPr>
                      <w:rFonts w:hint="eastAsia"/>
                      <w:color w:val="auto"/>
                      <w:szCs w:val="21"/>
                      <w:u w:val="none" w:color="auto"/>
                      <w:lang w:eastAsia="zh-CN"/>
                    </w:rPr>
                    <w:t>)严格控制全市砖瓦、水泥、锰矿等产能严重过剩行业的新增产能项目，积极化解水泥、砖瓦、锰矿、有色等过剩行业产能，依法淘汰落后产能。</w:t>
                  </w:r>
                </w:p>
                <w:p>
                  <w:pPr>
                    <w:pStyle w:val="265"/>
                    <w:spacing w:line="240" w:lineRule="auto"/>
                    <w:ind w:firstLine="0" w:firstLineChars="0"/>
                    <w:jc w:val="left"/>
                    <w:rPr>
                      <w:rFonts w:hint="eastAsia"/>
                      <w:color w:val="auto"/>
                      <w:szCs w:val="21"/>
                      <w:u w:val="none" w:color="auto"/>
                      <w:lang w:eastAsia="zh-CN"/>
                    </w:rPr>
                  </w:pPr>
                  <w:r>
                    <w:rPr>
                      <w:rFonts w:hint="eastAsia"/>
                      <w:color w:val="auto"/>
                      <w:szCs w:val="21"/>
                      <w:u w:val="none" w:color="auto"/>
                      <w:lang w:eastAsia="zh-CN"/>
                    </w:rPr>
                    <w:t>(2.</w:t>
                  </w:r>
                  <w:r>
                    <w:rPr>
                      <w:rFonts w:hint="eastAsia"/>
                      <w:color w:val="auto"/>
                      <w:szCs w:val="21"/>
                      <w:u w:val="none" w:color="auto"/>
                      <w:lang w:val="en-US" w:eastAsia="zh-CN"/>
                    </w:rPr>
                    <w:t>6</w:t>
                  </w:r>
                  <w:r>
                    <w:rPr>
                      <w:rFonts w:hint="eastAsia"/>
                      <w:color w:val="auto"/>
                      <w:szCs w:val="21"/>
                      <w:u w:val="none" w:color="auto"/>
                      <w:lang w:eastAsia="zh-CN"/>
                    </w:rPr>
                    <w:t>)建立秸秆综合利用长效机制，全面遏制焚烧秸秆现象。2025年之前，秸秆综合利用率达到85%以上</w:t>
                  </w:r>
                  <w:r>
                    <w:rPr>
                      <w:color w:val="auto"/>
                      <w:szCs w:val="21"/>
                      <w:u w:val="none" w:color="auto"/>
                    </w:rPr>
                    <w:t>。</w:t>
                  </w:r>
                </w:p>
                <w:p>
                  <w:pPr>
                    <w:pStyle w:val="265"/>
                    <w:spacing w:line="240" w:lineRule="auto"/>
                    <w:ind w:firstLine="0" w:firstLineChars="0"/>
                    <w:jc w:val="left"/>
                    <w:rPr>
                      <w:rFonts w:hint="eastAsia"/>
                      <w:color w:val="auto"/>
                      <w:szCs w:val="21"/>
                      <w:u w:val="none" w:color="auto"/>
                      <w:lang w:eastAsia="zh-CN"/>
                    </w:rPr>
                  </w:pPr>
                  <w:r>
                    <w:rPr>
                      <w:rFonts w:hint="eastAsia"/>
                      <w:color w:val="auto"/>
                      <w:szCs w:val="21"/>
                      <w:u w:val="none" w:color="auto"/>
                      <w:lang w:eastAsia="zh-CN"/>
                    </w:rPr>
                    <w:t>（</w:t>
                  </w:r>
                  <w:r>
                    <w:rPr>
                      <w:rFonts w:hint="eastAsia"/>
                      <w:color w:val="auto"/>
                      <w:szCs w:val="21"/>
                      <w:u w:val="none" w:color="auto"/>
                      <w:lang w:val="en-US" w:eastAsia="zh-CN"/>
                    </w:rPr>
                    <w:t>2.7</w:t>
                  </w:r>
                  <w:r>
                    <w:rPr>
                      <w:rFonts w:hint="eastAsia"/>
                      <w:color w:val="auto"/>
                      <w:szCs w:val="21"/>
                      <w:u w:val="none" w:color="auto"/>
                      <w:lang w:eastAsia="zh-CN"/>
                    </w:rPr>
                    <w:t>）启动乡镇生活垃圾处理工程建设。到2025年，农村生活垃圾收集处置体系实现乡镇全覆盖，生活垃圾定点存放清运率100%，垃圾分类减量85%以上，集镇生活垃圾无害化处置率达90%；到2030年，集镇生活垃圾无害化处置率达100%。</w:t>
                  </w:r>
                </w:p>
                <w:p>
                  <w:pPr>
                    <w:pStyle w:val="265"/>
                    <w:spacing w:line="240" w:lineRule="auto"/>
                    <w:ind w:firstLine="0" w:firstLineChars="0"/>
                    <w:jc w:val="left"/>
                    <w:rPr>
                      <w:color w:val="auto"/>
                      <w:u w:val="none" w:color="auto"/>
                    </w:rPr>
                  </w:pPr>
                  <w:r>
                    <w:rPr>
                      <w:rFonts w:hint="eastAsia"/>
                      <w:color w:val="auto"/>
                      <w:szCs w:val="21"/>
                      <w:u w:val="none" w:color="auto"/>
                      <w:lang w:eastAsia="zh-CN"/>
                    </w:rPr>
                    <w:t>（</w:t>
                  </w:r>
                  <w:r>
                    <w:rPr>
                      <w:rFonts w:hint="eastAsia"/>
                      <w:color w:val="auto"/>
                      <w:szCs w:val="21"/>
                      <w:u w:val="none" w:color="auto"/>
                      <w:lang w:val="en-US" w:eastAsia="zh-CN"/>
                    </w:rPr>
                    <w:t>2.8</w:t>
                  </w:r>
                  <w:r>
                    <w:rPr>
                      <w:rFonts w:hint="eastAsia"/>
                      <w:color w:val="auto"/>
                      <w:szCs w:val="21"/>
                      <w:u w:val="none" w:color="auto"/>
                      <w:lang w:eastAsia="zh-CN"/>
                    </w:rPr>
                    <w:t>）朝阳街道：三湘电化须严格做好各项污染防治设施的运行管理和维护，确保生产工艺废水稳定实现全部回用不外排，并做好含铬盐泥的收集、暂存、转移管理。湘科软磁大气环境防护距离内严禁新建学校、医院、住宅等环境敏感项目；各类生产废水分类收集处理后全部回用，禁止外排；非正常工况下废水经事故防范池收集，严禁直排。</w:t>
                  </w:r>
                </w:p>
              </w:tc>
              <w:tc>
                <w:tcPr>
                  <w:tcW w:w="1624" w:type="dxa"/>
                  <w:noWrap w:val="0"/>
                  <w:vAlign w:val="center"/>
                </w:tcPr>
                <w:p>
                  <w:pPr>
                    <w:pStyle w:val="264"/>
                    <w:spacing w:line="240" w:lineRule="auto"/>
                    <w:jc w:val="left"/>
                    <w:rPr>
                      <w:color w:val="auto"/>
                      <w:u w:val="none" w:color="auto"/>
                    </w:rPr>
                  </w:pPr>
                  <w:r>
                    <w:rPr>
                      <w:rFonts w:hint="eastAsia"/>
                      <w:color w:val="auto"/>
                      <w:u w:val="none" w:color="auto"/>
                    </w:rPr>
                    <w:t>项目</w:t>
                  </w:r>
                  <w:r>
                    <w:rPr>
                      <w:rFonts w:hint="eastAsia" w:ascii="Times New Roman" w:hAnsi="Times New Roman"/>
                      <w:color w:val="auto"/>
                      <w:u w:val="none" w:color="auto"/>
                    </w:rPr>
                    <w:t>不</w:t>
                  </w:r>
                  <w:r>
                    <w:rPr>
                      <w:rFonts w:hint="eastAsia" w:ascii="Times New Roman" w:hAnsi="Times New Roman"/>
                      <w:color w:val="auto"/>
                      <w:u w:val="none" w:color="auto"/>
                      <w:lang w:val="en-US" w:eastAsia="zh-CN"/>
                    </w:rPr>
                    <w:t>属于</w:t>
                  </w:r>
                  <w:r>
                    <w:rPr>
                      <w:rFonts w:hint="eastAsia" w:ascii="Times New Roman" w:hAnsi="Times New Roman"/>
                      <w:color w:val="auto"/>
                      <w:kern w:val="2"/>
                      <w:sz w:val="21"/>
                      <w:szCs w:val="21"/>
                      <w:u w:val="none" w:color="auto"/>
                    </w:rPr>
                    <w:t>畜禽养殖</w:t>
                  </w:r>
                  <w:r>
                    <w:rPr>
                      <w:rFonts w:hint="eastAsia" w:ascii="Times New Roman" w:hAnsi="Times New Roman"/>
                      <w:color w:val="auto"/>
                      <w:kern w:val="2"/>
                      <w:sz w:val="21"/>
                      <w:szCs w:val="21"/>
                      <w:u w:val="none" w:color="auto"/>
                      <w:lang w:eastAsia="zh-CN"/>
                    </w:rPr>
                    <w:t>，</w:t>
                  </w:r>
                  <w:r>
                    <w:rPr>
                      <w:rFonts w:hint="eastAsia" w:ascii="Times New Roman" w:hAnsi="Times New Roman"/>
                      <w:color w:val="auto"/>
                      <w:u w:val="none" w:color="auto"/>
                    </w:rPr>
                    <w:t>不属于</w:t>
                  </w:r>
                  <w:r>
                    <w:rPr>
                      <w:rFonts w:hint="eastAsia" w:ascii="Times New Roman" w:hAnsi="Times New Roman"/>
                      <w:color w:val="auto"/>
                      <w:kern w:val="2"/>
                      <w:sz w:val="21"/>
                      <w:szCs w:val="21"/>
                      <w:u w:val="none" w:color="auto"/>
                    </w:rPr>
                    <w:t>湖南零陵潇水国家湿地公园</w:t>
                  </w:r>
                  <w:r>
                    <w:rPr>
                      <w:rFonts w:hint="eastAsia"/>
                      <w:color w:val="auto"/>
                      <w:kern w:val="2"/>
                      <w:sz w:val="21"/>
                      <w:szCs w:val="21"/>
                      <w:u w:val="none" w:color="auto"/>
                      <w:lang w:val="en-US" w:eastAsia="zh-CN"/>
                    </w:rPr>
                    <w:t>范围内。</w:t>
                  </w:r>
                </w:p>
              </w:tc>
              <w:tc>
                <w:tcPr>
                  <w:tcW w:w="686" w:type="dxa"/>
                  <w:noWrap w:val="0"/>
                  <w:vAlign w:val="center"/>
                </w:tcPr>
                <w:p>
                  <w:pPr>
                    <w:pStyle w:val="264"/>
                    <w:spacing w:line="240" w:lineRule="auto"/>
                    <w:rPr>
                      <w:color w:val="auto"/>
                      <w:u w:val="none" w:color="auto"/>
                    </w:rPr>
                  </w:pPr>
                  <w:r>
                    <w:rPr>
                      <w:color w:val="auto"/>
                      <w:u w:val="none" w:color="auto"/>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0" w:type="dxa"/>
                  <w:noWrap w:val="0"/>
                  <w:vAlign w:val="center"/>
                </w:tcPr>
                <w:p>
                  <w:pPr>
                    <w:pStyle w:val="264"/>
                    <w:spacing w:line="240" w:lineRule="auto"/>
                    <w:rPr>
                      <w:color w:val="auto"/>
                      <w:highlight w:val="yellow"/>
                      <w:u w:val="none" w:color="auto"/>
                    </w:rPr>
                  </w:pPr>
                  <w:r>
                    <w:rPr>
                      <w:color w:val="auto"/>
                      <w:u w:val="none" w:color="auto"/>
                    </w:rPr>
                    <w:t>环境风险防控</w:t>
                  </w:r>
                </w:p>
              </w:tc>
              <w:tc>
                <w:tcPr>
                  <w:tcW w:w="3443" w:type="dxa"/>
                  <w:noWrap w:val="0"/>
                  <w:vAlign w:val="center"/>
                </w:tcPr>
                <w:p>
                  <w:pPr>
                    <w:pStyle w:val="264"/>
                    <w:spacing w:line="240" w:lineRule="auto"/>
                    <w:jc w:val="both"/>
                    <w:rPr>
                      <w:rFonts w:hint="eastAsia" w:eastAsia="宋体"/>
                      <w:color w:val="auto"/>
                      <w:highlight w:val="yellow"/>
                      <w:u w:val="none" w:color="auto"/>
                      <w:lang w:eastAsia="zh-CN"/>
                    </w:rPr>
                  </w:pPr>
                  <w:r>
                    <w:rPr>
                      <w:rFonts w:hint="eastAsia"/>
                      <w:color w:val="auto"/>
                      <w:szCs w:val="21"/>
                      <w:u w:val="none" w:color="auto"/>
                      <w:lang w:eastAsia="zh-CN"/>
                    </w:rPr>
                    <w:t>(</w:t>
                  </w:r>
                  <w:r>
                    <w:rPr>
                      <w:color w:val="auto"/>
                      <w:szCs w:val="21"/>
                      <w:u w:val="none" w:color="auto"/>
                    </w:rPr>
                    <w:t>3.1</w:t>
                  </w:r>
                  <w:r>
                    <w:rPr>
                      <w:rFonts w:hint="eastAsia"/>
                      <w:color w:val="auto"/>
                      <w:szCs w:val="21"/>
                      <w:u w:val="none" w:color="auto"/>
                      <w:lang w:eastAsia="zh-CN"/>
                    </w:rPr>
                    <w:t>)</w:t>
                  </w:r>
                  <w:r>
                    <w:rPr>
                      <w:rFonts w:hint="eastAsia"/>
                      <w:color w:val="auto"/>
                      <w:szCs w:val="21"/>
                      <w:u w:val="none" w:color="auto"/>
                    </w:rPr>
                    <w:t>朝阳街道：三湘电化要进一步加强环境风险防范工作，切实防范环境风险事故发生</w:t>
                  </w:r>
                  <w:r>
                    <w:rPr>
                      <w:rFonts w:hint="eastAsia"/>
                      <w:color w:val="auto"/>
                      <w:szCs w:val="21"/>
                      <w:u w:val="none" w:color="auto"/>
                      <w:lang w:eastAsia="zh-CN"/>
                    </w:rPr>
                    <w:t>。</w:t>
                  </w:r>
                </w:p>
              </w:tc>
              <w:tc>
                <w:tcPr>
                  <w:tcW w:w="1624" w:type="dxa"/>
                  <w:noWrap w:val="0"/>
                  <w:vAlign w:val="center"/>
                </w:tcPr>
                <w:p>
                  <w:pPr>
                    <w:pStyle w:val="226"/>
                    <w:spacing w:line="240" w:lineRule="auto"/>
                    <w:ind w:firstLine="0" w:firstLineChars="0"/>
                    <w:rPr>
                      <w:rFonts w:hint="eastAsia" w:eastAsia="宋体"/>
                      <w:color w:val="auto"/>
                      <w:u w:val="none" w:color="auto"/>
                      <w:lang w:eastAsia="zh-CN"/>
                    </w:rPr>
                  </w:pPr>
                  <w:r>
                    <w:rPr>
                      <w:rFonts w:hint="eastAsia"/>
                      <w:color w:val="auto"/>
                      <w:u w:val="none" w:color="auto"/>
                    </w:rPr>
                    <w:t>项目不属于</w:t>
                  </w:r>
                  <w:r>
                    <w:rPr>
                      <w:rFonts w:hint="eastAsia"/>
                      <w:color w:val="auto"/>
                      <w:szCs w:val="21"/>
                      <w:u w:val="none" w:color="auto"/>
                    </w:rPr>
                    <w:t>三湘电化</w:t>
                  </w:r>
                  <w:r>
                    <w:rPr>
                      <w:rFonts w:hint="eastAsia"/>
                      <w:color w:val="auto"/>
                      <w:szCs w:val="21"/>
                      <w:u w:val="none" w:color="auto"/>
                      <w:lang w:eastAsia="zh-CN"/>
                    </w:rPr>
                    <w:t>。</w:t>
                  </w:r>
                </w:p>
              </w:tc>
              <w:tc>
                <w:tcPr>
                  <w:tcW w:w="686" w:type="dxa"/>
                  <w:noWrap w:val="0"/>
                  <w:vAlign w:val="center"/>
                </w:tcPr>
                <w:p>
                  <w:pPr>
                    <w:pStyle w:val="264"/>
                    <w:spacing w:line="240" w:lineRule="auto"/>
                    <w:rPr>
                      <w:color w:val="auto"/>
                      <w:highlight w:val="yellow"/>
                      <w:u w:val="none" w:color="auto"/>
                    </w:rPr>
                  </w:pPr>
                  <w:r>
                    <w:rPr>
                      <w:color w:val="auto"/>
                      <w:u w:val="none" w:color="auto"/>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90" w:type="dxa"/>
                  <w:noWrap w:val="0"/>
                  <w:vAlign w:val="center"/>
                </w:tcPr>
                <w:p>
                  <w:pPr>
                    <w:pStyle w:val="264"/>
                    <w:spacing w:line="240" w:lineRule="auto"/>
                    <w:rPr>
                      <w:color w:val="auto"/>
                      <w:u w:val="none" w:color="auto"/>
                    </w:rPr>
                  </w:pPr>
                  <w:r>
                    <w:rPr>
                      <w:color w:val="auto"/>
                      <w:u w:val="none" w:color="auto"/>
                    </w:rPr>
                    <w:t>资源开发效率要求</w:t>
                  </w:r>
                </w:p>
              </w:tc>
              <w:tc>
                <w:tcPr>
                  <w:tcW w:w="3443" w:type="dxa"/>
                  <w:noWrap w:val="0"/>
                  <w:vAlign w:val="center"/>
                </w:tcPr>
                <w:p>
                  <w:pPr>
                    <w:pStyle w:val="26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color w:val="auto"/>
                      <w:u w:val="none" w:color="auto"/>
                    </w:rPr>
                  </w:pPr>
                  <w:r>
                    <w:rPr>
                      <w:rFonts w:hint="eastAsia"/>
                      <w:color w:val="auto"/>
                      <w:u w:val="none" w:color="auto"/>
                    </w:rPr>
                    <w:t>（4.1）能源</w:t>
                  </w:r>
                </w:p>
                <w:p>
                  <w:pPr>
                    <w:pStyle w:val="26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color w:val="auto"/>
                      <w:u w:val="none" w:color="auto"/>
                    </w:rPr>
                  </w:pPr>
                  <w:r>
                    <w:rPr>
                      <w:rFonts w:hint="eastAsia"/>
                      <w:color w:val="auto"/>
                      <w:u w:val="none" w:color="auto"/>
                    </w:rPr>
                    <w:t>（4.1.1）实行低硫煤政策，禁止使用含硫量大于1%，含灰量大于20%的燃煤。</w:t>
                  </w:r>
                </w:p>
                <w:p>
                  <w:pPr>
                    <w:pStyle w:val="26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color w:val="auto"/>
                      <w:u w:val="none" w:color="auto"/>
                    </w:rPr>
                  </w:pPr>
                  <w:r>
                    <w:rPr>
                      <w:rFonts w:hint="eastAsia"/>
                      <w:color w:val="auto"/>
                      <w:u w:val="none" w:color="auto"/>
                    </w:rPr>
                    <w:t>（4.1.2）全面提高工业锅炉准入标准，禁止新建、扩建和改建燃煤锅炉，凡申请新、扩、改建锅炉的，一律要求使用电、天然气、液化石油气、轻质燃油、水煤浆、生物质成型燃料等低污染燃料。</w:t>
                  </w:r>
                </w:p>
                <w:p>
                  <w:pPr>
                    <w:pStyle w:val="26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color w:val="auto"/>
                      <w:u w:val="none" w:color="auto"/>
                    </w:rPr>
                  </w:pPr>
                  <w:r>
                    <w:rPr>
                      <w:rFonts w:hint="eastAsia"/>
                      <w:color w:val="auto"/>
                      <w:u w:val="none" w:color="auto"/>
                    </w:rPr>
                    <w:t>（4.1.3）高污染燃料禁燃区严格执行《永州市人民政府关于调整高污染燃料禁燃区的通告》（永政函〔2020〕30号）的规定。</w:t>
                  </w:r>
                </w:p>
                <w:p>
                  <w:pPr>
                    <w:pStyle w:val="26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color w:val="auto"/>
                      <w:u w:val="none" w:color="auto"/>
                    </w:rPr>
                  </w:pPr>
                  <w:r>
                    <w:rPr>
                      <w:rFonts w:hint="eastAsia"/>
                      <w:color w:val="auto"/>
                      <w:u w:val="none" w:color="auto"/>
                    </w:rPr>
                    <w:t>（4.1.4）实施能源消耗总量和强度双控行动，“十四五”期间全区单位国内生产总值能耗累计降低15%，能耗总量控制在市定标准以内。</w:t>
                  </w:r>
                </w:p>
                <w:p>
                  <w:pPr>
                    <w:pStyle w:val="26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color w:val="auto"/>
                      <w:u w:val="none" w:color="auto"/>
                    </w:rPr>
                  </w:pPr>
                  <w:r>
                    <w:rPr>
                      <w:rFonts w:hint="eastAsia"/>
                      <w:color w:val="auto"/>
                      <w:u w:val="none" w:color="auto"/>
                    </w:rPr>
                    <w:t>（4.2）水资源：</w:t>
                  </w:r>
                </w:p>
                <w:p>
                  <w:pPr>
                    <w:pStyle w:val="26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color w:val="auto"/>
                      <w:u w:val="none" w:color="auto"/>
                    </w:rPr>
                  </w:pPr>
                  <w:r>
                    <w:rPr>
                      <w:rFonts w:hint="eastAsia"/>
                      <w:color w:val="auto"/>
                      <w:u w:val="none" w:color="auto"/>
                    </w:rPr>
                    <w:t>（4.2.1）到2025年，零陵区用水总量控制在32676万立方米以内，农业用水总量控制在23251万立方米以内，万元地区生产总值用水量、万元工业增加值用水量分别比2020年降低19.80%、8.87%，农田灌溉水有效利用系数0.548。</w:t>
                  </w:r>
                </w:p>
                <w:p>
                  <w:pPr>
                    <w:pStyle w:val="26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color w:val="auto"/>
                      <w:u w:val="none" w:color="auto"/>
                    </w:rPr>
                  </w:pPr>
                  <w:r>
                    <w:rPr>
                      <w:rFonts w:hint="eastAsia"/>
                      <w:color w:val="auto"/>
                      <w:u w:val="none" w:color="auto"/>
                    </w:rPr>
                    <w:t>（4.2.2）加强生态流量保障。明确闸坝、水库生态调度任务。推进小水电站整治、改造。</w:t>
                  </w:r>
                </w:p>
              </w:tc>
              <w:tc>
                <w:tcPr>
                  <w:tcW w:w="1624" w:type="dxa"/>
                  <w:noWrap w:val="0"/>
                  <w:vAlign w:val="center"/>
                </w:tcPr>
                <w:p>
                  <w:pPr>
                    <w:pStyle w:val="264"/>
                    <w:spacing w:line="240" w:lineRule="auto"/>
                    <w:jc w:val="both"/>
                    <w:rPr>
                      <w:rFonts w:hint="default" w:eastAsia="宋体"/>
                      <w:color w:val="auto"/>
                      <w:u w:val="none" w:color="auto"/>
                      <w:lang w:val="en-US" w:eastAsia="zh-CN"/>
                    </w:rPr>
                  </w:pPr>
                  <w:r>
                    <w:rPr>
                      <w:rFonts w:hint="eastAsia"/>
                      <w:color w:val="auto"/>
                      <w:u w:val="none" w:color="auto"/>
                      <w:lang w:val="en-US" w:eastAsia="zh-CN"/>
                    </w:rPr>
                    <w:t>本项目为</w:t>
                  </w:r>
                  <w:r>
                    <w:rPr>
                      <w:color w:val="000000"/>
                      <w:sz w:val="21"/>
                      <w:szCs w:val="21"/>
                      <w:highlight w:val="none"/>
                    </w:rPr>
                    <w:t>城市道路</w:t>
                  </w:r>
                  <w:r>
                    <w:rPr>
                      <w:rFonts w:hint="eastAsia"/>
                      <w:color w:val="auto"/>
                      <w:u w:val="none" w:color="auto"/>
                      <w:lang w:val="en-US" w:eastAsia="zh-CN"/>
                    </w:rPr>
                    <w:t>建设项目，属于社会服务的民生项目，符合资源开发效率要求，本项目不涉及高污染燃料的使用。</w:t>
                  </w:r>
                </w:p>
              </w:tc>
              <w:tc>
                <w:tcPr>
                  <w:tcW w:w="686" w:type="dxa"/>
                  <w:noWrap w:val="0"/>
                  <w:vAlign w:val="center"/>
                </w:tcPr>
                <w:p>
                  <w:pPr>
                    <w:pStyle w:val="264"/>
                    <w:spacing w:line="240" w:lineRule="auto"/>
                    <w:rPr>
                      <w:color w:val="auto"/>
                      <w:u w:val="none" w:color="auto"/>
                    </w:rPr>
                  </w:pPr>
                  <w:r>
                    <w:rPr>
                      <w:color w:val="auto"/>
                      <w:u w:val="none" w:color="auto"/>
                    </w:rPr>
                    <w:t>符合要求</w:t>
                  </w:r>
                </w:p>
              </w:tc>
            </w:tr>
          </w:tbl>
          <w:p>
            <w:pPr>
              <w:pStyle w:val="45"/>
              <w:keepNext w:val="0"/>
              <w:keepLines w:val="0"/>
              <w:pageBreakBefore w:val="0"/>
              <w:widowControl/>
              <w:spacing w:before="0" w:beforeAutospacing="0" w:after="0" w:afterAutospacing="0" w:line="360" w:lineRule="auto"/>
              <w:ind w:firstLine="420"/>
              <w:jc w:val="both"/>
              <w:rPr>
                <w:color w:val="000000"/>
                <w:sz w:val="21"/>
                <w:szCs w:val="21"/>
                <w:highlight w:val="none"/>
                <w:lang w:val="en-US" w:eastAsia="zh-CN"/>
              </w:rPr>
            </w:pPr>
          </w:p>
        </w:tc>
      </w:tr>
    </w:tbl>
    <w:p>
      <w:pPr>
        <w:rPr>
          <w:rFonts w:hint="eastAsia" w:ascii="黑体" w:hAnsi="黑体" w:eastAsia="黑体"/>
          <w:color w:val="000000"/>
          <w:sz w:val="30"/>
          <w:szCs w:val="30"/>
          <w:highlight w:val="none"/>
        </w:rPr>
      </w:pPr>
      <w:r>
        <w:rPr>
          <w:rFonts w:hint="eastAsia" w:ascii="黑体" w:hAnsi="黑体" w:eastAsia="黑体"/>
          <w:color w:val="000000"/>
          <w:sz w:val="30"/>
          <w:szCs w:val="30"/>
          <w:highlight w:val="none"/>
        </w:rPr>
        <w:br w:type="page"/>
      </w:r>
    </w:p>
    <w:p>
      <w:pPr>
        <w:pStyle w:val="218"/>
        <w:jc w:val="center"/>
        <w:outlineLvl w:val="0"/>
        <w:rPr>
          <w:rFonts w:ascii="黑体" w:hAnsi="黑体" w:eastAsia="黑体"/>
          <w:color w:val="000000"/>
          <w:sz w:val="30"/>
          <w:szCs w:val="30"/>
          <w:highlight w:val="none"/>
        </w:rPr>
      </w:pPr>
      <w:bookmarkStart w:id="9" w:name="_Toc14339"/>
      <w:bookmarkStart w:id="10" w:name="_Toc1899"/>
      <w:r>
        <w:rPr>
          <w:rFonts w:hint="eastAsia" w:ascii="黑体" w:hAnsi="黑体" w:eastAsia="黑体"/>
          <w:color w:val="000000"/>
          <w:sz w:val="30"/>
          <w:szCs w:val="30"/>
          <w:highlight w:val="none"/>
        </w:rPr>
        <w:t>二、建设内容</w:t>
      </w:r>
      <w:bookmarkEnd w:id="9"/>
      <w:bookmarkEnd w:id="10"/>
    </w:p>
    <w:tbl>
      <w:tblPr>
        <w:tblStyle w:val="40"/>
        <w:tblW w:w="8520"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494"/>
        <w:gridCol w:w="8026"/>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692" w:hRule="atLeast"/>
          <w:jc w:val="center"/>
        </w:trPr>
        <w:tc>
          <w:tcPr>
            <w:tcW w:w="49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地理位置</w:t>
            </w:r>
          </w:p>
        </w:tc>
        <w:tc>
          <w:tcPr>
            <w:tcW w:w="80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萍阳北路延伸段及萍洲大桥西岸匝道建设项目位于湖南省永州市零陵区萍阳北路，路线起点接现状萍阳北路南侧，连接至萍阳北路北至萍州大桥西匝道，与其相交的道路有：石渠路、广丰路、萍州大桥西匝道；萍洲大桥西岸匝道起终点均与萍阳北路相交，中部与萍州路相交。</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cs="Times New Roman"/>
                <w:color w:val="000000"/>
                <w:sz w:val="21"/>
                <w:szCs w:val="21"/>
                <w:highlight w:val="none"/>
              </w:rPr>
            </w:pPr>
            <w:r>
              <w:rPr>
                <w:sz w:val="21"/>
              </w:rPr>
              <mc:AlternateContent>
                <mc:Choice Requires="wps">
                  <w:drawing>
                    <wp:anchor distT="0" distB="0" distL="114300" distR="114300" simplePos="0" relativeHeight="251665408" behindDoc="0" locked="0" layoutInCell="1" allowOverlap="1">
                      <wp:simplePos x="0" y="0"/>
                      <wp:positionH relativeFrom="column">
                        <wp:posOffset>829310</wp:posOffset>
                      </wp:positionH>
                      <wp:positionV relativeFrom="paragraph">
                        <wp:posOffset>977265</wp:posOffset>
                      </wp:positionV>
                      <wp:extent cx="606425" cy="369570"/>
                      <wp:effectExtent l="6350" t="6350" r="777875" b="24130"/>
                      <wp:wrapNone/>
                      <wp:docPr id="121" name="矩形标注 121"/>
                      <wp:cNvGraphicFramePr/>
                      <a:graphic xmlns:a="http://schemas.openxmlformats.org/drawingml/2006/main">
                        <a:graphicData uri="http://schemas.microsoft.com/office/word/2010/wordprocessingShape">
                          <wps:wsp>
                            <wps:cNvSpPr/>
                            <wps:spPr>
                              <a:xfrm>
                                <a:off x="2775585" y="3526790"/>
                                <a:ext cx="606425" cy="369570"/>
                              </a:xfrm>
                              <a:prstGeom prst="wedgeRectCallout">
                                <a:avLst>
                                  <a:gd name="adj1" fmla="val 176178"/>
                                  <a:gd name="adj2" fmla="val -39347"/>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val="0"/>
                                    <w:snapToGrid w:val="0"/>
                                    <w:jc w:val="center"/>
                                    <w:textAlignment w:val="auto"/>
                                    <w:rPr>
                                      <w:color w:val="auto"/>
                                      <w:sz w:val="15"/>
                                      <w:szCs w:val="15"/>
                                    </w:rPr>
                                  </w:pPr>
                                  <w:r>
                                    <w:rPr>
                                      <w:rFonts w:hint="eastAsia" w:cs="Times New Roman"/>
                                      <w:color w:val="000000"/>
                                      <w:sz w:val="15"/>
                                      <w:szCs w:val="15"/>
                                      <w:highlight w:val="none"/>
                                      <w:lang w:val="en-US" w:eastAsia="zh-CN"/>
                                    </w:rPr>
                                    <w:t>萍州大桥西匝道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5.3pt;margin-top:76.95pt;height:29.1pt;width:47.75pt;z-index:251665408;v-text-anchor:middle;mso-width-relative:page;mso-height-relative:page;" filled="f" stroked="t" coordsize="21600,21600" o:gfxdata="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yD099gAAAALAQAADwAAAAAAAAABACAAAAAiAAAAZHJzL2Rvd25y&#10;ZXYueG1sUEsBAhQAFAAAAAgAh07iQLAkPhZwAgAAqwQAAA4AAAAAAAAAAQAgAAAAJwEAAGRycy9l&#10;Mm9Eb2MueG1sUEsFBgAAAAAGAAYAWQEAAAkGAAAAAA==&#10;" adj="48854,2301">
                      <v:fill on="f" focussize="0,0"/>
                      <v:stroke weight="1pt" color="#000000 [3213]" joinstyle="round"/>
                      <v:imagedata o:title=""/>
                      <o:lock v:ext="edit" aspectratio="f"/>
                      <v:textbox>
                        <w:txbxContent>
                          <w:p>
                            <w:pPr>
                              <w:keepNext w:val="0"/>
                              <w:keepLines w:val="0"/>
                              <w:pageBreakBefore w:val="0"/>
                              <w:widowControl w:val="0"/>
                              <w:kinsoku/>
                              <w:wordWrap/>
                              <w:overflowPunct/>
                              <w:topLinePunct w:val="0"/>
                              <w:bidi w:val="0"/>
                              <w:adjustRightInd w:val="0"/>
                              <w:snapToGrid w:val="0"/>
                              <w:jc w:val="center"/>
                              <w:textAlignment w:val="auto"/>
                              <w:rPr>
                                <w:color w:val="auto"/>
                                <w:sz w:val="15"/>
                                <w:szCs w:val="15"/>
                              </w:rPr>
                            </w:pPr>
                            <w:r>
                              <w:rPr>
                                <w:rFonts w:hint="eastAsia" w:cs="Times New Roman"/>
                                <w:color w:val="000000"/>
                                <w:sz w:val="15"/>
                                <w:szCs w:val="15"/>
                                <w:highlight w:val="none"/>
                                <w:lang w:val="en-US" w:eastAsia="zh-CN"/>
                              </w:rPr>
                              <w:t>萍州大桥西匝道</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2213610</wp:posOffset>
                      </wp:positionH>
                      <wp:positionV relativeFrom="paragraph">
                        <wp:posOffset>937260</wp:posOffset>
                      </wp:positionV>
                      <wp:extent cx="152400" cy="190500"/>
                      <wp:effectExtent l="12700" t="12700" r="25400" b="25400"/>
                      <wp:wrapNone/>
                      <wp:docPr id="96" name="任意多边形 96"/>
                      <wp:cNvGraphicFramePr/>
                      <a:graphic xmlns:a="http://schemas.openxmlformats.org/drawingml/2006/main">
                        <a:graphicData uri="http://schemas.microsoft.com/office/word/2010/wordprocessingShape">
                          <wps:wsp>
                            <wps:cNvSpPr/>
                            <wps:spPr>
                              <a:xfrm>
                                <a:off x="3670935" y="3469640"/>
                                <a:ext cx="152400" cy="190500"/>
                              </a:xfrm>
                              <a:custGeom>
                                <a:avLst/>
                                <a:gdLst>
                                  <a:gd name="connisteX0" fmla="*/ 47625 w 152400"/>
                                  <a:gd name="connsiteY0" fmla="*/ 0 h 190500"/>
                                  <a:gd name="connisteX1" fmla="*/ 0 w 152400"/>
                                  <a:gd name="connsiteY1" fmla="*/ 76200 h 190500"/>
                                  <a:gd name="connisteX2" fmla="*/ 66675 w 152400"/>
                                  <a:gd name="connsiteY2" fmla="*/ 180975 h 190500"/>
                                  <a:gd name="connisteX3" fmla="*/ 152400 w 152400"/>
                                  <a:gd name="connsiteY3" fmla="*/ 190500 h 190500"/>
                                  <a:gd name="connisteX4" fmla="*/ 47625 w 152400"/>
                                  <a:gd name="connsiteY4" fmla="*/ 0 h 1905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52400" h="190500">
                                    <a:moveTo>
                                      <a:pt x="47625" y="0"/>
                                    </a:moveTo>
                                    <a:lnTo>
                                      <a:pt x="0" y="76200"/>
                                    </a:lnTo>
                                    <a:lnTo>
                                      <a:pt x="66675" y="180975"/>
                                    </a:lnTo>
                                    <a:lnTo>
                                      <a:pt x="152400" y="190500"/>
                                    </a:lnTo>
                                    <a:lnTo>
                                      <a:pt x="47625" y="0"/>
                                    </a:lnTo>
                                    <a:close/>
                                  </a:path>
                                </a:pathLst>
                              </a:cu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74.3pt;margin-top:73.8pt;height:15pt;width:12pt;z-index:251664384;mso-width-relative:page;mso-height-relative:page;" filled="f" stroked="t" coordsize="152400,190500" o:gfxdata="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Ddym&#10;X9cAAAALAQAADwAAAAAAAAABACAAAAAiAAAAZHJzL2Rvd25yZXYueG1sUEsBAhQAFAAAAAgAh07i&#10;QAmh7GXOAgAApwcAAA4AAAAAAAAAAQAgAAAAJgEAAGRycy9lMm9Eb2MueG1sUEsFBgAAAAAGAAYA&#10;WQEAAGYGAAAAAA==&#10;" path="m47625,0l0,76200,66675,180975,152400,190500,47625,0xe">
                      <v:path o:connectlocs="47625,0;0,76200;66675,180975;152400,190500;47625,0" o:connectangles="0,0,0,0,0"/>
                      <v:fill on="f" focussize="0,0"/>
                      <v:stroke weight="2pt" color="#000000 [3213]" joinstyle="round"/>
                      <v:imagedata o:title=""/>
                      <o:lock v:ext="edit" aspectratio="f"/>
                    </v:shape>
                  </w:pict>
                </mc:Fallback>
              </mc:AlternateContent>
            </w:r>
            <w:r>
              <w:rPr>
                <w:u w:val="single"/>
              </w:rPr>
              <w:drawing>
                <wp:anchor distT="0" distB="0" distL="114300" distR="114300" simplePos="0" relativeHeight="251663360" behindDoc="0" locked="0" layoutInCell="1" allowOverlap="1">
                  <wp:simplePos x="0" y="0"/>
                  <wp:positionH relativeFrom="column">
                    <wp:posOffset>3747770</wp:posOffset>
                  </wp:positionH>
                  <wp:positionV relativeFrom="paragraph">
                    <wp:posOffset>89535</wp:posOffset>
                  </wp:positionV>
                  <wp:extent cx="318770" cy="494665"/>
                  <wp:effectExtent l="9525" t="9525" r="14605" b="10160"/>
                  <wp:wrapNone/>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25"/>
                          <a:stretch>
                            <a:fillRect/>
                          </a:stretch>
                        </pic:blipFill>
                        <pic:spPr>
                          <a:xfrm>
                            <a:off x="0" y="0"/>
                            <a:ext cx="318770" cy="494665"/>
                          </a:xfrm>
                          <a:prstGeom prst="rect">
                            <a:avLst/>
                          </a:prstGeom>
                          <a:noFill/>
                          <a:ln>
                            <a:solidFill>
                              <a:schemeClr val="tx1"/>
                            </a:solidFill>
                          </a:ln>
                        </pic:spPr>
                      </pic:pic>
                    </a:graphicData>
                  </a:graphic>
                </wp:anchor>
              </w:drawing>
            </w:r>
            <w:r>
              <w:drawing>
                <wp:inline distT="0" distB="0" distL="114300" distR="114300">
                  <wp:extent cx="3454400" cy="2806065"/>
                  <wp:effectExtent l="9525" t="9525" r="22225" b="22860"/>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26"/>
                          <a:stretch>
                            <a:fillRect/>
                          </a:stretch>
                        </pic:blipFill>
                        <pic:spPr>
                          <a:xfrm>
                            <a:off x="0" y="0"/>
                            <a:ext cx="3454400" cy="2806065"/>
                          </a:xfrm>
                          <a:prstGeom prst="rect">
                            <a:avLst/>
                          </a:prstGeom>
                          <a:noFill/>
                          <a:ln>
                            <a:solidFill>
                              <a:schemeClr val="tx1"/>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494" w:type="dxa"/>
            <w:noWrap w:val="0"/>
            <w:vAlign w:val="center"/>
          </w:tcPr>
          <w:p>
            <w:pPr>
              <w:spacing w:line="360" w:lineRule="auto"/>
              <w:jc w:val="center"/>
              <w:rPr>
                <w:rFonts w:ascii="Times New Roman" w:hAnsi="Times New Roman" w:cs="Times New Roman"/>
                <w:color w:val="000000"/>
                <w:sz w:val="21"/>
                <w:szCs w:val="21"/>
                <w:highlight w:val="none"/>
              </w:rPr>
            </w:pPr>
            <w:r>
              <w:rPr>
                <w:rFonts w:hint="eastAsia" w:ascii="宋体" w:hAnsi="宋体" w:cs="宋体"/>
                <w:color w:val="000000"/>
                <w:sz w:val="21"/>
                <w:szCs w:val="21"/>
                <w:highlight w:val="none"/>
              </w:rPr>
              <w:t>项目组成及规模</w:t>
            </w:r>
          </w:p>
        </w:tc>
        <w:tc>
          <w:tcPr>
            <w:tcW w:w="8026" w:type="dxa"/>
            <w:noWrap w:val="0"/>
            <w:vAlign w:val="center"/>
          </w:tcPr>
          <w:p>
            <w:pPr>
              <w:keepNext w:val="0"/>
              <w:keepLines w:val="0"/>
              <w:pageBreakBefore w:val="0"/>
              <w:widowControl w:val="0"/>
              <w:spacing w:line="360" w:lineRule="auto"/>
              <w:jc w:val="both"/>
              <w:rPr>
                <w:rFonts w:hint="default"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2.1</w:t>
            </w:r>
            <w:r>
              <w:rPr>
                <w:rFonts w:hint="eastAsia" w:cs="Times New Roman"/>
                <w:b/>
                <w:bCs/>
                <w:color w:val="000000"/>
                <w:sz w:val="21"/>
                <w:szCs w:val="21"/>
                <w:highlight w:val="none"/>
                <w:lang w:val="en-US" w:eastAsia="zh-CN"/>
              </w:rPr>
              <w:t xml:space="preserve"> </w:t>
            </w:r>
            <w:r>
              <w:rPr>
                <w:rFonts w:hint="eastAsia" w:ascii="Times New Roman" w:hAnsi="Times New Roman" w:cs="Times New Roman"/>
                <w:b/>
                <w:bCs/>
                <w:color w:val="000000"/>
                <w:sz w:val="21"/>
                <w:szCs w:val="21"/>
                <w:highlight w:val="none"/>
                <w:lang w:val="en-US" w:eastAsia="zh-CN"/>
              </w:rPr>
              <w:t>项目</w:t>
            </w:r>
            <w:r>
              <w:rPr>
                <w:rFonts w:hint="eastAsia" w:cs="Times New Roman"/>
                <w:b/>
                <w:bCs/>
                <w:color w:val="000000"/>
                <w:sz w:val="21"/>
                <w:szCs w:val="21"/>
                <w:highlight w:val="none"/>
                <w:lang w:val="en-US" w:eastAsia="zh-CN"/>
              </w:rPr>
              <w:t>背景</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u w:val="single"/>
                <w:lang w:val="en-US" w:eastAsia="zh-CN"/>
              </w:rPr>
            </w:pPr>
            <w:r>
              <w:rPr>
                <w:rFonts w:hint="eastAsia" w:ascii="Times New Roman" w:hAnsi="Times New Roman" w:eastAsia="宋体" w:cs="Times New Roman"/>
                <w:color w:val="000000"/>
                <w:sz w:val="21"/>
                <w:szCs w:val="21"/>
                <w:highlight w:val="none"/>
                <w:u w:val="single"/>
                <w:lang w:val="en-US" w:eastAsia="zh-CN"/>
              </w:rPr>
              <w:t>萍阳北路位于永州市零陵区河西片，为南北向城市主干道，起点于潇水中路，右侧为潇水，紧邻潇水由南向北而上，其萍阳北路现有道路情况为</w:t>
            </w:r>
            <w:r>
              <w:rPr>
                <w:rFonts w:hint="eastAsia" w:cs="Times New Roman"/>
                <w:color w:val="000000"/>
                <w:sz w:val="21"/>
                <w:szCs w:val="21"/>
                <w:highlight w:val="none"/>
                <w:u w:val="single"/>
                <w:lang w:val="en-US" w:eastAsia="zh-CN"/>
              </w:rPr>
              <w:t>途经</w:t>
            </w:r>
            <w:r>
              <w:rPr>
                <w:rFonts w:hint="eastAsia" w:ascii="Times New Roman" w:hAnsi="Times New Roman" w:eastAsia="宋体" w:cs="Times New Roman"/>
                <w:color w:val="000000"/>
                <w:sz w:val="21"/>
                <w:szCs w:val="21"/>
                <w:highlight w:val="none"/>
                <w:u w:val="single"/>
                <w:lang w:val="en-US" w:eastAsia="zh-CN"/>
              </w:rPr>
              <w:t>顺丰驾校后左上衔接至桃江路，再由桃江路衔接至G322萍州西路，其桃江路段为双向单车道，</w:t>
            </w:r>
            <w:r>
              <w:rPr>
                <w:rFonts w:hint="eastAsia" w:cs="Times New Roman"/>
                <w:color w:val="000000"/>
                <w:sz w:val="21"/>
                <w:szCs w:val="21"/>
                <w:highlight w:val="none"/>
                <w:u w:val="single"/>
                <w:lang w:val="en-US" w:eastAsia="zh-CN"/>
              </w:rPr>
              <w:t>途穿永州零陵区君诚学校、桃江安置小区，每逢下班高峰时段，道路上的车辆数量激增，导致交通流动缓慢，出现停滞不前的现象，为解决道路堵塞问题，永州市零陵区住房和城乡建设局拟对现有萍阳北路双向单车道路段进行旧路改造，并对萍阳北路延续建设，延续建设路段紧邻潇水由南向北而上，并建设萍洲大桥西岸匝道衔接上萍洲大桥，本项目改造和建设皆在提升萍阳北路的交通承载能力，缓解高峰时段的交通压力，改善区域交通环境，促进零陵区的经济发展，属于民生工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2019年5月，永州市零陵交通建设投资有限责任公司委托深圳华粤城市建设工程设计有限公司编制了《永州市零陵区萍洲大桥潇水两岸道路工程萍阳北路初步设计》、《永州市零陵区萍洲大桥潇水两岸道路工程西岸匝道初步设计》并取得了批复，</w:t>
            </w:r>
            <w:r>
              <w:rPr>
                <w:rFonts w:hint="default" w:ascii="Times New Roman" w:hAnsi="Times New Roman" w:eastAsia="宋体" w:cs="Times New Roman"/>
                <w:color w:val="000000"/>
                <w:sz w:val="21"/>
                <w:szCs w:val="21"/>
                <w:highlight w:val="none"/>
                <w:lang w:val="en-US" w:eastAsia="zh-CN"/>
              </w:rPr>
              <w:t>由于项目前期设计方案的优化及相关政策变化的原因</w:t>
            </w:r>
            <w:r>
              <w:rPr>
                <w:rFonts w:hint="eastAsia" w:cs="Times New Roman"/>
                <w:color w:val="000000"/>
                <w:sz w:val="21"/>
                <w:szCs w:val="21"/>
                <w:highlight w:val="none"/>
                <w:lang w:val="en-US" w:eastAsia="zh-CN"/>
              </w:rPr>
              <w:t>项目一直未启动，</w:t>
            </w:r>
            <w:r>
              <w:rPr>
                <w:rFonts w:hint="eastAsia" w:ascii="Times New Roman" w:hAnsi="Times New Roman" w:eastAsia="宋体" w:cs="Times New Roman"/>
                <w:color w:val="000000"/>
                <w:sz w:val="21"/>
                <w:szCs w:val="21"/>
                <w:highlight w:val="none"/>
                <w:lang w:val="en-US" w:eastAsia="zh-CN"/>
              </w:rPr>
              <w:t>20</w:t>
            </w:r>
            <w:r>
              <w:rPr>
                <w:rFonts w:hint="eastAsia" w:cs="Times New Roman"/>
                <w:color w:val="000000"/>
                <w:sz w:val="21"/>
                <w:szCs w:val="21"/>
                <w:highlight w:val="none"/>
                <w:lang w:val="en-US" w:eastAsia="zh-CN"/>
              </w:rPr>
              <w:t>19</w:t>
            </w:r>
            <w:r>
              <w:rPr>
                <w:rFonts w:hint="eastAsia" w:ascii="Times New Roman" w:hAnsi="Times New Roman" w:eastAsia="宋体" w:cs="Times New Roman"/>
                <w:color w:val="000000"/>
                <w:sz w:val="21"/>
                <w:szCs w:val="21"/>
                <w:highlight w:val="none"/>
                <w:lang w:val="en-US" w:eastAsia="zh-CN"/>
              </w:rPr>
              <w:t>年立项的发改备案</w:t>
            </w:r>
            <w:r>
              <w:rPr>
                <w:rFonts w:hint="eastAsia" w:cs="Times New Roman"/>
                <w:color w:val="000000"/>
                <w:sz w:val="21"/>
                <w:szCs w:val="21"/>
                <w:highlight w:val="none"/>
                <w:lang w:val="en-US" w:eastAsia="zh-CN"/>
              </w:rPr>
              <w:t>也</w:t>
            </w:r>
            <w:r>
              <w:rPr>
                <w:rFonts w:hint="eastAsia" w:ascii="Times New Roman" w:hAnsi="Times New Roman" w:eastAsia="宋体" w:cs="Times New Roman"/>
                <w:color w:val="000000"/>
                <w:sz w:val="21"/>
                <w:szCs w:val="21"/>
                <w:highlight w:val="none"/>
                <w:lang w:val="en-US" w:eastAsia="zh-CN"/>
              </w:rPr>
              <w:t>已过期，</w:t>
            </w:r>
            <w:r>
              <w:rPr>
                <w:rFonts w:hint="eastAsia" w:cs="Times New Roman"/>
                <w:color w:val="000000"/>
                <w:sz w:val="21"/>
                <w:szCs w:val="21"/>
                <w:highlight w:val="none"/>
                <w:lang w:val="en-US" w:eastAsia="zh-CN"/>
              </w:rPr>
              <w:t>因此，2022年永州市零陵交通建设投资有限责任公司重新递交了《零陵区萍阳北路延伸段及萍洲大桥西岸匝道建设项目可行性研究报告》，并于2022年1月20号取得了可研批复，文号：零发改投【2022】218号，由于负责项目的职能部门调整以及项目征地原因，取得批复后一直未进行项目建设。</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为推进项目的建设，2024年4月，永州市零陵区住房和城乡建设局委托深圳华粤城市建设工程设计有限公司重新编制了《永州市零陵区萍阳北路延伸段及萍洲大桥西岸匝道建设项目可行性研究报告》，2024年7月10日，永州市零陵区发展和改革局出具了《关于萍阳北路延伸段及萍洲大桥西岸匝道建设项目可行性研究报告的批复》零发改审【2024】100号，2024年6月编制了《永州市零陵区萍阳北路延伸段及萍洲大桥西岸匝道建设项目初步设计概算总投资》，并于2024年10月9日取得了批复，文号：零发改概【2024】6号。</w:t>
            </w:r>
          </w:p>
          <w:p>
            <w:pPr>
              <w:keepNext w:val="0"/>
              <w:keepLines w:val="0"/>
              <w:pageBreakBefore w:val="0"/>
              <w:widowControl w:val="0"/>
              <w:spacing w:line="360" w:lineRule="auto"/>
              <w:jc w:val="both"/>
              <w:rPr>
                <w:rFonts w:hint="default"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2.</w:t>
            </w:r>
            <w:r>
              <w:rPr>
                <w:rFonts w:hint="eastAsia" w:cs="Times New Roman"/>
                <w:b/>
                <w:bCs/>
                <w:color w:val="000000"/>
                <w:sz w:val="21"/>
                <w:szCs w:val="21"/>
                <w:highlight w:val="none"/>
                <w:lang w:val="en-US" w:eastAsia="zh-CN"/>
              </w:rPr>
              <w:t>2 项目编制依据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cs="Times New Roman"/>
                <w:szCs w:val="21"/>
                <w:highlight w:val="none"/>
                <w:u w:val="none"/>
                <w:lang w:val="en-US" w:eastAsia="zh-CN"/>
              </w:rPr>
            </w:pPr>
            <w:r>
              <w:rPr>
                <w:rFonts w:hint="eastAsia" w:ascii="Times New Roman" w:hAnsi="Times New Roman" w:eastAsia="宋体" w:cs="Times New Roman"/>
                <w:color w:val="000000"/>
                <w:sz w:val="21"/>
                <w:szCs w:val="21"/>
                <w:highlight w:val="none"/>
                <w:lang w:val="en-US" w:eastAsia="zh-CN"/>
              </w:rPr>
              <w:t>根据《中华人民共和国环境影响评价法》和《建设项目环境保护管理条例》，建设项目的环境影响评价实行分类管理，根据《建设项目环境影响评价分类管理名录（2021年版）》（部令第16号），本项目属“五十二、交通运输业、管道运输业-131、城市道路（不含维护；—不含支路、人行天桥、人行地道）</w:t>
            </w:r>
            <w:r>
              <w:rPr>
                <w:rFonts w:hint="eastAsia" w:cs="Times New Roman"/>
                <w:color w:val="000000"/>
                <w:sz w:val="21"/>
                <w:szCs w:val="21"/>
                <w:highlight w:val="none"/>
                <w:lang w:val="en-US" w:eastAsia="zh-CN"/>
              </w:rPr>
              <w:t>中的“新建快速路、主干路；城市桥梁、隧道”</w:t>
            </w:r>
            <w:r>
              <w:rPr>
                <w:rFonts w:hint="eastAsia" w:ascii="Times New Roman" w:hAnsi="Times New Roman" w:eastAsia="宋体" w:cs="Times New Roman"/>
                <w:color w:val="000000"/>
                <w:sz w:val="21"/>
                <w:szCs w:val="21"/>
                <w:highlight w:val="none"/>
                <w:lang w:val="en-US" w:eastAsia="zh-CN"/>
              </w:rPr>
              <w:t>，故应编制环境影响报告表</w:t>
            </w:r>
            <w:r>
              <w:rPr>
                <w:rFonts w:hint="eastAsia" w:cs="Times New Roman"/>
                <w:color w:val="000000"/>
                <w:sz w:val="21"/>
                <w:szCs w:val="21"/>
                <w:highlight w:val="none"/>
                <w:lang w:val="en-US" w:eastAsia="zh-CN"/>
              </w:rPr>
              <w:t>，</w:t>
            </w:r>
            <w:r>
              <w:rPr>
                <w:rFonts w:hint="eastAsia" w:ascii="Times New Roman" w:hAnsi="Times New Roman" w:cs="Times New Roman"/>
                <w:szCs w:val="21"/>
                <w:highlight w:val="none"/>
                <w:u w:val="none"/>
                <w:lang w:val="en-US" w:eastAsia="zh-CN"/>
              </w:rPr>
              <w:t>为此，</w:t>
            </w:r>
            <w:r>
              <w:rPr>
                <w:rFonts w:hint="eastAsia" w:cs="Times New Roman"/>
                <w:color w:val="000000"/>
                <w:sz w:val="21"/>
                <w:szCs w:val="21"/>
                <w:highlight w:val="none"/>
                <w:lang w:val="en-US" w:eastAsia="zh-CN"/>
              </w:rPr>
              <w:t>永州市零陵区住房和城乡建设局</w:t>
            </w:r>
            <w:r>
              <w:rPr>
                <w:rFonts w:hint="eastAsia" w:ascii="Times New Roman" w:hAnsi="Times New Roman" w:cs="Times New Roman"/>
                <w:szCs w:val="21"/>
                <w:highlight w:val="none"/>
                <w:u w:val="none"/>
                <w:lang w:val="en-US" w:eastAsia="zh-CN"/>
              </w:rPr>
              <w:t>委托湖南至中环保科技有限公司承担“</w:t>
            </w:r>
            <w:r>
              <w:rPr>
                <w:rFonts w:hint="eastAsia" w:cs="Times New Roman"/>
                <w:color w:val="000000"/>
                <w:sz w:val="21"/>
                <w:szCs w:val="21"/>
                <w:highlight w:val="none"/>
                <w:lang w:val="en-US" w:eastAsia="zh-CN"/>
              </w:rPr>
              <w:t>萍阳北路延伸段及萍洲大桥西岸匝道建设项目</w:t>
            </w:r>
            <w:r>
              <w:rPr>
                <w:rFonts w:hint="eastAsia" w:ascii="Times New Roman" w:hAnsi="Times New Roman" w:cs="Times New Roman"/>
                <w:szCs w:val="21"/>
                <w:highlight w:val="none"/>
                <w:u w:val="none"/>
                <w:lang w:val="en-US" w:eastAsia="zh-CN"/>
              </w:rPr>
              <w:t>”的环境影响评价工作。接受委托后，评价单位组织有关人员对项目选址及其周围环境状况进行了详细踏勘，并收集有关本项目的工程资料，在此基础上按照《建设项目环境影响报告表编制技术指南》（生态影响类）的规定，完成了本项目环境影响报告表的编制工作。</w:t>
            </w:r>
          </w:p>
          <w:p>
            <w:pPr>
              <w:keepNext w:val="0"/>
              <w:keepLines w:val="0"/>
              <w:pageBreakBefore w:val="0"/>
              <w:widowControl w:val="0"/>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根据《建设项目环境影响报告表编制技术指南（生态影响类）》表一专项评价设置原则表中，噪声专项评价设置项目类别</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公路、铁路、机场等交通运输业涉及环境敏感区(以居住、医疗卫生、文化教育、科研、行政办公为主要功能的区域)的项目；城市公路(不含维护，不含支路、人行天桥、人行地道)</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全部。本项目属于</w:t>
            </w:r>
            <w:r>
              <w:rPr>
                <w:rFonts w:hint="eastAsia" w:cs="Times New Roman"/>
                <w:color w:val="000000"/>
                <w:sz w:val="21"/>
                <w:szCs w:val="21"/>
                <w:highlight w:val="none"/>
                <w:lang w:val="en-US" w:eastAsia="zh-CN"/>
              </w:rPr>
              <w:t>道路建设</w:t>
            </w:r>
            <w:r>
              <w:rPr>
                <w:rFonts w:hint="eastAsia" w:ascii="Times New Roman" w:hAnsi="Times New Roman" w:eastAsia="宋体" w:cs="Times New Roman"/>
                <w:color w:val="000000"/>
                <w:sz w:val="21"/>
                <w:szCs w:val="21"/>
                <w:highlight w:val="none"/>
                <w:lang w:val="en-US" w:eastAsia="zh-CN"/>
              </w:rPr>
              <w:t>项目，且本项目沿线涉及</w:t>
            </w:r>
            <w:r>
              <w:rPr>
                <w:rFonts w:hint="eastAsia" w:cs="Times New Roman"/>
                <w:color w:val="000000"/>
                <w:sz w:val="21"/>
                <w:szCs w:val="21"/>
                <w:highlight w:val="none"/>
                <w:lang w:val="en-US" w:eastAsia="zh-CN"/>
              </w:rPr>
              <w:t>朝阳街道、君诚学校等居民点环境敏感区</w:t>
            </w:r>
            <w:r>
              <w:rPr>
                <w:rFonts w:hint="eastAsia" w:ascii="Times New Roman" w:hAnsi="Times New Roman" w:eastAsia="宋体" w:cs="Times New Roman"/>
                <w:color w:val="000000"/>
                <w:sz w:val="21"/>
                <w:szCs w:val="21"/>
                <w:highlight w:val="none"/>
                <w:lang w:val="en-US" w:eastAsia="zh-CN"/>
              </w:rPr>
              <w:t>，所以本项目需编制噪声专项评价。</w:t>
            </w:r>
          </w:p>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bookmarkStart w:id="11" w:name="_Toc9969"/>
            <w:r>
              <w:rPr>
                <w:rFonts w:hint="eastAsia" w:cs="Times New Roman"/>
                <w:bCs/>
                <w:color w:val="000000"/>
                <w:sz w:val="21"/>
                <w:szCs w:val="21"/>
                <w:highlight w:val="none"/>
                <w:lang w:val="en-US" w:eastAsia="zh-CN"/>
              </w:rPr>
              <w:t xml:space="preserve">2.3 </w:t>
            </w:r>
            <w:bookmarkEnd w:id="11"/>
            <w:r>
              <w:rPr>
                <w:rFonts w:hint="eastAsia" w:cs="Times New Roman"/>
                <w:bCs/>
                <w:color w:val="000000"/>
                <w:sz w:val="21"/>
                <w:szCs w:val="21"/>
                <w:highlight w:val="none"/>
                <w:lang w:val="en-US" w:eastAsia="zh-CN"/>
              </w:rPr>
              <w:t>工程概况</w:t>
            </w:r>
          </w:p>
          <w:p>
            <w:pPr>
              <w:spacing w:line="360" w:lineRule="auto"/>
              <w:ind w:firstLine="482"/>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项目名称：萍阳北路延伸段及萍洲大桥西岸匝道建设项目</w:t>
            </w:r>
          </w:p>
          <w:p>
            <w:pPr>
              <w:spacing w:line="360" w:lineRule="auto"/>
              <w:ind w:firstLine="482"/>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建设性质：新建</w:t>
            </w:r>
          </w:p>
          <w:p>
            <w:pPr>
              <w:spacing w:line="360" w:lineRule="auto"/>
              <w:ind w:firstLine="482"/>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建设单位：永州市零陵区住房和城乡建设局</w:t>
            </w:r>
          </w:p>
          <w:p>
            <w:pPr>
              <w:spacing w:line="360" w:lineRule="auto"/>
              <w:ind w:firstLine="482"/>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建设地点：湖南省永州市零陵区萍阳北路</w:t>
            </w:r>
          </w:p>
          <w:p>
            <w:pPr>
              <w:spacing w:line="360" w:lineRule="auto"/>
              <w:ind w:firstLine="482"/>
              <w:rPr>
                <w:rFonts w:ascii="Times New Roman" w:hAnsi="Times New Roman" w:eastAsia="宋体" w:cs="Times New Roman"/>
                <w:b w:val="0"/>
                <w:bCs/>
                <w:color w:val="000000"/>
                <w:sz w:val="21"/>
                <w:szCs w:val="21"/>
                <w:highlight w:val="none"/>
              </w:rPr>
            </w:pPr>
            <w:r>
              <w:rPr>
                <w:rFonts w:hint="eastAsia" w:ascii="Times New Roman" w:hAnsi="Times New Roman" w:eastAsia="宋体" w:cs="Times New Roman"/>
                <w:b w:val="0"/>
                <w:bCs/>
                <w:color w:val="000000"/>
                <w:sz w:val="21"/>
                <w:szCs w:val="21"/>
                <w:highlight w:val="none"/>
                <w:lang w:val="en-US" w:eastAsia="zh-CN"/>
              </w:rPr>
              <w:t>建设内容及规模：本建设项目</w:t>
            </w:r>
            <w:r>
              <w:rPr>
                <w:rFonts w:hint="eastAsia" w:cs="Times New Roman"/>
                <w:color w:val="000000"/>
                <w:sz w:val="21"/>
                <w:szCs w:val="21"/>
                <w:highlight w:val="none"/>
                <w:lang w:val="en-US" w:eastAsia="zh-CN"/>
              </w:rPr>
              <w:t>萍阳北路延伸段</w:t>
            </w:r>
            <w:r>
              <w:rPr>
                <w:rFonts w:hint="eastAsia" w:ascii="Times New Roman" w:hAnsi="Times New Roman" w:eastAsia="宋体" w:cs="Times New Roman"/>
                <w:b w:val="0"/>
                <w:bCs/>
                <w:color w:val="000000"/>
                <w:sz w:val="21"/>
                <w:szCs w:val="21"/>
                <w:highlight w:val="none"/>
                <w:lang w:val="en-US" w:eastAsia="zh-CN"/>
              </w:rPr>
              <w:t>为城市主干道，道路全长1.56km，设计时速50km/h，采用沥青路面，设计为双向4车道，道路宽度为36m，具体为5米（人行道）+4米（辅道）+1.5米（分隔绿化带）+15米（车行道）+1.5米（分隔绿化带）+4米（辅道）+5米（人行道）=36米。</w:t>
            </w:r>
          </w:p>
          <w:p>
            <w:pPr>
              <w:spacing w:line="360" w:lineRule="auto"/>
              <w:ind w:firstLine="482"/>
              <w:rPr>
                <w:rFonts w:ascii="Times New Roman" w:hAnsi="Times New Roman" w:eastAsia="宋体" w:cs="Times New Roman"/>
                <w:b w:val="0"/>
                <w:bCs/>
                <w:color w:val="000000"/>
                <w:sz w:val="21"/>
                <w:szCs w:val="21"/>
                <w:highlight w:val="none"/>
              </w:rPr>
            </w:pPr>
            <w:r>
              <w:rPr>
                <w:rFonts w:hint="eastAsia" w:ascii="Times New Roman" w:hAnsi="Times New Roman" w:eastAsia="宋体" w:cs="Times New Roman"/>
                <w:b w:val="0"/>
                <w:bCs/>
                <w:color w:val="000000"/>
                <w:sz w:val="21"/>
                <w:szCs w:val="21"/>
                <w:highlight w:val="none"/>
                <w:lang w:val="en-US" w:eastAsia="zh-CN"/>
              </w:rPr>
              <w:t>萍州大桥西匝道为城市支路，道路全长506m，设计时速20km/h，采用沥青路面，设计为双向2车道，道路宽度为18m。</w:t>
            </w:r>
          </w:p>
          <w:p>
            <w:pPr>
              <w:spacing w:line="360" w:lineRule="auto"/>
              <w:ind w:firstLine="482"/>
              <w:rPr>
                <w:rFonts w:hint="default"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路面设计使用年限：15年</w:t>
            </w:r>
          </w:p>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r>
              <w:rPr>
                <w:rFonts w:hint="eastAsia" w:cs="Times New Roman"/>
                <w:bCs/>
                <w:color w:val="000000"/>
                <w:sz w:val="21"/>
                <w:szCs w:val="21"/>
                <w:highlight w:val="none"/>
                <w:lang w:val="en-US" w:eastAsia="zh-CN"/>
              </w:rPr>
              <w:t>2.4 建设内容与主要经济技术指标</w:t>
            </w:r>
          </w:p>
          <w:p>
            <w:pPr>
              <w:spacing w:line="360" w:lineRule="auto"/>
              <w:ind w:firstLine="480"/>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项目主要建设内容包括道路工程、</w:t>
            </w:r>
            <w:r>
              <w:rPr>
                <w:rFonts w:hint="eastAsia" w:cs="Times New Roman"/>
                <w:color w:val="000000"/>
                <w:sz w:val="21"/>
                <w:szCs w:val="21"/>
                <w:highlight w:val="none"/>
                <w:lang w:val="en-US" w:eastAsia="zh-CN"/>
              </w:rPr>
              <w:t>管线工程、照明工程、绿化工程、交通工程、排水工程、公交车站布置</w:t>
            </w:r>
            <w:r>
              <w:rPr>
                <w:rFonts w:hint="eastAsia" w:ascii="Times New Roman" w:hAnsi="Times New Roman" w:eastAsia="宋体" w:cs="Times New Roman"/>
                <w:color w:val="000000"/>
                <w:sz w:val="21"/>
                <w:szCs w:val="21"/>
                <w:highlight w:val="none"/>
              </w:rPr>
              <w:t>等。</w:t>
            </w:r>
          </w:p>
          <w:p>
            <w:pPr>
              <w:spacing w:line="360" w:lineRule="auto"/>
              <w:ind w:firstLine="48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项目组成详见表2-1，道路主要技术指标详见表2-2。</w:t>
            </w:r>
          </w:p>
          <w:p>
            <w:pPr>
              <w:spacing w:line="240" w:lineRule="auto"/>
              <w:jc w:val="center"/>
              <w:rPr>
                <w:rFonts w:ascii="Times New Roman" w:hAnsi="Times New Roman" w:eastAsia="宋体" w:cs="Times New Roman"/>
                <w:color w:val="000000"/>
                <w:sz w:val="21"/>
                <w:szCs w:val="21"/>
                <w:highlight w:val="none"/>
              </w:rPr>
            </w:pPr>
            <w:r>
              <w:rPr>
                <w:rFonts w:hint="eastAsia" w:ascii="Times New Roman" w:hAnsi="Times New Roman" w:cs="Times New Roman"/>
                <w:b/>
                <w:bCs/>
                <w:color w:val="000000"/>
                <w:sz w:val="21"/>
                <w:szCs w:val="21"/>
                <w:highlight w:val="none"/>
                <w:u w:val="none"/>
                <w:lang w:val="en-US" w:eastAsia="zh-CN"/>
              </w:rPr>
              <w:t>表2</w:t>
            </w:r>
            <w:r>
              <w:rPr>
                <w:rFonts w:hint="eastAsia" w:cs="Times New Roman"/>
                <w:b/>
                <w:bCs/>
                <w:color w:val="000000"/>
                <w:sz w:val="21"/>
                <w:szCs w:val="21"/>
                <w:highlight w:val="none"/>
                <w:u w:val="none"/>
                <w:lang w:val="en-US" w:eastAsia="zh-CN"/>
              </w:rPr>
              <w:t>-1</w:t>
            </w:r>
            <w:r>
              <w:rPr>
                <w:rFonts w:hint="eastAsia" w:ascii="Times New Roman" w:hAnsi="Times New Roman" w:cs="Times New Roman"/>
                <w:b/>
                <w:bCs/>
                <w:color w:val="000000"/>
                <w:sz w:val="21"/>
                <w:szCs w:val="21"/>
                <w:highlight w:val="none"/>
                <w:u w:val="none"/>
                <w:lang w:val="en-US" w:eastAsia="zh-CN"/>
              </w:rPr>
              <w:t xml:space="preserve"> 主要建设内容一览表</w:t>
            </w:r>
          </w:p>
          <w:tbl>
            <w:tblPr>
              <w:tblStyle w:val="41"/>
              <w:tblW w:w="7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488"/>
              <w:gridCol w:w="457"/>
              <w:gridCol w:w="709"/>
              <w:gridCol w:w="4801"/>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2" w:type="dxa"/>
                  <w:gridSpan w:val="4"/>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项目类型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建设内容</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70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主体工程</w:t>
                  </w:r>
                </w:p>
              </w:tc>
              <w:tc>
                <w:tcPr>
                  <w:tcW w:w="945"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lang w:val="en-US" w:eastAsia="zh-CN"/>
                    </w:rPr>
                    <w:t>萍阳北路延伸段</w:t>
                  </w:r>
                </w:p>
              </w:tc>
              <w:tc>
                <w:tcPr>
                  <w:tcW w:w="70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道路工程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ascii="Times New Roman" w:hAnsi="Times New Roman" w:eastAsia="宋体" w:cs="Times New Roman"/>
                      <w:color w:val="000000"/>
                      <w:sz w:val="21"/>
                      <w:szCs w:val="21"/>
                      <w:highlight w:val="none"/>
                      <w:u w:val="single"/>
                      <w:vertAlign w:val="baseline"/>
                    </w:rPr>
                  </w:pPr>
                  <w:r>
                    <w:rPr>
                      <w:rFonts w:hint="eastAsia" w:ascii="Times New Roman" w:hAnsi="Times New Roman" w:eastAsia="宋体" w:cs="Times New Roman"/>
                      <w:color w:val="000000"/>
                      <w:sz w:val="21"/>
                      <w:szCs w:val="21"/>
                      <w:highlight w:val="none"/>
                      <w:u w:val="single"/>
                      <w:vertAlign w:val="baseline"/>
                    </w:rPr>
                    <w:t>萍阳北路现状改造路段（K0+280-K0+520）段：2.5m（自行车道）+3.3-4.8m（人行道）+8m（车行道）+3m(中央绿化带)+8m（车行道）+3.0m（人行道）</w:t>
                  </w:r>
                  <w:r>
                    <w:rPr>
                      <w:rFonts w:hint="eastAsia" w:ascii="Times New Roman" w:hAnsi="Times New Roman" w:eastAsia="宋体" w:cs="Times New Roman"/>
                      <w:color w:val="000000"/>
                      <w:sz w:val="21"/>
                      <w:szCs w:val="21"/>
                      <w:highlight w:val="none"/>
                      <w:u w:val="single"/>
                      <w:vertAlign w:val="baseline"/>
                      <w:lang w:eastAsia="zh-CN"/>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对现有</w:t>
                  </w:r>
                  <w:r>
                    <w:rPr>
                      <w:rFonts w:hint="eastAsia" w:ascii="Times New Roman" w:hAnsi="Times New Roman" w:eastAsia="宋体" w:cs="Times New Roman"/>
                      <w:color w:val="000000"/>
                      <w:sz w:val="21"/>
                      <w:szCs w:val="21"/>
                      <w:highlight w:val="none"/>
                      <w:u w:val="none"/>
                      <w:vertAlign w:val="baseline"/>
                    </w:rPr>
                    <w:t>萍阳北路</w:t>
                  </w:r>
                  <w:r>
                    <w:rPr>
                      <w:rFonts w:hint="eastAsia" w:ascii="Times New Roman" w:hAnsi="Times New Roman" w:eastAsia="宋体" w:cs="Times New Roman"/>
                      <w:color w:val="000000"/>
                      <w:sz w:val="21"/>
                      <w:szCs w:val="21"/>
                      <w:highlight w:val="none"/>
                      <w:u w:val="none"/>
                      <w:vertAlign w:val="baseline"/>
                      <w:lang w:val="en-US" w:eastAsia="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7" w:hRule="atLeast"/>
              </w:trPr>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945"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p>
              </w:tc>
              <w:tc>
                <w:tcPr>
                  <w:tcW w:w="70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single"/>
                      <w:vertAlign w:val="baseline"/>
                      <w:lang w:eastAsia="zh-CN"/>
                    </w:rPr>
                  </w:pPr>
                  <w:r>
                    <w:rPr>
                      <w:rFonts w:hint="eastAsia" w:cs="Times New Roman"/>
                      <w:color w:val="000000"/>
                      <w:sz w:val="21"/>
                      <w:szCs w:val="21"/>
                      <w:highlight w:val="none"/>
                      <w:u w:val="single"/>
                      <w:vertAlign w:val="baseline"/>
                      <w:lang w:val="en-US" w:eastAsia="zh-CN"/>
                    </w:rPr>
                    <w:t>1、</w:t>
                  </w:r>
                  <w:r>
                    <w:rPr>
                      <w:rFonts w:hint="eastAsia" w:ascii="Times New Roman" w:hAnsi="Times New Roman" w:eastAsia="宋体" w:cs="Times New Roman"/>
                      <w:color w:val="000000"/>
                      <w:sz w:val="21"/>
                      <w:szCs w:val="21"/>
                      <w:highlight w:val="none"/>
                      <w:u w:val="single"/>
                      <w:vertAlign w:val="baseline"/>
                    </w:rPr>
                    <w:t>萍阳北路（K0+520-K1+560）段：2.5（自行车道）+3.5m（人行道）+8m(绿化带)+8m（车行道）+3m(中央绿化带)+8m（车行道）+3.0m（人行道）=36m</w:t>
                  </w:r>
                  <w:r>
                    <w:rPr>
                      <w:rFonts w:hint="eastAsia" w:ascii="Times New Roman" w:hAnsi="Times New Roman" w:eastAsia="宋体" w:cs="Times New Roman"/>
                      <w:color w:val="000000"/>
                      <w:sz w:val="21"/>
                      <w:szCs w:val="21"/>
                      <w:highlight w:val="none"/>
                      <w:u w:val="single"/>
                      <w:vertAlign w:val="baseline"/>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single"/>
                      <w:vertAlign w:val="baseline"/>
                      <w:lang w:eastAsia="zh-CN"/>
                    </w:rPr>
                  </w:pPr>
                  <w:r>
                    <w:rPr>
                      <w:rFonts w:hint="eastAsia" w:cs="Times New Roman"/>
                      <w:color w:val="000000"/>
                      <w:sz w:val="21"/>
                      <w:szCs w:val="21"/>
                      <w:highlight w:val="none"/>
                      <w:u w:val="single"/>
                      <w:vertAlign w:val="baseline"/>
                      <w:lang w:val="en-US" w:eastAsia="zh-CN"/>
                    </w:rPr>
                    <w:t>2、</w:t>
                  </w:r>
                  <w:r>
                    <w:rPr>
                      <w:rFonts w:hint="eastAsia" w:ascii="Times New Roman" w:hAnsi="Times New Roman" w:eastAsia="宋体" w:cs="Times New Roman"/>
                      <w:color w:val="000000"/>
                      <w:sz w:val="21"/>
                      <w:szCs w:val="21"/>
                      <w:highlight w:val="none"/>
                      <w:u w:val="single"/>
                      <w:vertAlign w:val="baseline"/>
                    </w:rPr>
                    <w:t>萍阳北路（K1+560-K1+840）段：2.5（自行车道）+3.5m（人行道）+8m（车行道）+3m(中央绿化带)+8m（车行道）+3.0m（人行道）=28m</w:t>
                  </w:r>
                  <w:r>
                    <w:rPr>
                      <w:rFonts w:hint="eastAsia" w:ascii="Times New Roman" w:hAnsi="Times New Roman" w:eastAsia="宋体" w:cs="Times New Roman"/>
                      <w:color w:val="000000"/>
                      <w:sz w:val="21"/>
                      <w:szCs w:val="21"/>
                      <w:highlight w:val="none"/>
                      <w:u w:val="single"/>
                      <w:vertAlign w:val="baseline"/>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single"/>
                      <w:vertAlign w:val="baseline"/>
                    </w:rPr>
                  </w:pPr>
                  <w:r>
                    <w:rPr>
                      <w:rFonts w:hint="eastAsia" w:cs="Times New Roman"/>
                      <w:color w:val="000000"/>
                      <w:sz w:val="21"/>
                      <w:szCs w:val="21"/>
                      <w:highlight w:val="none"/>
                      <w:u w:val="single"/>
                      <w:vertAlign w:val="baseline"/>
                      <w:lang w:val="en-US" w:eastAsia="zh-CN"/>
                    </w:rPr>
                    <w:t>3、</w:t>
                  </w:r>
                  <w:r>
                    <w:rPr>
                      <w:rFonts w:hint="eastAsia" w:ascii="Times New Roman" w:hAnsi="Times New Roman" w:eastAsia="宋体" w:cs="Times New Roman"/>
                      <w:color w:val="000000"/>
                      <w:sz w:val="21"/>
                      <w:szCs w:val="21"/>
                      <w:highlight w:val="none"/>
                      <w:u w:val="single"/>
                      <w:vertAlign w:val="baseline"/>
                    </w:rPr>
                    <w:t>机动车道采用1.5%的横坡，人行道及自行车道采用1.5%的横坡，路口及人行过街处均按无障碍要求设置人行坡道。</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cs="Times New Roman"/>
                      <w:color w:val="000000"/>
                      <w:sz w:val="21"/>
                      <w:szCs w:val="21"/>
                      <w:highlight w:val="none"/>
                      <w:u w:val="single"/>
                      <w:vertAlign w:val="baseline"/>
                      <w:lang w:val="en-US" w:eastAsia="zh-CN"/>
                    </w:rPr>
                  </w:pPr>
                  <w:r>
                    <w:rPr>
                      <w:rFonts w:hint="default" w:ascii="Times New Roman" w:hAnsi="Times New Roman" w:eastAsia="宋体" w:cs="Times New Roman"/>
                      <w:color w:val="000000"/>
                      <w:sz w:val="21"/>
                      <w:szCs w:val="21"/>
                      <w:highlight w:val="none"/>
                      <w:u w:val="single"/>
                      <w:vertAlign w:val="baseline"/>
                    </w:rPr>
                    <w:t>新建车行道</w:t>
                  </w:r>
                  <w:r>
                    <w:rPr>
                      <w:rFonts w:hint="eastAsia" w:ascii="Times New Roman" w:hAnsi="Times New Roman" w:cs="Times New Roman"/>
                      <w:color w:val="000000"/>
                      <w:sz w:val="21"/>
                      <w:szCs w:val="21"/>
                      <w:highlight w:val="none"/>
                      <w:u w:val="single"/>
                      <w:vertAlign w:val="baseline"/>
                      <w:lang w:val="en-US" w:eastAsia="zh-CN"/>
                    </w:rPr>
                    <w:t>路面</w:t>
                  </w:r>
                  <w:r>
                    <w:rPr>
                      <w:rFonts w:hint="default" w:ascii="Times New Roman" w:hAnsi="Times New Roman" w:eastAsia="宋体" w:cs="Times New Roman"/>
                      <w:color w:val="000000"/>
                      <w:sz w:val="21"/>
                      <w:szCs w:val="21"/>
                      <w:highlight w:val="none"/>
                      <w:u w:val="single"/>
                      <w:vertAlign w:val="baseline"/>
                    </w:rPr>
                    <w:t>结构（自上而下）</w:t>
                  </w:r>
                  <w:r>
                    <w:rPr>
                      <w:rFonts w:hint="default" w:ascii="Times New Roman" w:hAnsi="Times New Roman" w:cs="Times New Roman"/>
                      <w:color w:val="000000"/>
                      <w:sz w:val="21"/>
                      <w:szCs w:val="21"/>
                      <w:highlight w:val="none"/>
                      <w:u w:val="single"/>
                      <w:vertAlign w:val="baseline"/>
                      <w:lang w:val="en-US" w:eastAsia="zh-CN"/>
                    </w:rPr>
                    <w:t>分别为</w:t>
                  </w:r>
                  <w:r>
                    <w:rPr>
                      <w:rFonts w:hint="default" w:ascii="Times New Roman" w:hAnsi="Times New Roman" w:eastAsia="宋体" w:cs="Times New Roman"/>
                      <w:color w:val="000000"/>
                      <w:sz w:val="21"/>
                      <w:szCs w:val="21"/>
                      <w:highlight w:val="none"/>
                      <w:u w:val="single"/>
                      <w:vertAlign w:val="baseline"/>
                    </w:rPr>
                    <w:t>：4cm细粒式沥青混凝土(AC-13C)</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喷洒型阳离子乳化沥青粘层油（PC-3）0.5L/</w:t>
                  </w:r>
                  <w:r>
                    <w:rPr>
                      <w:rFonts w:hint="eastAsia" w:ascii="Times New Roman" w:hAnsi="Times New Roman" w:cs="Times New Roman"/>
                      <w:color w:val="000000"/>
                      <w:sz w:val="21"/>
                      <w:szCs w:val="21"/>
                      <w:highlight w:val="none"/>
                      <w:u w:val="single"/>
                      <w:vertAlign w:val="baseline"/>
                      <w:lang w:val="en-US" w:eastAsia="zh-CN"/>
                    </w:rPr>
                    <w:t>m</w:t>
                  </w:r>
                  <w:r>
                    <w:rPr>
                      <w:rFonts w:hint="eastAsia" w:ascii="Times New Roman" w:hAnsi="Times New Roman" w:cs="Times New Roman"/>
                      <w:color w:val="000000"/>
                      <w:sz w:val="21"/>
                      <w:szCs w:val="21"/>
                      <w:highlight w:val="none"/>
                      <w:u w:val="single"/>
                      <w:vertAlign w:val="superscript"/>
                      <w:lang w:val="en-US" w:eastAsia="zh-CN"/>
                    </w:rPr>
                    <w:t>2</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5cm厚中粒式沥青砼AC-20C</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喷洒型阳离子乳化沥青粘层油（PC-3）0.5L/</w:t>
                  </w:r>
                  <w:r>
                    <w:rPr>
                      <w:rFonts w:hint="eastAsia" w:ascii="Times New Roman" w:hAnsi="Times New Roman" w:cs="Times New Roman"/>
                      <w:color w:val="000000"/>
                      <w:sz w:val="21"/>
                      <w:szCs w:val="21"/>
                      <w:highlight w:val="none"/>
                      <w:u w:val="single"/>
                      <w:vertAlign w:val="baseline"/>
                      <w:lang w:val="en-US" w:eastAsia="zh-CN"/>
                    </w:rPr>
                    <w:t>m</w:t>
                  </w:r>
                  <w:r>
                    <w:rPr>
                      <w:rFonts w:hint="eastAsia" w:ascii="Times New Roman" w:hAnsi="Times New Roman" w:cs="Times New Roman"/>
                      <w:color w:val="000000"/>
                      <w:sz w:val="21"/>
                      <w:szCs w:val="21"/>
                      <w:highlight w:val="none"/>
                      <w:u w:val="single"/>
                      <w:vertAlign w:val="superscript"/>
                      <w:lang w:val="en-US" w:eastAsia="zh-CN"/>
                    </w:rPr>
                    <w:t>2</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7cm厚粗粒式沥青砼AC-25C</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1cm厚稀浆封层ES-3型</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机械喷洒道路用改性乳化沥青透油层（PC-2）0.7～1.5L/</w:t>
                  </w:r>
                  <w:r>
                    <w:rPr>
                      <w:rFonts w:hint="eastAsia" w:ascii="Times New Roman" w:hAnsi="Times New Roman" w:cs="Times New Roman"/>
                      <w:color w:val="000000"/>
                      <w:sz w:val="21"/>
                      <w:szCs w:val="21"/>
                      <w:highlight w:val="none"/>
                      <w:u w:val="single"/>
                      <w:vertAlign w:val="baseline"/>
                      <w:lang w:val="en-US" w:eastAsia="zh-CN"/>
                    </w:rPr>
                    <w:t>m</w:t>
                  </w:r>
                  <w:r>
                    <w:rPr>
                      <w:rFonts w:hint="eastAsia" w:ascii="Times New Roman" w:hAnsi="Times New Roman" w:cs="Times New Roman"/>
                      <w:color w:val="000000"/>
                      <w:sz w:val="21"/>
                      <w:szCs w:val="21"/>
                      <w:highlight w:val="none"/>
                      <w:u w:val="single"/>
                      <w:vertAlign w:val="superscript"/>
                      <w:lang w:val="en-US" w:eastAsia="zh-CN"/>
                    </w:rPr>
                    <w:t>2</w:t>
                  </w:r>
                  <w:r>
                    <w:rPr>
                      <w:rFonts w:hint="eastAsia" w:ascii="Times New Roman" w:hAnsi="Times New Roman" w:cs="Times New Roman"/>
                      <w:color w:val="000000"/>
                      <w:sz w:val="21"/>
                      <w:szCs w:val="21"/>
                      <w:highlight w:val="none"/>
                      <w:u w:val="single"/>
                      <w:vertAlign w:val="baseline"/>
                      <w:lang w:val="en-US" w:eastAsia="zh-CN"/>
                    </w:rPr>
                    <w:t>，18cm厚5%水泥稳定碎石，18cm厚4%水泥稳定碎石，15cm厚级配碎石垫层；</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4</w:t>
                  </w:r>
                  <w:r>
                    <w:rPr>
                      <w:rFonts w:hint="eastAsia" w:ascii="Times New Roman" w:hAnsi="Times New Roman" w:eastAsia="宋体" w:cs="Times New Roman"/>
                      <w:color w:val="000000"/>
                      <w:sz w:val="21"/>
                      <w:szCs w:val="21"/>
                      <w:highlight w:val="none"/>
                      <w:u w:val="single"/>
                      <w:vertAlign w:val="baseline"/>
                      <w:lang w:val="en-US" w:eastAsia="zh-CN"/>
                    </w:rPr>
                    <w:t>、</w:t>
                  </w:r>
                  <w:r>
                    <w:rPr>
                      <w:rFonts w:hint="default" w:ascii="Times New Roman" w:hAnsi="Times New Roman" w:eastAsia="宋体" w:cs="Times New Roman"/>
                      <w:color w:val="000000"/>
                      <w:sz w:val="21"/>
                      <w:szCs w:val="21"/>
                      <w:highlight w:val="none"/>
                      <w:u w:val="single"/>
                      <w:vertAlign w:val="baseline"/>
                    </w:rPr>
                    <w:t>新建</w:t>
                  </w:r>
                  <w:r>
                    <w:rPr>
                      <w:rFonts w:hint="eastAsia" w:cs="Times New Roman"/>
                      <w:color w:val="000000"/>
                      <w:sz w:val="21"/>
                      <w:szCs w:val="21"/>
                      <w:highlight w:val="none"/>
                      <w:u w:val="single"/>
                      <w:vertAlign w:val="baseline"/>
                      <w:lang w:val="en-US" w:eastAsia="zh-CN"/>
                    </w:rPr>
                    <w:t>人行道结构如下：6cm厚青石板(30×60)、2cm厚水泥砂浆、10cm厚C15混凝土垫层、15cm厚4%水泥稳定碎石。</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945"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ascii="Times New Roman" w:hAnsi="Times New Roman" w:eastAsia="宋体" w:cs="Times New Roman"/>
                      <w:b w:val="0"/>
                      <w:bCs/>
                      <w:color w:val="000000"/>
                      <w:sz w:val="21"/>
                      <w:szCs w:val="21"/>
                      <w:highlight w:val="none"/>
                      <w:u w:val="none"/>
                      <w:lang w:val="en-US" w:eastAsia="zh-CN"/>
                    </w:rPr>
                    <w:t>萍州大桥西匝道</w:t>
                  </w:r>
                </w:p>
              </w:tc>
              <w:tc>
                <w:tcPr>
                  <w:tcW w:w="70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single"/>
                      <w:vertAlign w:val="baseline"/>
                      <w:lang w:eastAsia="zh-CN"/>
                    </w:rPr>
                  </w:pPr>
                  <w:r>
                    <w:rPr>
                      <w:rFonts w:hint="eastAsia" w:cs="Times New Roman"/>
                      <w:color w:val="000000"/>
                      <w:sz w:val="21"/>
                      <w:szCs w:val="21"/>
                      <w:highlight w:val="none"/>
                      <w:u w:val="single"/>
                      <w:vertAlign w:val="baseline"/>
                      <w:lang w:val="en-US" w:eastAsia="zh-CN"/>
                    </w:rPr>
                    <w:t>1、</w:t>
                  </w:r>
                  <w:r>
                    <w:rPr>
                      <w:rFonts w:hint="eastAsia" w:ascii="Times New Roman" w:hAnsi="Times New Roman" w:eastAsia="宋体" w:cs="Times New Roman"/>
                      <w:color w:val="000000"/>
                      <w:sz w:val="21"/>
                      <w:szCs w:val="21"/>
                      <w:highlight w:val="none"/>
                      <w:u w:val="single"/>
                      <w:vertAlign w:val="baseline"/>
                    </w:rPr>
                    <w:t>道路全线标准横断面为：4.5m人行道+9m车行道+4.5m人行道=18m</w:t>
                  </w:r>
                  <w:r>
                    <w:rPr>
                      <w:rFonts w:hint="eastAsia" w:cs="Times New Roman"/>
                      <w:color w:val="000000"/>
                      <w:sz w:val="21"/>
                      <w:szCs w:val="21"/>
                      <w:highlight w:val="none"/>
                      <w:u w:val="single"/>
                      <w:vertAlign w:val="baseline"/>
                      <w:lang w:eastAsia="zh-CN"/>
                    </w:rPr>
                    <w:t>，</w:t>
                  </w:r>
                  <w:r>
                    <w:rPr>
                      <w:rFonts w:hint="eastAsia" w:ascii="Times New Roman" w:hAnsi="Times New Roman" w:eastAsia="宋体" w:cs="Times New Roman"/>
                      <w:color w:val="000000"/>
                      <w:sz w:val="21"/>
                      <w:szCs w:val="21"/>
                      <w:highlight w:val="none"/>
                      <w:u w:val="single"/>
                      <w:vertAlign w:val="baseline"/>
                    </w:rPr>
                    <w:t>机动车道采用1.5%的横坡，人行道及自行车道采用1.5%的横坡</w:t>
                  </w:r>
                  <w:r>
                    <w:rPr>
                      <w:rFonts w:hint="eastAsia" w:ascii="Times New Roman" w:hAnsi="Times New Roman" w:eastAsia="宋体" w:cs="Times New Roman"/>
                      <w:color w:val="000000"/>
                      <w:sz w:val="21"/>
                      <w:szCs w:val="21"/>
                      <w:highlight w:val="none"/>
                      <w:u w:val="single"/>
                      <w:vertAlign w:val="baseline"/>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cs="Times New Roman"/>
                      <w:color w:val="000000"/>
                      <w:sz w:val="21"/>
                      <w:szCs w:val="21"/>
                      <w:highlight w:val="none"/>
                      <w:u w:val="single"/>
                      <w:vertAlign w:val="baseline"/>
                      <w:lang w:val="en-US" w:eastAsia="zh-CN"/>
                    </w:rPr>
                  </w:pPr>
                  <w:r>
                    <w:rPr>
                      <w:rFonts w:hint="default" w:ascii="Times New Roman" w:hAnsi="Times New Roman" w:eastAsia="宋体" w:cs="Times New Roman"/>
                      <w:color w:val="000000"/>
                      <w:sz w:val="21"/>
                      <w:szCs w:val="21"/>
                      <w:highlight w:val="none"/>
                      <w:u w:val="single"/>
                      <w:vertAlign w:val="baseline"/>
                    </w:rPr>
                    <w:t>新建车行道</w:t>
                  </w:r>
                  <w:r>
                    <w:rPr>
                      <w:rFonts w:hint="eastAsia" w:ascii="Times New Roman" w:hAnsi="Times New Roman" w:cs="Times New Roman"/>
                      <w:color w:val="000000"/>
                      <w:sz w:val="21"/>
                      <w:szCs w:val="21"/>
                      <w:highlight w:val="none"/>
                      <w:u w:val="single"/>
                      <w:vertAlign w:val="baseline"/>
                      <w:lang w:val="en-US" w:eastAsia="zh-CN"/>
                    </w:rPr>
                    <w:t>路面</w:t>
                  </w:r>
                  <w:r>
                    <w:rPr>
                      <w:rFonts w:hint="default" w:ascii="Times New Roman" w:hAnsi="Times New Roman" w:eastAsia="宋体" w:cs="Times New Roman"/>
                      <w:color w:val="000000"/>
                      <w:sz w:val="21"/>
                      <w:szCs w:val="21"/>
                      <w:highlight w:val="none"/>
                      <w:u w:val="single"/>
                      <w:vertAlign w:val="baseline"/>
                    </w:rPr>
                    <w:t>结构（自上而下）</w:t>
                  </w:r>
                  <w:r>
                    <w:rPr>
                      <w:rFonts w:hint="default" w:ascii="Times New Roman" w:hAnsi="Times New Roman" w:cs="Times New Roman"/>
                      <w:color w:val="000000"/>
                      <w:sz w:val="21"/>
                      <w:szCs w:val="21"/>
                      <w:highlight w:val="none"/>
                      <w:u w:val="single"/>
                      <w:vertAlign w:val="baseline"/>
                      <w:lang w:val="en-US" w:eastAsia="zh-CN"/>
                    </w:rPr>
                    <w:t>分别为</w:t>
                  </w:r>
                  <w:r>
                    <w:rPr>
                      <w:rFonts w:hint="default" w:ascii="Times New Roman" w:hAnsi="Times New Roman" w:eastAsia="宋体" w:cs="Times New Roman"/>
                      <w:color w:val="000000"/>
                      <w:sz w:val="21"/>
                      <w:szCs w:val="21"/>
                      <w:highlight w:val="none"/>
                      <w:u w:val="single"/>
                      <w:vertAlign w:val="baseline"/>
                    </w:rPr>
                    <w:t>：4cm细粒式沥青混凝土(AC-13C)</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喷洒型阳离子乳化沥青粘层油（PC-3）0.5L/</w:t>
                  </w:r>
                  <w:r>
                    <w:rPr>
                      <w:rFonts w:hint="eastAsia" w:ascii="Times New Roman" w:hAnsi="Times New Roman" w:cs="Times New Roman"/>
                      <w:color w:val="000000"/>
                      <w:sz w:val="21"/>
                      <w:szCs w:val="21"/>
                      <w:highlight w:val="none"/>
                      <w:u w:val="single"/>
                      <w:vertAlign w:val="baseline"/>
                      <w:lang w:val="en-US" w:eastAsia="zh-CN"/>
                    </w:rPr>
                    <w:t>m</w:t>
                  </w:r>
                  <w:r>
                    <w:rPr>
                      <w:rFonts w:hint="eastAsia" w:ascii="Times New Roman" w:hAnsi="Times New Roman" w:cs="Times New Roman"/>
                      <w:color w:val="000000"/>
                      <w:sz w:val="21"/>
                      <w:szCs w:val="21"/>
                      <w:highlight w:val="none"/>
                      <w:u w:val="single"/>
                      <w:vertAlign w:val="superscript"/>
                      <w:lang w:val="en-US" w:eastAsia="zh-CN"/>
                    </w:rPr>
                    <w:t>2</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5cm厚中粒式沥青砼AC-20C</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喷洒型阳离子乳化沥青粘层油（PC-3）0.5L/</w:t>
                  </w:r>
                  <w:r>
                    <w:rPr>
                      <w:rFonts w:hint="eastAsia" w:ascii="Times New Roman" w:hAnsi="Times New Roman" w:cs="Times New Roman"/>
                      <w:color w:val="000000"/>
                      <w:sz w:val="21"/>
                      <w:szCs w:val="21"/>
                      <w:highlight w:val="none"/>
                      <w:u w:val="single"/>
                      <w:vertAlign w:val="baseline"/>
                      <w:lang w:val="en-US" w:eastAsia="zh-CN"/>
                    </w:rPr>
                    <w:t>m</w:t>
                  </w:r>
                  <w:r>
                    <w:rPr>
                      <w:rFonts w:hint="eastAsia" w:ascii="Times New Roman" w:hAnsi="Times New Roman" w:cs="Times New Roman"/>
                      <w:color w:val="000000"/>
                      <w:sz w:val="21"/>
                      <w:szCs w:val="21"/>
                      <w:highlight w:val="none"/>
                      <w:u w:val="single"/>
                      <w:vertAlign w:val="superscript"/>
                      <w:lang w:val="en-US" w:eastAsia="zh-CN"/>
                    </w:rPr>
                    <w:t>2</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7cm厚粗粒式沥青砼AC-25C</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1cm厚稀浆封层ES-3型</w:t>
                  </w:r>
                  <w:r>
                    <w:rPr>
                      <w:rFonts w:hint="default" w:ascii="Times New Roman" w:hAnsi="Times New Roman" w:cs="Times New Roman"/>
                      <w:color w:val="000000"/>
                      <w:sz w:val="21"/>
                      <w:szCs w:val="21"/>
                      <w:highlight w:val="none"/>
                      <w:u w:val="single"/>
                      <w:vertAlign w:val="baseline"/>
                      <w:lang w:eastAsia="zh-CN"/>
                    </w:rPr>
                    <w:t>，</w:t>
                  </w:r>
                  <w:r>
                    <w:rPr>
                      <w:rFonts w:hint="default" w:ascii="Times New Roman" w:hAnsi="Times New Roman" w:eastAsia="宋体" w:cs="Times New Roman"/>
                      <w:color w:val="000000"/>
                      <w:sz w:val="21"/>
                      <w:szCs w:val="21"/>
                      <w:highlight w:val="none"/>
                      <w:u w:val="single"/>
                      <w:vertAlign w:val="baseline"/>
                    </w:rPr>
                    <w:t>机械喷洒道路用改性乳化沥青透油层（PC-2）0.7～1.5L/</w:t>
                  </w:r>
                  <w:r>
                    <w:rPr>
                      <w:rFonts w:hint="eastAsia" w:ascii="Times New Roman" w:hAnsi="Times New Roman" w:cs="Times New Roman"/>
                      <w:color w:val="000000"/>
                      <w:sz w:val="21"/>
                      <w:szCs w:val="21"/>
                      <w:highlight w:val="none"/>
                      <w:u w:val="single"/>
                      <w:vertAlign w:val="baseline"/>
                      <w:lang w:val="en-US" w:eastAsia="zh-CN"/>
                    </w:rPr>
                    <w:t>m</w:t>
                  </w:r>
                  <w:r>
                    <w:rPr>
                      <w:rFonts w:hint="eastAsia" w:ascii="Times New Roman" w:hAnsi="Times New Roman" w:cs="Times New Roman"/>
                      <w:color w:val="000000"/>
                      <w:sz w:val="21"/>
                      <w:szCs w:val="21"/>
                      <w:highlight w:val="none"/>
                      <w:u w:val="single"/>
                      <w:vertAlign w:val="superscript"/>
                      <w:lang w:val="en-US" w:eastAsia="zh-CN"/>
                    </w:rPr>
                    <w:t>2</w:t>
                  </w:r>
                  <w:r>
                    <w:rPr>
                      <w:rFonts w:hint="eastAsia" w:ascii="Times New Roman" w:hAnsi="Times New Roman" w:cs="Times New Roman"/>
                      <w:color w:val="000000"/>
                      <w:sz w:val="21"/>
                      <w:szCs w:val="21"/>
                      <w:highlight w:val="none"/>
                      <w:u w:val="single"/>
                      <w:vertAlign w:val="baseline"/>
                      <w:lang w:val="en-US" w:eastAsia="zh-CN"/>
                    </w:rPr>
                    <w:t>，18cm厚5%水泥稳定碎石，18cm厚4%水泥稳定碎石，15cm厚级配碎石垫层；</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ascii="Times New Roman" w:hAnsi="Times New Roman" w:eastAsia="宋体" w:cs="Times New Roman"/>
                      <w:color w:val="000000"/>
                      <w:sz w:val="21"/>
                      <w:szCs w:val="21"/>
                      <w:highlight w:val="none"/>
                      <w:u w:val="single"/>
                      <w:vertAlign w:val="baseline"/>
                    </w:rPr>
                  </w:pPr>
                  <w:r>
                    <w:rPr>
                      <w:rFonts w:hint="eastAsia" w:cs="Times New Roman"/>
                      <w:color w:val="000000"/>
                      <w:sz w:val="21"/>
                      <w:szCs w:val="21"/>
                      <w:highlight w:val="none"/>
                      <w:u w:val="single"/>
                      <w:vertAlign w:val="baseline"/>
                      <w:lang w:val="en-US" w:eastAsia="zh-CN"/>
                    </w:rPr>
                    <w:t>2、</w:t>
                  </w:r>
                  <w:r>
                    <w:rPr>
                      <w:rFonts w:hint="default" w:ascii="Times New Roman" w:hAnsi="Times New Roman" w:eastAsia="宋体" w:cs="Times New Roman"/>
                      <w:color w:val="000000"/>
                      <w:sz w:val="21"/>
                      <w:szCs w:val="21"/>
                      <w:highlight w:val="none"/>
                      <w:u w:val="single"/>
                      <w:vertAlign w:val="baseline"/>
                    </w:rPr>
                    <w:t>新建</w:t>
                  </w:r>
                  <w:r>
                    <w:rPr>
                      <w:rFonts w:hint="eastAsia" w:cs="Times New Roman"/>
                      <w:color w:val="000000"/>
                      <w:sz w:val="21"/>
                      <w:szCs w:val="21"/>
                      <w:highlight w:val="none"/>
                      <w:u w:val="single"/>
                      <w:vertAlign w:val="baseline"/>
                      <w:lang w:val="en-US" w:eastAsia="zh-CN"/>
                    </w:rPr>
                    <w:t>人行道结构如下：3cm厚青石板(30×60)、2cm厚水泥砂浆、10cm厚C15混凝土垫层、15cm厚4%水泥稳定碎石。</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配套工程</w:t>
                  </w:r>
                </w:p>
              </w:tc>
              <w:tc>
                <w:tcPr>
                  <w:tcW w:w="4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lang w:val="en-US" w:eastAsia="zh-CN"/>
                    </w:rPr>
                    <w:t>萍阳北路延伸段</w:t>
                  </w:r>
                </w:p>
              </w:tc>
              <w:tc>
                <w:tcPr>
                  <w:tcW w:w="45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rPr>
                    <w:t>管线工程</w:t>
                  </w:r>
                </w:p>
              </w:tc>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lang w:val="en-US" w:eastAsia="zh-CN" w:bidi="ar-SA"/>
                    </w:rPr>
                  </w:pPr>
                  <w:r>
                    <w:rPr>
                      <w:rFonts w:hint="eastAsia" w:cs="Times New Roman"/>
                      <w:color w:val="000000"/>
                      <w:sz w:val="21"/>
                      <w:szCs w:val="21"/>
                      <w:highlight w:val="none"/>
                      <w:u w:val="none"/>
                      <w:vertAlign w:val="baseline"/>
                      <w:lang w:val="en-US" w:eastAsia="zh-CN"/>
                    </w:rPr>
                    <w:t>雨水工程</w:t>
                  </w:r>
                </w:p>
              </w:tc>
              <w:tc>
                <w:tcPr>
                  <w:tcW w:w="48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default" w:cs="Times New Roman"/>
                      <w:color w:val="000000"/>
                      <w:sz w:val="21"/>
                      <w:szCs w:val="21"/>
                      <w:highlight w:val="none"/>
                      <w:u w:val="none"/>
                      <w:vertAlign w:val="baseline"/>
                      <w:lang w:val="en-US" w:eastAsia="zh-CN"/>
                    </w:rPr>
                  </w:pPr>
                  <w:r>
                    <w:rPr>
                      <w:rFonts w:hint="default" w:cs="Times New Roman"/>
                      <w:color w:val="000000"/>
                      <w:sz w:val="21"/>
                      <w:szCs w:val="21"/>
                      <w:highlight w:val="none"/>
                      <w:u w:val="none"/>
                      <w:vertAlign w:val="baseline"/>
                      <w:lang w:val="en-US" w:eastAsia="zh-CN"/>
                    </w:rPr>
                    <w:t>根据《零陵区河西片控制性详细规划》及相关批复文件与技术规范要求，结合现场实际情况道路雨水排放如下：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default" w:cs="Times New Roman"/>
                      <w:color w:val="000000"/>
                      <w:sz w:val="21"/>
                      <w:szCs w:val="21"/>
                      <w:highlight w:val="none"/>
                      <w:u w:val="none"/>
                      <w:vertAlign w:val="baseline"/>
                      <w:lang w:val="en-US" w:eastAsia="zh-CN"/>
                    </w:rPr>
                  </w:pPr>
                  <w:r>
                    <w:rPr>
                      <w:rFonts w:hint="eastAsia" w:cs="Times New Roman"/>
                      <w:color w:val="000000"/>
                      <w:sz w:val="21"/>
                      <w:szCs w:val="21"/>
                      <w:u w:val="none"/>
                      <w:vertAlign w:val="baseline"/>
                      <w:lang w:val="en-US" w:eastAsia="zh-CN" w:bidi="ar-SA"/>
                    </w:rPr>
                    <w:t>1</w:t>
                  </w:r>
                  <w:r>
                    <w:rPr>
                      <w:rFonts w:hint="default" w:ascii="Times New Roman" w:hAnsi="Times New Roman" w:eastAsia="宋体" w:cs="Times New Roman"/>
                      <w:color w:val="000000"/>
                      <w:sz w:val="21"/>
                      <w:szCs w:val="21"/>
                      <w:u w:val="none"/>
                      <w:vertAlign w:val="baseline"/>
                      <w:lang w:val="en-US" w:eastAsia="zh-CN" w:bidi="ar-SA"/>
                    </w:rPr>
                    <w:t>、</w:t>
                  </w:r>
                  <w:r>
                    <w:rPr>
                      <w:rFonts w:hint="default" w:cs="Times New Roman"/>
                      <w:color w:val="000000"/>
                      <w:sz w:val="21"/>
                      <w:szCs w:val="21"/>
                      <w:highlight w:val="none"/>
                      <w:u w:val="none"/>
                      <w:vertAlign w:val="baseline"/>
                      <w:lang w:val="en-US" w:eastAsia="zh-CN"/>
                    </w:rPr>
                    <w:t>0+280至0+780路段雨水管径为DN800，自两侧排向中间部位，在桩号0+510附近排入</w:t>
                  </w:r>
                  <w:r>
                    <w:rPr>
                      <w:rFonts w:hint="eastAsia" w:cs="Times New Roman"/>
                      <w:color w:val="000000"/>
                      <w:sz w:val="21"/>
                      <w:szCs w:val="21"/>
                      <w:highlight w:val="none"/>
                      <w:u w:val="none"/>
                      <w:vertAlign w:val="baseline"/>
                      <w:lang w:val="en-US" w:eastAsia="zh-CN"/>
                    </w:rPr>
                    <w:t>潇水</w:t>
                  </w:r>
                  <w:r>
                    <w:rPr>
                      <w:rFonts w:hint="default" w:cs="Times New Roman"/>
                      <w:color w:val="000000"/>
                      <w:sz w:val="21"/>
                      <w:szCs w:val="21"/>
                      <w:highlight w:val="none"/>
                      <w:u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default" w:cs="Times New Roman"/>
                      <w:color w:val="000000"/>
                      <w:sz w:val="21"/>
                      <w:szCs w:val="21"/>
                      <w:highlight w:val="none"/>
                      <w:u w:val="none"/>
                      <w:vertAlign w:val="baseline"/>
                      <w:lang w:val="en-US" w:eastAsia="zh-CN"/>
                    </w:rPr>
                  </w:pPr>
                  <w:r>
                    <w:rPr>
                      <w:rFonts w:hint="eastAsia" w:cs="Times New Roman"/>
                      <w:color w:val="000000"/>
                      <w:sz w:val="21"/>
                      <w:szCs w:val="21"/>
                      <w:u w:val="none"/>
                      <w:vertAlign w:val="baseline"/>
                      <w:lang w:val="en-US" w:eastAsia="zh-CN" w:bidi="ar-SA"/>
                    </w:rPr>
                    <w:t>2</w:t>
                  </w:r>
                  <w:r>
                    <w:rPr>
                      <w:rFonts w:hint="default" w:ascii="Times New Roman" w:hAnsi="Times New Roman" w:eastAsia="宋体" w:cs="Times New Roman"/>
                      <w:color w:val="000000"/>
                      <w:sz w:val="21"/>
                      <w:szCs w:val="21"/>
                      <w:u w:val="none"/>
                      <w:vertAlign w:val="baseline"/>
                      <w:lang w:val="en-US" w:eastAsia="zh-CN" w:bidi="ar-SA"/>
                    </w:rPr>
                    <w:t>、</w:t>
                  </w:r>
                  <w:r>
                    <w:rPr>
                      <w:rFonts w:hint="default" w:cs="Times New Roman"/>
                      <w:color w:val="000000"/>
                      <w:sz w:val="21"/>
                      <w:szCs w:val="21"/>
                      <w:highlight w:val="none"/>
                      <w:u w:val="none"/>
                      <w:vertAlign w:val="baseline"/>
                      <w:lang w:val="en-US" w:eastAsia="zh-CN"/>
                    </w:rPr>
                    <w:t>0+800至1+080路段雨水管径为DN800,自北向南排向石渠路，在桩号0+800附近排入</w:t>
                  </w:r>
                  <w:r>
                    <w:rPr>
                      <w:rFonts w:hint="eastAsia" w:cs="Times New Roman"/>
                      <w:color w:val="000000"/>
                      <w:sz w:val="21"/>
                      <w:szCs w:val="21"/>
                      <w:highlight w:val="none"/>
                      <w:u w:val="none"/>
                      <w:vertAlign w:val="baseline"/>
                      <w:lang w:val="en-US" w:eastAsia="zh-CN"/>
                    </w:rPr>
                    <w:t>潇水</w:t>
                  </w:r>
                  <w:r>
                    <w:rPr>
                      <w:rFonts w:hint="default" w:cs="Times New Roman"/>
                      <w:color w:val="000000"/>
                      <w:sz w:val="21"/>
                      <w:szCs w:val="21"/>
                      <w:highlight w:val="none"/>
                      <w:u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default" w:cs="Times New Roman"/>
                      <w:color w:val="000000"/>
                      <w:sz w:val="21"/>
                      <w:szCs w:val="21"/>
                      <w:highlight w:val="none"/>
                      <w:u w:val="none"/>
                      <w:vertAlign w:val="baseline"/>
                      <w:lang w:val="en-US" w:eastAsia="zh-CN"/>
                    </w:rPr>
                  </w:pPr>
                  <w:r>
                    <w:rPr>
                      <w:rFonts w:hint="eastAsia" w:cs="Times New Roman"/>
                      <w:color w:val="000000"/>
                      <w:sz w:val="21"/>
                      <w:szCs w:val="21"/>
                      <w:u w:val="none"/>
                      <w:vertAlign w:val="baseline"/>
                      <w:lang w:val="en-US" w:eastAsia="zh-CN" w:bidi="ar-SA"/>
                    </w:rPr>
                    <w:t>3</w:t>
                  </w:r>
                  <w:r>
                    <w:rPr>
                      <w:rFonts w:hint="default" w:ascii="Times New Roman" w:hAnsi="Times New Roman" w:eastAsia="宋体" w:cs="Times New Roman"/>
                      <w:color w:val="000000"/>
                      <w:sz w:val="21"/>
                      <w:szCs w:val="21"/>
                      <w:u w:val="none"/>
                      <w:vertAlign w:val="baseline"/>
                      <w:lang w:val="en-US" w:eastAsia="zh-CN" w:bidi="ar-SA"/>
                    </w:rPr>
                    <w:t>、</w:t>
                  </w:r>
                  <w:r>
                    <w:rPr>
                      <w:rFonts w:hint="default" w:cs="Times New Roman"/>
                      <w:color w:val="000000"/>
                      <w:sz w:val="21"/>
                      <w:szCs w:val="21"/>
                      <w:highlight w:val="none"/>
                      <w:u w:val="none"/>
                      <w:vertAlign w:val="baseline"/>
                      <w:lang w:val="en-US" w:eastAsia="zh-CN"/>
                    </w:rPr>
                    <w:t>1+080至道路终点雨水管径为DN800-DN1200，自南向北排向道路终点，在道路终点排入</w:t>
                  </w:r>
                  <w:r>
                    <w:rPr>
                      <w:rFonts w:hint="eastAsia" w:cs="Times New Roman"/>
                      <w:color w:val="000000"/>
                      <w:sz w:val="21"/>
                      <w:szCs w:val="21"/>
                      <w:highlight w:val="none"/>
                      <w:u w:val="none"/>
                      <w:vertAlign w:val="baseline"/>
                      <w:lang w:val="en-US" w:eastAsia="zh-CN"/>
                    </w:rPr>
                    <w:t>潇水</w:t>
                  </w:r>
                  <w:r>
                    <w:rPr>
                      <w:rFonts w:hint="default" w:cs="Times New Roman"/>
                      <w:color w:val="000000"/>
                      <w:sz w:val="21"/>
                      <w:szCs w:val="21"/>
                      <w:highlight w:val="none"/>
                      <w:u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default" w:cs="Times New Roman"/>
                      <w:color w:val="000000"/>
                      <w:sz w:val="21"/>
                      <w:szCs w:val="21"/>
                      <w:highlight w:val="none"/>
                      <w:u w:val="none"/>
                      <w:vertAlign w:val="baseline"/>
                      <w:lang w:val="en-US" w:eastAsia="zh-CN"/>
                    </w:rPr>
                  </w:pPr>
                  <w:r>
                    <w:rPr>
                      <w:rFonts w:hint="eastAsia" w:cs="Times New Roman"/>
                      <w:color w:val="000000"/>
                      <w:sz w:val="21"/>
                      <w:szCs w:val="21"/>
                      <w:u w:val="none"/>
                      <w:vertAlign w:val="baseline"/>
                      <w:lang w:val="en-US" w:eastAsia="zh-CN" w:bidi="ar-SA"/>
                    </w:rPr>
                    <w:t>4</w:t>
                  </w:r>
                  <w:r>
                    <w:rPr>
                      <w:rFonts w:hint="default" w:ascii="Times New Roman" w:hAnsi="Times New Roman" w:eastAsia="宋体" w:cs="Times New Roman"/>
                      <w:color w:val="000000"/>
                      <w:sz w:val="21"/>
                      <w:szCs w:val="21"/>
                      <w:u w:val="none"/>
                      <w:vertAlign w:val="baseline"/>
                      <w:lang w:val="en-US" w:eastAsia="zh-CN" w:bidi="ar-SA"/>
                    </w:rPr>
                    <w:t>、</w:t>
                  </w:r>
                  <w:r>
                    <w:rPr>
                      <w:rFonts w:hint="default" w:cs="Times New Roman"/>
                      <w:color w:val="000000"/>
                      <w:sz w:val="21"/>
                      <w:szCs w:val="21"/>
                      <w:highlight w:val="none"/>
                      <w:u w:val="none"/>
                      <w:vertAlign w:val="baseline"/>
                      <w:lang w:val="en-US" w:eastAsia="zh-CN"/>
                    </w:rPr>
                    <w:t>雨水管道布置在道路两侧</w:t>
                  </w:r>
                  <w:r>
                    <w:rPr>
                      <w:rFonts w:hint="eastAsia" w:cs="Times New Roman"/>
                      <w:color w:val="000000"/>
                      <w:sz w:val="21"/>
                      <w:szCs w:val="21"/>
                      <w:highlight w:val="none"/>
                      <w:u w:val="none"/>
                      <w:vertAlign w:val="baseline"/>
                      <w:lang w:val="en-US" w:eastAsia="zh-CN"/>
                    </w:rPr>
                    <w:t>。</w:t>
                  </w:r>
                </w:p>
              </w:tc>
              <w:tc>
                <w:tcPr>
                  <w:tcW w:w="63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u w:val="none"/>
                      <w:vertAlign w:val="baseline"/>
                      <w:lang w:val="en-US" w:eastAsia="zh-CN" w:bidi="ar-SA"/>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p>
              </w:tc>
              <w:tc>
                <w:tcPr>
                  <w:tcW w:w="4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p>
              </w:tc>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lang w:val="en-US" w:eastAsia="zh-CN" w:bidi="ar-SA"/>
                    </w:rPr>
                  </w:pPr>
                  <w:r>
                    <w:rPr>
                      <w:rFonts w:hint="eastAsia" w:cs="Times New Roman"/>
                      <w:color w:val="000000"/>
                      <w:sz w:val="21"/>
                      <w:szCs w:val="21"/>
                      <w:highlight w:val="none"/>
                      <w:u w:val="none"/>
                      <w:vertAlign w:val="baseline"/>
                      <w:lang w:val="en-US" w:eastAsia="zh-CN"/>
                    </w:rPr>
                    <w:t>污水工程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根据《零陵区河西片控制性详细规划》及相关批复文件与技术规范要求，结合现场实际情况道路污水排放如下：</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1、</w:t>
                  </w:r>
                  <w:r>
                    <w:rPr>
                      <w:rFonts w:hint="eastAsia" w:ascii="Times New Roman" w:hAnsi="Times New Roman" w:eastAsia="宋体" w:cs="Times New Roman"/>
                      <w:color w:val="000000"/>
                      <w:sz w:val="21"/>
                      <w:szCs w:val="21"/>
                      <w:highlight w:val="none"/>
                      <w:u w:val="none"/>
                      <w:vertAlign w:val="baseline"/>
                      <w:lang w:val="en-US" w:eastAsia="zh-CN"/>
                    </w:rPr>
                    <w:t>0+280至1+250路段污水管径为DN1500，自南向北排向污水过江管道。</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2、</w:t>
                  </w:r>
                  <w:r>
                    <w:rPr>
                      <w:rFonts w:hint="eastAsia" w:ascii="Times New Roman" w:hAnsi="Times New Roman" w:eastAsia="宋体" w:cs="Times New Roman"/>
                      <w:color w:val="000000"/>
                      <w:sz w:val="21"/>
                      <w:szCs w:val="21"/>
                      <w:highlight w:val="none"/>
                      <w:u w:val="none"/>
                      <w:vertAlign w:val="baseline"/>
                      <w:lang w:val="en-US" w:eastAsia="zh-CN"/>
                    </w:rPr>
                    <w:t>1+250至道路终点段污水管径为DN600，自北向南排向污水过江管道。</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p>
              </w:tc>
              <w:tc>
                <w:tcPr>
                  <w:tcW w:w="4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p>
              </w:tc>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给水工程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根据零陵区自来水公司建议，本次萍阳北路设计DN300给水管，单侧布置在道路西侧，本次设计适当交叉口预留给水过路横管。</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p>
              </w:tc>
              <w:tc>
                <w:tcPr>
                  <w:tcW w:w="4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p>
              </w:tc>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电力工程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本次设计电力管道采用C-PVC-175×8.0管，道路纵向排管12回，单侧敷设在道路西侧0+280至0+520段距离中线11米，0+520至1+540段距离中线19米，1+540至道路终点距离中线11米，道路拓宽处按实调整，横管在交叉口位置进行预留，横管预埋12回。接用地侧管道采用8回。</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p>
              </w:tc>
              <w:tc>
                <w:tcPr>
                  <w:tcW w:w="4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p>
              </w:tc>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通讯工程、燃气工程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1、通讯工程：根据《零陵区河西片控制性详细规划》和《零陵区萍洲片控制性详细规划》通讯工程规划图，本次设计建议通讯管采用PVC-110*5管，道路纵向排管8回单侧布置在道路西侧，道路交叉口处预留横管。</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2、燃气工程：燃气工程不在本次设计范围内，本次设计只对燃气管道进行横断面位置预留。</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b w:val="0"/>
                      <w:bCs/>
                      <w:color w:val="000000"/>
                      <w:sz w:val="21"/>
                      <w:szCs w:val="21"/>
                      <w:highlight w:val="none"/>
                      <w:u w:val="none"/>
                      <w:lang w:val="en-US" w:eastAsia="zh-CN"/>
                    </w:rPr>
                    <w:t>萍州大桥西匝道</w:t>
                  </w:r>
                </w:p>
              </w:tc>
              <w:tc>
                <w:tcPr>
                  <w:tcW w:w="4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p>
              </w:tc>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lang w:val="en-US" w:eastAsia="zh-CN" w:bidi="ar-SA"/>
                    </w:rPr>
                  </w:pPr>
                  <w:r>
                    <w:rPr>
                      <w:rFonts w:hint="eastAsia" w:cs="Times New Roman"/>
                      <w:color w:val="000000"/>
                      <w:sz w:val="21"/>
                      <w:szCs w:val="21"/>
                      <w:highlight w:val="none"/>
                      <w:u w:val="none"/>
                      <w:vertAlign w:val="baseline"/>
                      <w:lang w:val="en-US" w:eastAsia="zh-CN"/>
                    </w:rPr>
                    <w:t>雨水工程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根据《零陵区河西片控制性详细规划》及相关批复文件与技术规范要求，结合现场实际情况道路雨水排放如下：</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1、0+000至0+240路段雨水管径为DN800，自萍洲西路排向萍阳北路。</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2、0+280至道路终点段雨水管径为DN800,自萍洲西路排向萍阳北路，在终点附近排入潇水。</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3、雨水管道布置在道路两侧。</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p>
              </w:tc>
              <w:tc>
                <w:tcPr>
                  <w:tcW w:w="4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p>
              </w:tc>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lang w:val="en-US" w:eastAsia="zh-CN" w:bidi="ar-SA"/>
                    </w:rPr>
                  </w:pPr>
                  <w:r>
                    <w:rPr>
                      <w:rFonts w:hint="eastAsia" w:cs="Times New Roman"/>
                      <w:color w:val="000000"/>
                      <w:sz w:val="21"/>
                      <w:szCs w:val="21"/>
                      <w:highlight w:val="none"/>
                      <w:u w:val="none"/>
                      <w:vertAlign w:val="baseline"/>
                      <w:lang w:val="en-US" w:eastAsia="zh-CN"/>
                    </w:rPr>
                    <w:t>污水工程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位于萍洲大桥西岸匝道南侧，湖南省建科院已设计污水管，污水提升至萍洲大桥头后沿南侧匝道自流至过江管道，本次不再进行设计。</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p>
              </w:tc>
              <w:tc>
                <w:tcPr>
                  <w:tcW w:w="4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p>
              </w:tc>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给水工程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根据零陵区自来水公司建议，本次萍洲大桥西岸匝道设计DN300给水管，敷设DN300沿萍洲大桥西匝道南段接萍洲西路给水管与萍阳北路相接。</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p>
              </w:tc>
              <w:tc>
                <w:tcPr>
                  <w:tcW w:w="4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p>
              </w:tc>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电力工程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根据电力公司意见，管采用CPVC-175*11管，道路纵向排管12四，单侧布置在道路西侧，道路交叉口处预留横管。</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p>
              </w:tc>
              <w:tc>
                <w:tcPr>
                  <w:tcW w:w="48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p>
              </w:tc>
              <w:tc>
                <w:tcPr>
                  <w:tcW w:w="4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p>
              </w:tc>
              <w:tc>
                <w:tcPr>
                  <w:tcW w:w="7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通讯工程、燃气工程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1、通讯工程：根据《零陵区河西片控制性详细规划》和《零陵区萍洲片控制性详细规划》通讯工程规划图，本次设计建议通讯管采用PVC-110*5管，道路纵向排管8回单侧布置在道路西侧，道路交叉口处预留横管。</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2、燃气工程：燃气工程不在本次设计范围内，本次设计只对燃气管道进行横断面位置预留。</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6" w:hRule="atLeast"/>
              </w:trPr>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488"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lang w:val="en-US" w:eastAsia="zh-CN"/>
                    </w:rPr>
                    <w:t>萍阳北路延伸段</w:t>
                  </w:r>
                </w:p>
              </w:tc>
              <w:tc>
                <w:tcPr>
                  <w:tcW w:w="1166" w:type="dxa"/>
                  <w:gridSpan w:val="2"/>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lang w:val="en-US" w:eastAsia="zh-CN" w:bidi="ar-SA"/>
                    </w:rPr>
                  </w:pPr>
                  <w:r>
                    <w:rPr>
                      <w:rFonts w:hint="eastAsia" w:cs="Times New Roman"/>
                      <w:color w:val="000000"/>
                      <w:sz w:val="21"/>
                      <w:szCs w:val="21"/>
                      <w:highlight w:val="none"/>
                      <w:u w:val="none"/>
                      <w:lang w:val="en-US" w:eastAsia="zh-CN"/>
                    </w:rPr>
                    <w:t>照明工程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萍阳北路按城市主干路设计，照明在两侧人行道路灯对称布置，采用单臂120WLED灯，灯具间距为28米，路灯高度为10m</w:t>
                  </w:r>
                  <w:r>
                    <w:rPr>
                      <w:rFonts w:hint="eastAsia" w:cs="Times New Roman"/>
                      <w:color w:val="000000"/>
                      <w:sz w:val="21"/>
                      <w:szCs w:val="21"/>
                      <w:highlight w:val="none"/>
                      <w:u w:val="none"/>
                      <w:vertAlign w:val="baseline"/>
                      <w:lang w:eastAsia="zh-CN"/>
                    </w:rPr>
                    <w:t>，</w:t>
                  </w:r>
                  <w:r>
                    <w:rPr>
                      <w:rFonts w:hint="eastAsia" w:ascii="Times New Roman" w:hAnsi="Times New Roman" w:eastAsia="宋体" w:cs="Times New Roman"/>
                      <w:color w:val="000000"/>
                      <w:sz w:val="21"/>
                      <w:szCs w:val="21"/>
                      <w:highlight w:val="none"/>
                      <w:u w:val="none"/>
                      <w:vertAlign w:val="baseline"/>
                    </w:rPr>
                    <w:t>臂长为1.5米，仰角12°。在道路k0+520-k1+560段有绿化带区域设计有人行道景观灯，采用80WLED灯，灯具间距为15米，景观灯高度为5米，路灯样式均自选。</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trPr>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488"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b w:val="0"/>
                      <w:bCs/>
                      <w:color w:val="000000"/>
                      <w:sz w:val="21"/>
                      <w:szCs w:val="21"/>
                      <w:highlight w:val="none"/>
                      <w:u w:val="none"/>
                      <w:lang w:val="en-US" w:eastAsia="zh-CN"/>
                    </w:rPr>
                    <w:t>萍州大桥西匝道</w:t>
                  </w:r>
                </w:p>
              </w:tc>
              <w:tc>
                <w:tcPr>
                  <w:tcW w:w="1166" w:type="dxa"/>
                  <w:gridSpan w:val="2"/>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lang w:val="en-US" w:eastAsia="zh-CN" w:bidi="ar-SA"/>
                    </w:rPr>
                  </w:pP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highlight w:val="none"/>
                      <w:u w:val="none"/>
                      <w:vertAlign w:val="baseline"/>
                    </w:rPr>
                    <w:t>萍洲大桥西匝道道路照明按城市支路设计，照明在单侧人行道布置路灯，采用单臂120WLED灯，灯具间距为28米，路灯高度为10m</w:t>
                  </w:r>
                  <w:r>
                    <w:rPr>
                      <w:rFonts w:hint="eastAsia" w:cs="Times New Roman"/>
                      <w:color w:val="000000"/>
                      <w:sz w:val="21"/>
                      <w:szCs w:val="21"/>
                      <w:highlight w:val="none"/>
                      <w:u w:val="none"/>
                      <w:vertAlign w:val="baseline"/>
                      <w:lang w:eastAsia="zh-CN"/>
                    </w:rPr>
                    <w:t>，</w:t>
                  </w:r>
                  <w:r>
                    <w:rPr>
                      <w:rFonts w:hint="eastAsia" w:ascii="Times New Roman" w:hAnsi="Times New Roman" w:eastAsia="宋体" w:cs="Times New Roman"/>
                      <w:color w:val="000000"/>
                      <w:sz w:val="21"/>
                      <w:szCs w:val="21"/>
                      <w:highlight w:val="none"/>
                      <w:u w:val="none"/>
                      <w:vertAlign w:val="baseline"/>
                    </w:rPr>
                    <w:t>臂长为1.5米，仰角12°</w:t>
                  </w:r>
                  <w:r>
                    <w:rPr>
                      <w:rFonts w:hint="eastAsia" w:ascii="Times New Roman" w:hAnsi="Times New Roman" w:eastAsia="宋体" w:cs="Times New Roman"/>
                      <w:color w:val="000000"/>
                      <w:sz w:val="21"/>
                      <w:szCs w:val="21"/>
                      <w:highlight w:val="none"/>
                      <w:u w:val="none"/>
                      <w:vertAlign w:val="baseline"/>
                      <w:lang w:eastAsia="zh-CN"/>
                    </w:rPr>
                    <w:t>，</w:t>
                  </w:r>
                  <w:r>
                    <w:rPr>
                      <w:rFonts w:hint="eastAsia" w:ascii="Times New Roman" w:hAnsi="Times New Roman" w:eastAsia="宋体" w:cs="Times New Roman"/>
                      <w:color w:val="000000"/>
                      <w:sz w:val="21"/>
                      <w:szCs w:val="21"/>
                      <w:highlight w:val="none"/>
                      <w:u w:val="none"/>
                      <w:vertAlign w:val="baseline"/>
                    </w:rPr>
                    <w:t>路灯样式均自选</w:t>
                  </w:r>
                  <w:r>
                    <w:rPr>
                      <w:rFonts w:hint="eastAsia" w:ascii="Times New Roman" w:hAnsi="Times New Roman" w:eastAsia="宋体" w:cs="Times New Roman"/>
                      <w:color w:val="000000"/>
                      <w:sz w:val="21"/>
                      <w:szCs w:val="21"/>
                      <w:highlight w:val="none"/>
                      <w:u w:val="none"/>
                      <w:vertAlign w:val="baseline"/>
                      <w:lang w:eastAsia="zh-CN"/>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trPr>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4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bidi="ar-SA"/>
                    </w:rPr>
                  </w:pPr>
                  <w:r>
                    <w:rPr>
                      <w:rFonts w:hint="eastAsia" w:cs="Times New Roman"/>
                      <w:color w:val="000000"/>
                      <w:sz w:val="21"/>
                      <w:szCs w:val="21"/>
                      <w:highlight w:val="none"/>
                      <w:u w:val="none"/>
                      <w:lang w:val="en-US" w:eastAsia="zh-CN"/>
                    </w:rPr>
                    <w:t>萍阳北路延伸段</w:t>
                  </w:r>
                </w:p>
              </w:tc>
              <w:tc>
                <w:tcPr>
                  <w:tcW w:w="1166" w:type="dxa"/>
                  <w:gridSpan w:val="2"/>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绿化工程</w:t>
                  </w:r>
                </w:p>
              </w:tc>
              <w:tc>
                <w:tcPr>
                  <w:tcW w:w="48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cs="Times New Roman"/>
                      <w:color w:val="000000"/>
                      <w:sz w:val="21"/>
                      <w:szCs w:val="21"/>
                      <w:highlight w:val="none"/>
                      <w:u w:val="none"/>
                      <w:vertAlign w:val="baseline"/>
                      <w:lang w:eastAsia="zh-CN"/>
                    </w:rPr>
                  </w:pPr>
                  <w:r>
                    <w:rPr>
                      <w:rFonts w:hint="eastAsia" w:cs="Times New Roman"/>
                      <w:color w:val="000000"/>
                      <w:sz w:val="21"/>
                      <w:szCs w:val="21"/>
                      <w:highlight w:val="none"/>
                      <w:u w:val="none"/>
                      <w:vertAlign w:val="baseline"/>
                      <w:lang w:eastAsia="zh-CN"/>
                    </w:rPr>
                    <w:t>（</w:t>
                  </w:r>
                  <w:r>
                    <w:rPr>
                      <w:rFonts w:hint="eastAsia" w:cs="Times New Roman"/>
                      <w:color w:val="000000"/>
                      <w:sz w:val="21"/>
                      <w:szCs w:val="21"/>
                      <w:highlight w:val="none"/>
                      <w:u w:val="none"/>
                      <w:vertAlign w:val="baseline"/>
                      <w:lang w:val="en-US" w:eastAsia="zh-CN"/>
                    </w:rPr>
                    <w:t>1</w:t>
                  </w:r>
                  <w:r>
                    <w:rPr>
                      <w:rFonts w:hint="eastAsia" w:cs="Times New Roman"/>
                      <w:color w:val="000000"/>
                      <w:sz w:val="21"/>
                      <w:szCs w:val="21"/>
                      <w:highlight w:val="none"/>
                      <w:u w:val="none"/>
                      <w:vertAlign w:val="baseline"/>
                      <w:lang w:eastAsia="zh-CN"/>
                    </w:rPr>
                    <w:t>）</w:t>
                  </w:r>
                  <w:r>
                    <w:rPr>
                      <w:rFonts w:hint="eastAsia" w:ascii="Times New Roman" w:hAnsi="Times New Roman" w:eastAsia="宋体" w:cs="Times New Roman"/>
                      <w:color w:val="000000"/>
                      <w:sz w:val="21"/>
                      <w:szCs w:val="21"/>
                      <w:highlight w:val="none"/>
                      <w:u w:val="none"/>
                      <w:vertAlign w:val="baseline"/>
                    </w:rPr>
                    <w:t>本项目绿化设计主要为人行道8米绿化带、中央绿化带和行道树布置</w:t>
                  </w:r>
                  <w:r>
                    <w:rPr>
                      <w:rFonts w:hint="eastAsia" w:cs="Times New Roman"/>
                      <w:color w:val="000000"/>
                      <w:sz w:val="21"/>
                      <w:szCs w:val="21"/>
                      <w:highlight w:val="none"/>
                      <w:u w:val="none"/>
                      <w:vertAlign w:val="baseli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u w:val="none"/>
                      <w:vertAlign w:val="baseline"/>
                      <w:lang w:val="en-US" w:eastAsia="zh-CN" w:bidi="ar-SA"/>
                    </w:rPr>
                    <w:t>（2）</w:t>
                  </w:r>
                  <w:r>
                    <w:rPr>
                      <w:rFonts w:hint="eastAsia" w:ascii="Times New Roman" w:hAnsi="Times New Roman" w:eastAsia="宋体" w:cs="Times New Roman"/>
                      <w:color w:val="000000"/>
                      <w:sz w:val="21"/>
                      <w:szCs w:val="21"/>
                      <w:highlight w:val="none"/>
                      <w:u w:val="none"/>
                      <w:vertAlign w:val="baseline"/>
                    </w:rPr>
                    <w:t>两排行道树内侧为常绿香樟树，道路四季常青</w:t>
                  </w:r>
                  <w:r>
                    <w:rPr>
                      <w:rFonts w:hint="eastAsia" w:cs="Times New Roman"/>
                      <w:color w:val="000000"/>
                      <w:sz w:val="21"/>
                      <w:szCs w:val="21"/>
                      <w:highlight w:val="none"/>
                      <w:u w:val="none"/>
                      <w:vertAlign w:val="baseline"/>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jc w:val="both"/>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cs="Times New Roman"/>
                      <w:color w:val="000000"/>
                      <w:sz w:val="21"/>
                      <w:szCs w:val="21"/>
                      <w:highlight w:val="none"/>
                      <w:u w:val="none"/>
                      <w:vertAlign w:val="baseline"/>
                      <w:lang w:eastAsia="zh-CN"/>
                    </w:rPr>
                    <w:t>（</w:t>
                  </w:r>
                  <w:r>
                    <w:rPr>
                      <w:rFonts w:hint="eastAsia" w:cs="Times New Roman"/>
                      <w:color w:val="000000"/>
                      <w:sz w:val="21"/>
                      <w:szCs w:val="21"/>
                      <w:highlight w:val="none"/>
                      <w:u w:val="none"/>
                      <w:vertAlign w:val="baseline"/>
                      <w:lang w:val="en-US" w:eastAsia="zh-CN"/>
                    </w:rPr>
                    <w:t>3</w:t>
                  </w:r>
                  <w:r>
                    <w:rPr>
                      <w:rFonts w:hint="eastAsia" w:cs="Times New Roman"/>
                      <w:color w:val="000000"/>
                      <w:sz w:val="21"/>
                      <w:szCs w:val="21"/>
                      <w:highlight w:val="none"/>
                      <w:u w:val="none"/>
                      <w:vertAlign w:val="baseline"/>
                      <w:lang w:eastAsia="zh-CN"/>
                    </w:rPr>
                    <w:t>）</w:t>
                  </w:r>
                  <w:r>
                    <w:rPr>
                      <w:rFonts w:hint="eastAsia" w:ascii="Times New Roman" w:hAnsi="Times New Roman" w:eastAsia="宋体" w:cs="Times New Roman"/>
                      <w:color w:val="000000"/>
                      <w:sz w:val="21"/>
                      <w:szCs w:val="21"/>
                      <w:highlight w:val="none"/>
                      <w:u w:val="none"/>
                      <w:vertAlign w:val="baseline"/>
                    </w:rPr>
                    <w:t>绿化率(1.5+3+8)/36x100%=34.7%，符合规范要求</w:t>
                  </w:r>
                  <w:r>
                    <w:rPr>
                      <w:rFonts w:hint="eastAsia" w:cs="Times New Roman"/>
                      <w:color w:val="000000"/>
                      <w:sz w:val="21"/>
                      <w:szCs w:val="21"/>
                      <w:highlight w:val="none"/>
                      <w:u w:val="none"/>
                      <w:vertAlign w:val="baseline"/>
                      <w:lang w:eastAsia="zh-CN"/>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488"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bidi="ar-SA"/>
                    </w:rPr>
                  </w:pPr>
                  <w:r>
                    <w:rPr>
                      <w:rFonts w:hint="eastAsia" w:ascii="Times New Roman" w:hAnsi="Times New Roman" w:eastAsia="宋体" w:cs="Times New Roman"/>
                      <w:b w:val="0"/>
                      <w:bCs/>
                      <w:color w:val="000000"/>
                      <w:sz w:val="21"/>
                      <w:szCs w:val="21"/>
                      <w:highlight w:val="none"/>
                      <w:u w:val="none"/>
                      <w:lang w:val="en-US" w:eastAsia="zh-CN"/>
                    </w:rPr>
                    <w:t>萍州大桥西匝道</w:t>
                  </w:r>
                </w:p>
              </w:tc>
              <w:tc>
                <w:tcPr>
                  <w:tcW w:w="1166" w:type="dxa"/>
                  <w:gridSpan w:val="2"/>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p>
              </w:tc>
              <w:tc>
                <w:tcPr>
                  <w:tcW w:w="480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left"/>
                    <w:textAlignment w:val="auto"/>
                    <w:rPr>
                      <w:rFonts w:hint="eastAsia" w:cs="Times New Roman"/>
                      <w:color w:val="000000"/>
                      <w:sz w:val="21"/>
                      <w:szCs w:val="21"/>
                      <w:highlight w:val="none"/>
                      <w:u w:val="none"/>
                      <w:vertAlign w:val="baseline"/>
                      <w:lang w:eastAsia="zh-CN"/>
                    </w:rPr>
                  </w:pPr>
                  <w:r>
                    <w:rPr>
                      <w:rFonts w:hint="eastAsia" w:cs="Times New Roman"/>
                      <w:color w:val="000000"/>
                      <w:sz w:val="21"/>
                      <w:szCs w:val="21"/>
                      <w:highlight w:val="none"/>
                      <w:u w:val="none"/>
                      <w:vertAlign w:val="baseline"/>
                      <w:lang w:eastAsia="zh-CN"/>
                    </w:rPr>
                    <w:t>（</w:t>
                  </w:r>
                  <w:r>
                    <w:rPr>
                      <w:rFonts w:hint="eastAsia" w:cs="Times New Roman"/>
                      <w:color w:val="000000"/>
                      <w:sz w:val="21"/>
                      <w:szCs w:val="21"/>
                      <w:highlight w:val="none"/>
                      <w:u w:val="none"/>
                      <w:vertAlign w:val="baseline"/>
                      <w:lang w:val="en-US" w:eastAsia="zh-CN"/>
                    </w:rPr>
                    <w:t>1</w:t>
                  </w:r>
                  <w:r>
                    <w:rPr>
                      <w:rFonts w:hint="eastAsia" w:cs="Times New Roman"/>
                      <w:color w:val="000000"/>
                      <w:sz w:val="21"/>
                      <w:szCs w:val="21"/>
                      <w:highlight w:val="none"/>
                      <w:u w:val="none"/>
                      <w:vertAlign w:val="baseline"/>
                      <w:lang w:eastAsia="zh-CN"/>
                    </w:rPr>
                    <w:t>）</w:t>
                  </w:r>
                  <w:r>
                    <w:rPr>
                      <w:rFonts w:hint="eastAsia" w:ascii="Times New Roman" w:hAnsi="Times New Roman" w:eastAsia="宋体" w:cs="Times New Roman"/>
                      <w:color w:val="000000"/>
                      <w:sz w:val="21"/>
                      <w:szCs w:val="21"/>
                      <w:highlight w:val="none"/>
                      <w:u w:val="none"/>
                      <w:vertAlign w:val="baseline"/>
                    </w:rPr>
                    <w:t>本项目绿化设计主要为行道树布置</w:t>
                  </w:r>
                  <w:r>
                    <w:rPr>
                      <w:rFonts w:hint="eastAsia" w:cs="Times New Roman"/>
                      <w:color w:val="000000"/>
                      <w:sz w:val="21"/>
                      <w:szCs w:val="21"/>
                      <w:highlight w:val="none"/>
                      <w:u w:val="none"/>
                      <w:vertAlign w:val="baseli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left"/>
                    <w:textAlignment w:val="auto"/>
                    <w:rPr>
                      <w:rFonts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u w:val="none"/>
                      <w:vertAlign w:val="baseline"/>
                      <w:lang w:val="en-US" w:eastAsia="zh-CN" w:bidi="ar-SA"/>
                    </w:rPr>
                    <w:t>（2）</w:t>
                  </w:r>
                  <w:r>
                    <w:rPr>
                      <w:rFonts w:hint="eastAsia" w:ascii="Times New Roman" w:hAnsi="Times New Roman" w:eastAsia="宋体" w:cs="Times New Roman"/>
                      <w:color w:val="000000"/>
                      <w:sz w:val="21"/>
                      <w:szCs w:val="21"/>
                      <w:highlight w:val="none"/>
                      <w:u w:val="none"/>
                      <w:vertAlign w:val="baseline"/>
                    </w:rPr>
                    <w:t>两排行道树内侧为常绿香樟树</w:t>
                  </w:r>
                  <w:r>
                    <w:rPr>
                      <w:rFonts w:hint="eastAsia" w:cs="Times New Roman"/>
                      <w:color w:val="000000"/>
                      <w:sz w:val="21"/>
                      <w:szCs w:val="21"/>
                      <w:highlight w:val="none"/>
                      <w:u w:val="none"/>
                      <w:vertAlign w:val="baseline"/>
                      <w:lang w:eastAsia="zh-CN"/>
                    </w:rPr>
                    <w:t>。</w:t>
                  </w:r>
                </w:p>
              </w:tc>
              <w:tc>
                <w:tcPr>
                  <w:tcW w:w="63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u w:val="none"/>
                      <w:vertAlign w:val="baseline"/>
                      <w:lang w:val="en-US" w:eastAsia="zh-CN" w:bidi="ar-SA"/>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交通工程</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大型交通标志、限速标志、禁停标志、交通标线、十字路信号灯等</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公交车站布置</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ascii="Times New Roman" w:hAnsi="Times New Roman" w:eastAsia="宋体" w:cs="Times New Roman"/>
                      <w:color w:val="000000"/>
                      <w:sz w:val="21"/>
                      <w:szCs w:val="21"/>
                      <w:highlight w:val="none"/>
                      <w:u w:val="none"/>
                      <w:vertAlign w:val="baseline"/>
                    </w:rPr>
                    <w:t>拟</w:t>
                  </w:r>
                  <w:r>
                    <w:rPr>
                      <w:rFonts w:hint="eastAsia" w:cs="Times New Roman"/>
                      <w:color w:val="000000"/>
                      <w:sz w:val="21"/>
                      <w:szCs w:val="21"/>
                      <w:highlight w:val="none"/>
                      <w:u w:val="none"/>
                      <w:vertAlign w:val="baseline"/>
                      <w:lang w:val="en-US" w:eastAsia="zh-CN"/>
                    </w:rPr>
                    <w:t>在</w:t>
                  </w:r>
                  <w:r>
                    <w:rPr>
                      <w:rFonts w:hint="eastAsia" w:ascii="Times New Roman" w:hAnsi="Times New Roman" w:eastAsia="宋体" w:cs="Times New Roman"/>
                      <w:color w:val="000000"/>
                      <w:sz w:val="21"/>
                      <w:szCs w:val="21"/>
                      <w:highlight w:val="none"/>
                      <w:u w:val="none"/>
                      <w:vertAlign w:val="baseline"/>
                    </w:rPr>
                    <w:t>萍阳北路</w:t>
                  </w:r>
                  <w:r>
                    <w:rPr>
                      <w:rFonts w:hint="eastAsia" w:cs="Times New Roman"/>
                      <w:color w:val="000000"/>
                      <w:sz w:val="21"/>
                      <w:szCs w:val="21"/>
                      <w:highlight w:val="none"/>
                      <w:u w:val="none"/>
                      <w:lang w:val="en-US" w:eastAsia="zh-CN"/>
                    </w:rPr>
                    <w:t>延伸段</w:t>
                  </w:r>
                  <w:r>
                    <w:rPr>
                      <w:rFonts w:hint="eastAsia" w:ascii="Times New Roman" w:hAnsi="Times New Roman" w:eastAsia="宋体" w:cs="Times New Roman"/>
                      <w:color w:val="000000"/>
                      <w:sz w:val="21"/>
                      <w:szCs w:val="21"/>
                      <w:highlight w:val="none"/>
                      <w:u w:val="none"/>
                      <w:vertAlign w:val="baseline"/>
                    </w:rPr>
                    <w:t>采用港湾式公交停靠站，问距400~800米。站台铺装宽度为2.0m、长为30m，结构与人行道结构一致</w:t>
                  </w:r>
                  <w:r>
                    <w:rPr>
                      <w:rFonts w:hint="eastAsia" w:cs="Times New Roman"/>
                      <w:color w:val="000000"/>
                      <w:sz w:val="21"/>
                      <w:szCs w:val="21"/>
                      <w:highlight w:val="none"/>
                      <w:u w:val="none"/>
                      <w:vertAlign w:val="baseline"/>
                      <w:lang w:eastAsia="zh-CN"/>
                    </w:rPr>
                    <w:t>；</w:t>
                  </w:r>
                  <w:r>
                    <w:rPr>
                      <w:rFonts w:hint="eastAsia" w:cs="Times New Roman"/>
                      <w:color w:val="000000"/>
                      <w:sz w:val="21"/>
                      <w:szCs w:val="21"/>
                      <w:highlight w:val="none"/>
                      <w:u w:val="none"/>
                      <w:vertAlign w:val="baseline"/>
                      <w:lang w:val="en-US" w:eastAsia="zh-CN"/>
                    </w:rPr>
                    <w:t>考虑现有萍阳北路段在K0-080附近有现状公交车站，本次道路仅设置2处公交站满足规范间距要求。</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临时工程</w:t>
                  </w: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single"/>
                      <w:lang w:val="en-US" w:eastAsia="zh-CN"/>
                    </w:rPr>
                  </w:pPr>
                  <w:r>
                    <w:rPr>
                      <w:rFonts w:hint="eastAsia" w:cs="Times New Roman"/>
                      <w:color w:val="000000"/>
                      <w:sz w:val="21"/>
                      <w:szCs w:val="21"/>
                      <w:highlight w:val="none"/>
                      <w:u w:val="single"/>
                      <w:lang w:val="en-US" w:eastAsia="zh-CN"/>
                    </w:rPr>
                    <w:t>施工场地</w:t>
                  </w:r>
                </w:p>
              </w:tc>
              <w:tc>
                <w:tcPr>
                  <w:tcW w:w="480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single"/>
                      <w:vertAlign w:val="baseline"/>
                      <w:lang w:eastAsia="zh-CN"/>
                    </w:rPr>
                  </w:pPr>
                  <w:r>
                    <w:rPr>
                      <w:rFonts w:hint="eastAsia" w:ascii="Times New Roman" w:hAnsi="Times New Roman" w:eastAsia="宋体" w:cs="Times New Roman"/>
                      <w:color w:val="000000"/>
                      <w:sz w:val="21"/>
                      <w:szCs w:val="21"/>
                      <w:highlight w:val="none"/>
                      <w:u w:val="single"/>
                      <w:vertAlign w:val="baseline"/>
                    </w:rPr>
                    <w:t>施工场地、表土堆场结合当阶段施工路段交通组织方案，利用现有道路红线内空间进行施工机械、材料及表土堆放，不新设临时施工场地和表土堆场</w:t>
                  </w:r>
                  <w:r>
                    <w:rPr>
                      <w:rFonts w:hint="eastAsia" w:cs="Times New Roman"/>
                      <w:color w:val="000000"/>
                      <w:sz w:val="21"/>
                      <w:szCs w:val="21"/>
                      <w:highlight w:val="none"/>
                      <w:u w:val="single"/>
                      <w:vertAlign w:val="baseline"/>
                      <w:lang w:eastAsia="zh-CN"/>
                    </w:rPr>
                    <w:t>。</w:t>
                  </w:r>
                </w:p>
              </w:tc>
              <w:tc>
                <w:tcPr>
                  <w:tcW w:w="63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single"/>
                      <w:lang w:val="en-US" w:eastAsia="zh-CN"/>
                    </w:rPr>
                  </w:pPr>
                  <w:r>
                    <w:rPr>
                      <w:rFonts w:hint="eastAsia" w:cs="Times New Roman"/>
                      <w:color w:val="000000"/>
                      <w:sz w:val="21"/>
                      <w:szCs w:val="21"/>
                      <w:highlight w:val="none"/>
                      <w:u w:val="single"/>
                      <w:lang w:val="en-US" w:eastAsia="zh-CN"/>
                    </w:rPr>
                    <w:t>表土堆场</w:t>
                  </w:r>
                </w:p>
              </w:tc>
              <w:tc>
                <w:tcPr>
                  <w:tcW w:w="480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single"/>
                      <w:vertAlign w:val="baseline"/>
                    </w:rPr>
                  </w:pPr>
                </w:p>
              </w:tc>
              <w:tc>
                <w:tcPr>
                  <w:tcW w:w="63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取弃土场</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①</w:t>
                  </w:r>
                  <w:r>
                    <w:rPr>
                      <w:rFonts w:hint="eastAsia" w:cs="Times New Roman"/>
                      <w:color w:val="000000"/>
                      <w:sz w:val="21"/>
                      <w:szCs w:val="21"/>
                      <w:highlight w:val="none"/>
                      <w:u w:val="none"/>
                      <w:lang w:val="en-US" w:eastAsia="zh-CN"/>
                    </w:rPr>
                    <w:t>萍阳北路延伸段：</w:t>
                  </w:r>
                  <w:r>
                    <w:rPr>
                      <w:rFonts w:hint="eastAsia" w:ascii="Times New Roman" w:hAnsi="Times New Roman" w:eastAsia="宋体" w:cs="Times New Roman"/>
                      <w:color w:val="000000"/>
                      <w:sz w:val="21"/>
                      <w:szCs w:val="21"/>
                      <w:highlight w:val="none"/>
                      <w:u w:val="none"/>
                      <w:vertAlign w:val="baseline"/>
                    </w:rPr>
                    <w:t>挖方</w:t>
                  </w:r>
                  <w:r>
                    <w:rPr>
                      <w:rFonts w:hint="eastAsia" w:cs="Times New Roman"/>
                      <w:color w:val="000000"/>
                      <w:sz w:val="21"/>
                      <w:szCs w:val="21"/>
                      <w:highlight w:val="none"/>
                      <w:u w:val="none"/>
                      <w:vertAlign w:val="baseline"/>
                      <w:lang w:val="en-US" w:eastAsia="zh-CN"/>
                    </w:rPr>
                    <w:t>38686</w:t>
                  </w:r>
                  <w:r>
                    <w:rPr>
                      <w:rFonts w:hint="eastAsia" w:ascii="Times New Roman" w:hAnsi="Times New Roman" w:eastAsia="宋体" w:cs="Times New Roman"/>
                      <w:color w:val="000000"/>
                      <w:sz w:val="21"/>
                      <w:szCs w:val="21"/>
                      <w:highlight w:val="none"/>
                      <w:u w:val="none"/>
                      <w:vertAlign w:val="baseline"/>
                    </w:rPr>
                    <w:t>m</w:t>
                  </w:r>
                  <w:r>
                    <w:rPr>
                      <w:rFonts w:hint="eastAsia" w:ascii="Times New Roman" w:hAnsi="Times New Roman" w:eastAsia="宋体" w:cs="Times New Roman"/>
                      <w:color w:val="000000"/>
                      <w:sz w:val="21"/>
                      <w:szCs w:val="21"/>
                      <w:highlight w:val="none"/>
                      <w:u w:val="none"/>
                      <w:vertAlign w:val="superscript"/>
                    </w:rPr>
                    <w:t>3</w:t>
                  </w:r>
                  <w:r>
                    <w:rPr>
                      <w:rFonts w:hint="eastAsia" w:ascii="Times New Roman" w:hAnsi="Times New Roman" w:eastAsia="宋体" w:cs="Times New Roman"/>
                      <w:color w:val="000000"/>
                      <w:sz w:val="21"/>
                      <w:szCs w:val="21"/>
                      <w:highlight w:val="none"/>
                      <w:u w:val="none"/>
                      <w:vertAlign w:val="baseline"/>
                    </w:rPr>
                    <w:t>，填方</w:t>
                  </w:r>
                  <w:r>
                    <w:rPr>
                      <w:rFonts w:hint="eastAsia" w:cs="Times New Roman"/>
                      <w:color w:val="000000"/>
                      <w:sz w:val="21"/>
                      <w:szCs w:val="21"/>
                      <w:highlight w:val="none"/>
                      <w:u w:val="none"/>
                      <w:vertAlign w:val="baseline"/>
                      <w:lang w:val="en-US" w:eastAsia="zh-CN"/>
                    </w:rPr>
                    <w:t>153283</w:t>
                  </w:r>
                  <w:r>
                    <w:rPr>
                      <w:rFonts w:hint="eastAsia" w:ascii="Times New Roman" w:hAnsi="Times New Roman" w:eastAsia="宋体" w:cs="Times New Roman"/>
                      <w:color w:val="000000"/>
                      <w:sz w:val="21"/>
                      <w:szCs w:val="21"/>
                      <w:highlight w:val="none"/>
                      <w:u w:val="none"/>
                      <w:vertAlign w:val="baseline"/>
                    </w:rPr>
                    <w:t>m</w:t>
                  </w:r>
                  <w:r>
                    <w:rPr>
                      <w:rFonts w:hint="eastAsia" w:ascii="Times New Roman" w:hAnsi="Times New Roman" w:eastAsia="宋体" w:cs="Times New Roman"/>
                      <w:color w:val="000000"/>
                      <w:sz w:val="21"/>
                      <w:szCs w:val="21"/>
                      <w:highlight w:val="none"/>
                      <w:u w:val="none"/>
                      <w:vertAlign w:val="superscript"/>
                    </w:rPr>
                    <w:t>3</w:t>
                  </w:r>
                  <w:r>
                    <w:rPr>
                      <w:rFonts w:hint="eastAsia" w:ascii="Times New Roman" w:hAnsi="Times New Roman" w:eastAsia="宋体" w:cs="Times New Roman"/>
                      <w:color w:val="000000"/>
                      <w:sz w:val="21"/>
                      <w:szCs w:val="21"/>
                      <w:highlight w:val="none"/>
                      <w:u w:val="none"/>
                      <w:vertAlign w:val="baseline"/>
                    </w:rPr>
                    <w:t>，弃方</w:t>
                  </w:r>
                  <w:r>
                    <w:rPr>
                      <w:rFonts w:hint="eastAsia" w:cs="Times New Roman"/>
                      <w:color w:val="000000"/>
                      <w:sz w:val="21"/>
                      <w:szCs w:val="21"/>
                      <w:highlight w:val="none"/>
                      <w:u w:val="none"/>
                      <w:vertAlign w:val="baseline"/>
                      <w:lang w:val="en-US" w:eastAsia="zh-CN"/>
                    </w:rPr>
                    <w:t>132733</w:t>
                  </w:r>
                  <w:r>
                    <w:rPr>
                      <w:rFonts w:hint="eastAsia" w:ascii="Times New Roman" w:hAnsi="Times New Roman" w:eastAsia="宋体" w:cs="Times New Roman"/>
                      <w:color w:val="000000"/>
                      <w:sz w:val="21"/>
                      <w:szCs w:val="21"/>
                      <w:highlight w:val="none"/>
                      <w:u w:val="none"/>
                      <w:vertAlign w:val="baseline"/>
                    </w:rPr>
                    <w:t>m</w:t>
                  </w:r>
                  <w:r>
                    <w:rPr>
                      <w:rFonts w:hint="eastAsia" w:ascii="Times New Roman" w:hAnsi="Times New Roman" w:eastAsia="宋体" w:cs="Times New Roman"/>
                      <w:color w:val="000000"/>
                      <w:sz w:val="21"/>
                      <w:szCs w:val="21"/>
                      <w:highlight w:val="none"/>
                      <w:u w:val="none"/>
                      <w:vertAlign w:val="superscript"/>
                    </w:rPr>
                    <w:t>3</w:t>
                  </w:r>
                  <w:r>
                    <w:rPr>
                      <w:rFonts w:hint="eastAsia" w:ascii="Times New Roman" w:hAnsi="Times New Roman" w:eastAsia="宋体" w:cs="Times New Roman"/>
                      <w:color w:val="000000"/>
                      <w:sz w:val="21"/>
                      <w:szCs w:val="21"/>
                      <w:highlight w:val="none"/>
                      <w:u w:val="none"/>
                      <w:vertAlign w:val="baseline"/>
                    </w:rPr>
                    <w:t>，清运至城管部门指定的场所消纳，外借土方</w:t>
                  </w:r>
                  <w:r>
                    <w:rPr>
                      <w:rFonts w:hint="eastAsia" w:cs="Times New Roman"/>
                      <w:color w:val="000000"/>
                      <w:sz w:val="21"/>
                      <w:szCs w:val="21"/>
                      <w:highlight w:val="none"/>
                      <w:u w:val="none"/>
                      <w:vertAlign w:val="baseline"/>
                      <w:lang w:val="en-US" w:eastAsia="zh-CN"/>
                    </w:rPr>
                    <w:t>141814</w:t>
                  </w:r>
                  <w:r>
                    <w:rPr>
                      <w:rFonts w:hint="eastAsia" w:ascii="Times New Roman" w:hAnsi="Times New Roman" w:eastAsia="宋体" w:cs="Times New Roman"/>
                      <w:color w:val="000000"/>
                      <w:sz w:val="21"/>
                      <w:szCs w:val="21"/>
                      <w:highlight w:val="none"/>
                      <w:u w:val="none"/>
                      <w:vertAlign w:val="baseline"/>
                    </w:rPr>
                    <w:t>m</w:t>
                  </w:r>
                  <w:r>
                    <w:rPr>
                      <w:rFonts w:hint="eastAsia" w:ascii="Times New Roman" w:hAnsi="Times New Roman" w:eastAsia="宋体" w:cs="Times New Roman"/>
                      <w:color w:val="000000"/>
                      <w:sz w:val="21"/>
                      <w:szCs w:val="21"/>
                      <w:highlight w:val="none"/>
                      <w:u w:val="none"/>
                      <w:vertAlign w:val="superscript"/>
                    </w:rPr>
                    <w:t>3</w:t>
                  </w:r>
                  <w:r>
                    <w:rPr>
                      <w:rFonts w:hint="eastAsia" w:ascii="Times New Roman" w:hAnsi="Times New Roman" w:eastAsia="宋体" w:cs="Times New Roman"/>
                      <w:color w:val="000000"/>
                      <w:sz w:val="21"/>
                      <w:szCs w:val="21"/>
                      <w:highlight w:val="none"/>
                      <w:u w:val="none"/>
                      <w:vertAlign w:val="baseline"/>
                    </w:rPr>
                    <w:t>，外借土方由</w:t>
                  </w:r>
                  <w:r>
                    <w:rPr>
                      <w:rFonts w:hint="eastAsia" w:cs="Times New Roman"/>
                      <w:color w:val="000000"/>
                      <w:sz w:val="21"/>
                      <w:szCs w:val="21"/>
                      <w:highlight w:val="none"/>
                      <w:u w:val="none"/>
                      <w:vertAlign w:val="baseline"/>
                      <w:lang w:val="en-US" w:eastAsia="zh-CN"/>
                    </w:rPr>
                    <w:t>城管</w:t>
                  </w:r>
                  <w:r>
                    <w:rPr>
                      <w:rFonts w:hint="eastAsia" w:ascii="Times New Roman" w:hAnsi="Times New Roman" w:eastAsia="宋体" w:cs="Times New Roman"/>
                      <w:color w:val="000000"/>
                      <w:sz w:val="21"/>
                      <w:szCs w:val="21"/>
                      <w:highlight w:val="none"/>
                      <w:u w:val="none"/>
                      <w:vertAlign w:val="baseline"/>
                    </w:rPr>
                    <w:t>部门从其它建设项目就近调配。本项目不单独设置取、弃土场</w:t>
                  </w:r>
                  <w:r>
                    <w:rPr>
                      <w:rFonts w:hint="eastAsia" w:cs="Times New Roman"/>
                      <w:color w:val="000000"/>
                      <w:sz w:val="21"/>
                      <w:szCs w:val="21"/>
                      <w:highlight w:val="none"/>
                      <w:u w:val="none"/>
                      <w:vertAlign w:val="baseline"/>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②</w:t>
                  </w:r>
                  <w:r>
                    <w:rPr>
                      <w:rFonts w:hint="eastAsia" w:ascii="Times New Roman" w:hAnsi="Times New Roman" w:eastAsia="宋体" w:cs="Times New Roman"/>
                      <w:b w:val="0"/>
                      <w:bCs/>
                      <w:color w:val="000000"/>
                      <w:sz w:val="21"/>
                      <w:szCs w:val="21"/>
                      <w:highlight w:val="none"/>
                      <w:u w:val="none"/>
                      <w:lang w:val="en-US" w:eastAsia="zh-CN"/>
                    </w:rPr>
                    <w:t>萍州大桥西匝道</w:t>
                  </w:r>
                  <w:r>
                    <w:rPr>
                      <w:rFonts w:hint="eastAsia" w:cs="Times New Roman"/>
                      <w:color w:val="000000"/>
                      <w:sz w:val="21"/>
                      <w:szCs w:val="21"/>
                      <w:highlight w:val="none"/>
                      <w:u w:val="none"/>
                      <w:lang w:val="en-US" w:eastAsia="zh-CN"/>
                    </w:rPr>
                    <w:t>：</w:t>
                  </w:r>
                  <w:r>
                    <w:rPr>
                      <w:rFonts w:hint="eastAsia" w:ascii="Times New Roman" w:hAnsi="Times New Roman" w:eastAsia="宋体" w:cs="Times New Roman"/>
                      <w:color w:val="000000"/>
                      <w:sz w:val="21"/>
                      <w:szCs w:val="21"/>
                      <w:highlight w:val="none"/>
                      <w:u w:val="none"/>
                      <w:vertAlign w:val="baseline"/>
                    </w:rPr>
                    <w:t>挖方</w:t>
                  </w:r>
                  <w:r>
                    <w:rPr>
                      <w:rFonts w:hint="eastAsia" w:cs="Times New Roman"/>
                      <w:color w:val="000000"/>
                      <w:sz w:val="21"/>
                      <w:szCs w:val="21"/>
                      <w:highlight w:val="none"/>
                      <w:u w:val="none"/>
                      <w:vertAlign w:val="baseline"/>
                      <w:lang w:val="en-US" w:eastAsia="zh-CN"/>
                    </w:rPr>
                    <w:t>18533</w:t>
                  </w:r>
                  <w:r>
                    <w:rPr>
                      <w:rFonts w:hint="eastAsia" w:ascii="Times New Roman" w:hAnsi="Times New Roman" w:eastAsia="宋体" w:cs="Times New Roman"/>
                      <w:color w:val="000000"/>
                      <w:sz w:val="21"/>
                      <w:szCs w:val="21"/>
                      <w:highlight w:val="none"/>
                      <w:u w:val="none"/>
                      <w:vertAlign w:val="baseline"/>
                    </w:rPr>
                    <w:t>m</w:t>
                  </w:r>
                  <w:r>
                    <w:rPr>
                      <w:rFonts w:hint="eastAsia" w:ascii="Times New Roman" w:hAnsi="Times New Roman" w:eastAsia="宋体" w:cs="Times New Roman"/>
                      <w:color w:val="000000"/>
                      <w:sz w:val="21"/>
                      <w:szCs w:val="21"/>
                      <w:highlight w:val="none"/>
                      <w:u w:val="none"/>
                      <w:vertAlign w:val="superscript"/>
                    </w:rPr>
                    <w:t>3</w:t>
                  </w:r>
                  <w:r>
                    <w:rPr>
                      <w:rFonts w:hint="eastAsia" w:ascii="Times New Roman" w:hAnsi="Times New Roman" w:eastAsia="宋体" w:cs="Times New Roman"/>
                      <w:color w:val="000000"/>
                      <w:sz w:val="21"/>
                      <w:szCs w:val="21"/>
                      <w:highlight w:val="none"/>
                      <w:u w:val="none"/>
                      <w:vertAlign w:val="baseline"/>
                    </w:rPr>
                    <w:t>，填方</w:t>
                  </w:r>
                  <w:r>
                    <w:rPr>
                      <w:rFonts w:hint="eastAsia" w:cs="Times New Roman"/>
                      <w:color w:val="000000"/>
                      <w:sz w:val="21"/>
                      <w:szCs w:val="21"/>
                      <w:highlight w:val="none"/>
                      <w:u w:val="none"/>
                      <w:vertAlign w:val="baseline"/>
                      <w:lang w:val="en-US" w:eastAsia="zh-CN"/>
                    </w:rPr>
                    <w:t>15123</w:t>
                  </w:r>
                  <w:r>
                    <w:rPr>
                      <w:rFonts w:hint="eastAsia" w:ascii="Times New Roman" w:hAnsi="Times New Roman" w:eastAsia="宋体" w:cs="Times New Roman"/>
                      <w:color w:val="000000"/>
                      <w:sz w:val="21"/>
                      <w:szCs w:val="21"/>
                      <w:highlight w:val="none"/>
                      <w:u w:val="none"/>
                      <w:vertAlign w:val="baseline"/>
                    </w:rPr>
                    <w:t>m</w:t>
                  </w:r>
                  <w:r>
                    <w:rPr>
                      <w:rFonts w:hint="eastAsia" w:ascii="Times New Roman" w:hAnsi="Times New Roman" w:eastAsia="宋体" w:cs="Times New Roman"/>
                      <w:color w:val="000000"/>
                      <w:sz w:val="21"/>
                      <w:szCs w:val="21"/>
                      <w:highlight w:val="none"/>
                      <w:u w:val="none"/>
                      <w:vertAlign w:val="superscript"/>
                    </w:rPr>
                    <w:t>3</w:t>
                  </w:r>
                  <w:r>
                    <w:rPr>
                      <w:rFonts w:hint="eastAsia" w:ascii="Times New Roman" w:hAnsi="Times New Roman" w:eastAsia="宋体" w:cs="Times New Roman"/>
                      <w:color w:val="000000"/>
                      <w:sz w:val="21"/>
                      <w:szCs w:val="21"/>
                      <w:highlight w:val="none"/>
                      <w:u w:val="none"/>
                      <w:vertAlign w:val="baseline"/>
                    </w:rPr>
                    <w:t>，弃方</w:t>
                  </w:r>
                  <w:r>
                    <w:rPr>
                      <w:rFonts w:hint="eastAsia" w:cs="Times New Roman"/>
                      <w:color w:val="000000"/>
                      <w:sz w:val="21"/>
                      <w:szCs w:val="21"/>
                      <w:highlight w:val="none"/>
                      <w:u w:val="none"/>
                      <w:vertAlign w:val="baseline"/>
                      <w:lang w:val="en-US" w:eastAsia="zh-CN"/>
                    </w:rPr>
                    <w:t>13122</w:t>
                  </w:r>
                  <w:r>
                    <w:rPr>
                      <w:rFonts w:hint="eastAsia" w:ascii="Times New Roman" w:hAnsi="Times New Roman" w:eastAsia="宋体" w:cs="Times New Roman"/>
                      <w:color w:val="000000"/>
                      <w:sz w:val="21"/>
                      <w:szCs w:val="21"/>
                      <w:highlight w:val="none"/>
                      <w:u w:val="none"/>
                      <w:vertAlign w:val="baseline"/>
                    </w:rPr>
                    <w:t>m</w:t>
                  </w:r>
                  <w:r>
                    <w:rPr>
                      <w:rFonts w:hint="eastAsia" w:ascii="Times New Roman" w:hAnsi="Times New Roman" w:eastAsia="宋体" w:cs="Times New Roman"/>
                      <w:color w:val="000000"/>
                      <w:sz w:val="21"/>
                      <w:szCs w:val="21"/>
                      <w:highlight w:val="none"/>
                      <w:u w:val="none"/>
                      <w:vertAlign w:val="superscript"/>
                    </w:rPr>
                    <w:t>3</w:t>
                  </w:r>
                  <w:r>
                    <w:rPr>
                      <w:rFonts w:hint="eastAsia" w:ascii="Times New Roman" w:hAnsi="Times New Roman" w:eastAsia="宋体" w:cs="Times New Roman"/>
                      <w:color w:val="000000"/>
                      <w:sz w:val="21"/>
                      <w:szCs w:val="21"/>
                      <w:highlight w:val="none"/>
                      <w:u w:val="none"/>
                      <w:vertAlign w:val="baseline"/>
                    </w:rPr>
                    <w:t>，清运至城管部门指定的场所消纳，外借土方</w:t>
                  </w:r>
                  <w:r>
                    <w:rPr>
                      <w:rFonts w:hint="eastAsia" w:cs="Times New Roman"/>
                      <w:color w:val="000000"/>
                      <w:sz w:val="21"/>
                      <w:szCs w:val="21"/>
                      <w:highlight w:val="none"/>
                      <w:u w:val="none"/>
                      <w:vertAlign w:val="baseline"/>
                      <w:lang w:val="en-US" w:eastAsia="zh-CN"/>
                    </w:rPr>
                    <w:t>3320</w:t>
                  </w:r>
                  <w:r>
                    <w:rPr>
                      <w:rFonts w:hint="eastAsia" w:ascii="Times New Roman" w:hAnsi="Times New Roman" w:eastAsia="宋体" w:cs="Times New Roman"/>
                      <w:color w:val="000000"/>
                      <w:sz w:val="21"/>
                      <w:szCs w:val="21"/>
                      <w:highlight w:val="none"/>
                      <w:u w:val="none"/>
                      <w:vertAlign w:val="baseline"/>
                    </w:rPr>
                    <w:t>m</w:t>
                  </w:r>
                  <w:r>
                    <w:rPr>
                      <w:rFonts w:hint="eastAsia" w:ascii="Times New Roman" w:hAnsi="Times New Roman" w:eastAsia="宋体" w:cs="Times New Roman"/>
                      <w:color w:val="000000"/>
                      <w:sz w:val="21"/>
                      <w:szCs w:val="21"/>
                      <w:highlight w:val="none"/>
                      <w:u w:val="none"/>
                      <w:vertAlign w:val="superscript"/>
                    </w:rPr>
                    <w:t>3</w:t>
                  </w:r>
                  <w:r>
                    <w:rPr>
                      <w:rFonts w:hint="eastAsia" w:ascii="Times New Roman" w:hAnsi="Times New Roman" w:eastAsia="宋体" w:cs="Times New Roman"/>
                      <w:color w:val="000000"/>
                      <w:sz w:val="21"/>
                      <w:szCs w:val="21"/>
                      <w:highlight w:val="none"/>
                      <w:u w:val="none"/>
                      <w:vertAlign w:val="baseline"/>
                    </w:rPr>
                    <w:t>，外借土方由</w:t>
                  </w:r>
                  <w:r>
                    <w:rPr>
                      <w:rFonts w:hint="eastAsia" w:cs="Times New Roman"/>
                      <w:color w:val="000000"/>
                      <w:sz w:val="21"/>
                      <w:szCs w:val="21"/>
                      <w:highlight w:val="none"/>
                      <w:u w:val="none"/>
                      <w:vertAlign w:val="baseline"/>
                      <w:lang w:val="en-US" w:eastAsia="zh-CN"/>
                    </w:rPr>
                    <w:t>城管</w:t>
                  </w:r>
                  <w:r>
                    <w:rPr>
                      <w:rFonts w:hint="eastAsia" w:ascii="Times New Roman" w:hAnsi="Times New Roman" w:eastAsia="宋体" w:cs="Times New Roman"/>
                      <w:color w:val="000000"/>
                      <w:sz w:val="21"/>
                      <w:szCs w:val="21"/>
                      <w:highlight w:val="none"/>
                      <w:u w:val="none"/>
                      <w:vertAlign w:val="baseline"/>
                    </w:rPr>
                    <w:t>部门从其它建设项目就近调配。本项目不单独设置取、弃土场</w:t>
                  </w:r>
                  <w:r>
                    <w:rPr>
                      <w:rFonts w:hint="eastAsia" w:cs="Times New Roman"/>
                      <w:color w:val="000000"/>
                      <w:sz w:val="21"/>
                      <w:szCs w:val="21"/>
                      <w:highlight w:val="none"/>
                      <w:u w:val="none"/>
                      <w:vertAlign w:val="baseline"/>
                      <w:lang w:eastAsia="zh-CN"/>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施工营地</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项目不设施工营地，项目周边有大量民房，可满足本项目施工人员租住生活。</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施工便道</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项目利用道路红线内的占地及项目周边现有道路作为施工便道，不额外占用施工便道用地，因此无需新建便道。</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环保工程（施工期）</w:t>
                  </w: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single"/>
                      <w:lang w:val="en-US" w:eastAsia="zh-CN"/>
                    </w:rPr>
                  </w:pPr>
                  <w:r>
                    <w:rPr>
                      <w:rFonts w:hint="eastAsia" w:cs="Times New Roman"/>
                      <w:color w:val="000000"/>
                      <w:sz w:val="21"/>
                      <w:szCs w:val="21"/>
                      <w:highlight w:val="none"/>
                      <w:u w:val="single"/>
                      <w:lang w:val="en-US" w:eastAsia="zh-CN"/>
                    </w:rPr>
                    <w:t>大气污染防治措施</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single"/>
                      <w:vertAlign w:val="baseline"/>
                      <w:lang w:eastAsia="zh-CN"/>
                    </w:rPr>
                  </w:pPr>
                  <w:r>
                    <w:rPr>
                      <w:rFonts w:hint="eastAsia" w:ascii="Times New Roman" w:hAnsi="Times New Roman" w:eastAsia="宋体" w:cs="Times New Roman"/>
                      <w:color w:val="000000"/>
                      <w:sz w:val="21"/>
                      <w:szCs w:val="21"/>
                      <w:highlight w:val="none"/>
                      <w:u w:val="single"/>
                      <w:lang w:bidi="ar"/>
                    </w:rPr>
                    <w:t>配备洒水车</w:t>
                  </w:r>
                  <w:r>
                    <w:rPr>
                      <w:rFonts w:hint="eastAsia" w:cs="Times New Roman"/>
                      <w:color w:val="000000"/>
                      <w:sz w:val="21"/>
                      <w:szCs w:val="21"/>
                      <w:highlight w:val="none"/>
                      <w:u w:val="single"/>
                      <w:lang w:eastAsia="zh-CN" w:bidi="ar"/>
                    </w:rPr>
                    <w:t>、</w:t>
                  </w:r>
                  <w:r>
                    <w:rPr>
                      <w:rFonts w:hint="eastAsia" w:cs="Times New Roman"/>
                      <w:color w:val="000000"/>
                      <w:sz w:val="21"/>
                      <w:szCs w:val="21"/>
                      <w:highlight w:val="none"/>
                      <w:u w:val="single"/>
                      <w:lang w:val="en-US" w:eastAsia="zh-CN" w:bidi="ar"/>
                    </w:rPr>
                    <w:t>雾炮机</w:t>
                  </w:r>
                  <w:r>
                    <w:rPr>
                      <w:rFonts w:hint="eastAsia" w:ascii="Times New Roman" w:hAnsi="Times New Roman" w:eastAsia="宋体" w:cs="Times New Roman"/>
                      <w:color w:val="000000"/>
                      <w:sz w:val="21"/>
                      <w:szCs w:val="21"/>
                      <w:highlight w:val="none"/>
                      <w:u w:val="single"/>
                      <w:lang w:bidi="ar"/>
                    </w:rPr>
                    <w:t>洒水抑尘，沿线环境保护目标路段设置防尘网、围挡，材料堆场远离敏感点并严密遮盖，外购商品沥青、商品混凝土</w:t>
                  </w:r>
                  <w:r>
                    <w:rPr>
                      <w:rFonts w:hint="eastAsia" w:cs="Times New Roman"/>
                      <w:color w:val="000000"/>
                      <w:sz w:val="21"/>
                      <w:szCs w:val="21"/>
                      <w:highlight w:val="none"/>
                      <w:u w:val="single"/>
                      <w:lang w:eastAsia="zh-CN" w:bidi="ar"/>
                    </w:rPr>
                    <w:t>，</w:t>
                  </w:r>
                  <w:r>
                    <w:rPr>
                      <w:rFonts w:hint="eastAsia" w:cs="Times New Roman"/>
                      <w:color w:val="000000"/>
                      <w:sz w:val="21"/>
                      <w:szCs w:val="21"/>
                      <w:highlight w:val="none"/>
                      <w:u w:val="single"/>
                      <w:lang w:val="en-US" w:eastAsia="zh-CN" w:bidi="ar"/>
                    </w:rPr>
                    <w:t>进出口设置车辆冲洗平台</w:t>
                  </w:r>
                  <w:r>
                    <w:rPr>
                      <w:rFonts w:hint="eastAsia" w:cs="Times New Roman"/>
                      <w:color w:val="000000"/>
                      <w:sz w:val="21"/>
                      <w:szCs w:val="21"/>
                      <w:highlight w:val="none"/>
                      <w:u w:val="single"/>
                      <w:lang w:eastAsia="zh-CN" w:bidi="ar"/>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4" w:hRule="atLeast"/>
              </w:trPr>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水污染防治措施</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highlight w:val="none"/>
                      <w:u w:val="none"/>
                      <w:vertAlign w:val="baseline"/>
                    </w:rPr>
                    <w:t>施工现场设置排水沟、隔油池、沉砂池等设施收集处理施工废水</w:t>
                  </w:r>
                  <w:r>
                    <w:rPr>
                      <w:rFonts w:hint="eastAsia" w:cs="Times New Roman"/>
                      <w:color w:val="000000"/>
                      <w:sz w:val="21"/>
                      <w:szCs w:val="21"/>
                      <w:highlight w:val="none"/>
                      <w:u w:val="none"/>
                      <w:vertAlign w:val="baseline"/>
                      <w:lang w:eastAsia="zh-CN"/>
                    </w:rPr>
                    <w:t>，</w:t>
                  </w:r>
                  <w:r>
                    <w:rPr>
                      <w:rFonts w:hint="eastAsia" w:cs="Times New Roman"/>
                      <w:color w:val="000000"/>
                      <w:sz w:val="21"/>
                      <w:szCs w:val="21"/>
                      <w:highlight w:val="none"/>
                      <w:u w:val="none"/>
                      <w:vertAlign w:val="baseline"/>
                      <w:lang w:val="en-US" w:eastAsia="zh-CN"/>
                    </w:rPr>
                    <w:t>处理后废水用于车辆冲洗或用于施工场地降尘，不外排</w:t>
                  </w:r>
                  <w:r>
                    <w:rPr>
                      <w:rFonts w:hint="eastAsia" w:ascii="Times New Roman" w:hAnsi="Times New Roman" w:eastAsia="宋体" w:cs="Times New Roman"/>
                      <w:color w:val="000000"/>
                      <w:sz w:val="21"/>
                      <w:szCs w:val="21"/>
                      <w:highlight w:val="none"/>
                      <w:u w:val="none"/>
                      <w:vertAlign w:val="baseline"/>
                    </w:rPr>
                    <w:t>；生活污水依托周边居民家中化粪池处理后排入市政污水管网</w:t>
                  </w:r>
                  <w:r>
                    <w:rPr>
                      <w:rFonts w:hint="eastAsia" w:cs="Times New Roman"/>
                      <w:color w:val="000000"/>
                      <w:sz w:val="21"/>
                      <w:szCs w:val="21"/>
                      <w:highlight w:val="none"/>
                      <w:u w:val="none"/>
                      <w:vertAlign w:val="baseline"/>
                      <w:lang w:eastAsia="zh-CN"/>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rPr>
                  </w:pPr>
                  <w:r>
                    <w:rPr>
                      <w:rFonts w:hint="eastAsia" w:cs="Times New Roman"/>
                      <w:color w:val="000000"/>
                      <w:sz w:val="21"/>
                      <w:szCs w:val="21"/>
                      <w:highlight w:val="none"/>
                      <w:u w:val="none"/>
                      <w:vertAlign w:val="baseline"/>
                      <w:lang w:val="en-US" w:eastAsia="zh-CN"/>
                    </w:rPr>
                    <w:t>新建，化粪池依托现有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噪声污染防治措施</w:t>
                  </w:r>
                </w:p>
              </w:tc>
              <w:tc>
                <w:tcPr>
                  <w:tcW w:w="4801" w:type="dxa"/>
                  <w:vAlign w:val="center"/>
                </w:tcPr>
                <w:p>
                  <w:pPr>
                    <w:keepNext w:val="0"/>
                    <w:keepLines w:val="0"/>
                    <w:pageBreakBefore w:val="0"/>
                    <w:widowControl w:val="0"/>
                    <w:numPr>
                      <w:ilvl w:val="0"/>
                      <w:numId w:val="1"/>
                    </w:numPr>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选用低噪声设备或采取隔声、消声等措施降噪；</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2、夜间（22:00-06:00）禁止进行产生环境噪声污染的建筑施工作业，如因特殊需要必须连续作业的，施工单位必须与当地环保部门取得联系，办理夜间施工手续，同时发布夜间施工公告；</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highlight w:val="none"/>
                      <w:u w:val="none"/>
                      <w:vertAlign w:val="baseline"/>
                    </w:rPr>
                    <w:t>3、合理安排施工时间；加强与施工区附近居民沟通</w:t>
                  </w:r>
                  <w:r>
                    <w:rPr>
                      <w:rFonts w:hint="eastAsia" w:cs="Times New Roman"/>
                      <w:color w:val="000000"/>
                      <w:sz w:val="21"/>
                      <w:szCs w:val="21"/>
                      <w:highlight w:val="none"/>
                      <w:u w:val="none"/>
                      <w:vertAlign w:val="baseline"/>
                      <w:lang w:eastAsia="zh-CN"/>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固废污染防治措施</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highlight w:val="none"/>
                      <w:u w:val="none"/>
                    </w:rPr>
                    <w:t>及时清运处理生活垃圾，建筑垃圾剩余的砂石及时运走，并做好固体废物资源再利用，以减小排放量；基础开挖产生的弃土弃渣应就近回填压实，不能回填的运至指定弃渣场，废油及含油废抹布等含油废物委托资质单位处置</w:t>
                  </w:r>
                  <w:r>
                    <w:rPr>
                      <w:rFonts w:hint="eastAsia" w:cs="Times New Roman"/>
                      <w:color w:val="000000"/>
                      <w:sz w:val="21"/>
                      <w:szCs w:val="21"/>
                      <w:highlight w:val="none"/>
                      <w:u w:val="none"/>
                      <w:lang w:eastAsia="zh-CN"/>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生态保护措施</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做好水土保持工作，并尽量恢复植被，避免发生崩塌、塌方、路基沉陷等不良地质现象；抓紧施工进度，尽量缩短施工时间，施工结束后应对道路沿线的土石方、筑路垃圾等固废废物进行全面清理，及时进行场地平整及道路绿化</w:t>
                  </w:r>
                  <w:r>
                    <w:rPr>
                      <w:rFonts w:hint="eastAsia" w:cs="Times New Roman"/>
                      <w:color w:val="000000"/>
                      <w:sz w:val="21"/>
                      <w:szCs w:val="21"/>
                      <w:highlight w:val="none"/>
                      <w:u w:val="none"/>
                      <w:vertAlign w:val="baseline"/>
                      <w:lang w:eastAsia="zh-CN"/>
                    </w:rPr>
                    <w:t>；</w:t>
                  </w:r>
                  <w:r>
                    <w:rPr>
                      <w:rFonts w:hint="eastAsia" w:ascii="Times New Roman" w:hAnsi="Times New Roman" w:eastAsia="宋体" w:cs="Times New Roman"/>
                      <w:color w:val="000000"/>
                      <w:sz w:val="21"/>
                      <w:szCs w:val="21"/>
                      <w:highlight w:val="none"/>
                      <w:u w:val="none"/>
                      <w:lang w:val="en-US" w:eastAsia="zh-CN"/>
                    </w:rPr>
                    <w:t>在临时工程周边设置临时截排水设施；避免弃渣行为，保护好地表水体周边区域内生态环境</w:t>
                  </w:r>
                  <w:r>
                    <w:rPr>
                      <w:rFonts w:hint="eastAsia" w:ascii="Times New Roman" w:hAnsi="Times New Roman" w:eastAsia="宋体" w:cs="Times New Roman"/>
                      <w:color w:val="000000"/>
                      <w:sz w:val="21"/>
                      <w:szCs w:val="21"/>
                      <w:highlight w:val="none"/>
                      <w:u w:val="none"/>
                      <w:vertAlign w:val="baseline"/>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环保工程（运营期）</w:t>
                  </w: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大气污染防治措施</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严禁尾气超标车辆运输，加强对道路的养护；加强绿化，多种可吸收或吸附汽车尾气中污染物的乔木、灌木等树种及草坪。</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水污染防治措施</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定期清理和维护雨污水管道</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噪声污染防治措施</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eastAsia="zh-CN"/>
                    </w:rPr>
                  </w:pPr>
                  <w:r>
                    <w:rPr>
                      <w:rFonts w:ascii="Times New Roman" w:hAnsi="Times New Roman" w:eastAsia="宋体" w:cs="Times New Roman"/>
                      <w:color w:val="000000"/>
                      <w:sz w:val="21"/>
                      <w:szCs w:val="21"/>
                      <w:highlight w:val="none"/>
                      <w:u w:val="none"/>
                    </w:rPr>
                    <w:t>加强车辆管理，限制车速，严禁超载</w:t>
                  </w:r>
                  <w:r>
                    <w:rPr>
                      <w:rFonts w:ascii="Times New Roman" w:hAnsi="Times New Roman" w:eastAsia="宋体" w:cs="Times New Roman"/>
                      <w:color w:val="000000"/>
                      <w:sz w:val="21"/>
                      <w:szCs w:val="21"/>
                      <w:highlight w:val="none"/>
                      <w:u w:val="none"/>
                      <w:lang w:eastAsia="zh-CN"/>
                    </w:rPr>
                    <w:t>；种植吸附或净化能力强的植物</w:t>
                  </w:r>
                  <w:r>
                    <w:rPr>
                      <w:rFonts w:hint="eastAsia" w:cs="Times New Roman"/>
                      <w:color w:val="000000"/>
                      <w:sz w:val="21"/>
                      <w:szCs w:val="21"/>
                      <w:highlight w:val="none"/>
                      <w:u w:val="none"/>
                      <w:lang w:eastAsia="zh-CN"/>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lang w:val="en-US" w:eastAsia="zh-CN" w:bidi="ar-SA"/>
                    </w:rPr>
                  </w:pPr>
                  <w:r>
                    <w:rPr>
                      <w:rFonts w:hint="eastAsia" w:cs="Times New Roman"/>
                      <w:color w:val="000000"/>
                      <w:sz w:val="21"/>
                      <w:szCs w:val="21"/>
                      <w:highlight w:val="none"/>
                      <w:u w:val="none"/>
                      <w:lang w:val="en-US" w:eastAsia="zh-CN"/>
                    </w:rPr>
                    <w:t>固废污染防治措施</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highlight w:val="none"/>
                      <w:u w:val="none"/>
                      <w:vertAlign w:val="baseline"/>
                      <w:lang w:eastAsia="zh-CN"/>
                    </w:rPr>
                    <w:t>对道路产生的纸屑、绿化带落叶等交通垃圾，在道路两侧设分类垃圾收集箱，最终由环卫部门统一收集后处理。</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lang w:val="en-US" w:eastAsia="zh-CN" w:bidi="ar-SA"/>
                    </w:rPr>
                  </w:pPr>
                  <w:r>
                    <w:rPr>
                      <w:rFonts w:hint="eastAsia" w:cs="Times New Roman"/>
                      <w:color w:val="000000"/>
                      <w:sz w:val="21"/>
                      <w:szCs w:val="21"/>
                      <w:highlight w:val="none"/>
                      <w:u w:val="none"/>
                      <w:lang w:val="en-US" w:eastAsia="zh-CN"/>
                    </w:rPr>
                    <w:t>生态保护措施</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按道路绿化设计的要求，完成拟建道路两侧设计的植树种草工作；及时恢复被临时工程占地所破坏的植被和生态环境，防止地表裸露；加强绿化工程的养护</w:t>
                  </w:r>
                  <w:r>
                    <w:rPr>
                      <w:rFonts w:hint="eastAsia" w:cs="Times New Roman"/>
                      <w:color w:val="000000"/>
                      <w:sz w:val="21"/>
                      <w:szCs w:val="21"/>
                      <w:highlight w:val="none"/>
                      <w:u w:val="none"/>
                      <w:vertAlign w:val="baseline"/>
                      <w:lang w:eastAsia="zh-CN"/>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654"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环境风险</w:t>
                  </w:r>
                </w:p>
              </w:tc>
              <w:tc>
                <w:tcPr>
                  <w:tcW w:w="4801"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highlight w:val="none"/>
                      <w:u w:val="none"/>
                      <w:vertAlign w:val="baseline"/>
                      <w:lang w:val="en-US"/>
                    </w:rPr>
                  </w:pPr>
                  <w:r>
                    <w:rPr>
                      <w:rFonts w:hint="eastAsia" w:ascii="Times New Roman" w:hAnsi="Times New Roman" w:eastAsia="宋体" w:cs="Times New Roman"/>
                      <w:color w:val="000000"/>
                      <w:sz w:val="21"/>
                      <w:szCs w:val="21"/>
                      <w:highlight w:val="none"/>
                      <w:u w:val="none"/>
                      <w:lang w:eastAsia="zh-CN"/>
                    </w:rPr>
                    <w:t>设置警示标志；加强危险化学品道路运输交通安全防治措施，防范突发性风险事故</w:t>
                  </w:r>
                  <w:r>
                    <w:rPr>
                      <w:rFonts w:hint="eastAsia" w:cs="Times New Roman"/>
                      <w:color w:val="000000"/>
                      <w:sz w:val="21"/>
                      <w:szCs w:val="21"/>
                      <w:highlight w:val="none"/>
                      <w:u w:val="none"/>
                      <w:lang w:eastAsia="zh-CN"/>
                    </w:rPr>
                    <w:t>。</w:t>
                  </w:r>
                </w:p>
              </w:tc>
              <w:tc>
                <w:tcPr>
                  <w:tcW w:w="63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新建</w:t>
                  </w:r>
                </w:p>
              </w:tc>
            </w:tr>
          </w:tbl>
          <w:p>
            <w:pPr>
              <w:spacing w:line="240" w:lineRule="auto"/>
              <w:jc w:val="center"/>
              <w:rPr>
                <w:rFonts w:hint="default" w:ascii="Times New Roman" w:hAnsi="Times New Roman" w:eastAsia="宋体" w:cs="Times New Roman"/>
                <w:color w:val="000000"/>
                <w:sz w:val="21"/>
                <w:szCs w:val="21"/>
                <w:highlight w:val="none"/>
                <w:lang w:val="en-US"/>
              </w:rPr>
            </w:pPr>
            <w:r>
              <w:rPr>
                <w:rFonts w:hint="eastAsia" w:ascii="Times New Roman" w:hAnsi="Times New Roman" w:cs="Times New Roman"/>
                <w:b/>
                <w:bCs/>
                <w:color w:val="000000"/>
                <w:sz w:val="21"/>
                <w:szCs w:val="21"/>
                <w:highlight w:val="none"/>
                <w:u w:val="none"/>
                <w:lang w:val="en-US" w:eastAsia="zh-CN"/>
              </w:rPr>
              <w:t>表2</w:t>
            </w:r>
            <w:r>
              <w:rPr>
                <w:rFonts w:hint="eastAsia" w:cs="Times New Roman"/>
                <w:b/>
                <w:bCs/>
                <w:color w:val="000000"/>
                <w:sz w:val="21"/>
                <w:szCs w:val="21"/>
                <w:highlight w:val="none"/>
                <w:u w:val="none"/>
                <w:lang w:val="en-US" w:eastAsia="zh-CN"/>
              </w:rPr>
              <w:t>-2</w:t>
            </w:r>
            <w:r>
              <w:rPr>
                <w:rFonts w:hint="eastAsia" w:ascii="Times New Roman" w:hAnsi="Times New Roman" w:cs="Times New Roman"/>
                <w:b/>
                <w:bCs/>
                <w:color w:val="000000"/>
                <w:sz w:val="21"/>
                <w:szCs w:val="21"/>
                <w:highlight w:val="none"/>
                <w:u w:val="none"/>
                <w:lang w:val="en-US" w:eastAsia="zh-CN"/>
              </w:rPr>
              <w:t xml:space="preserve"> 主要技术指标</w:t>
            </w:r>
          </w:p>
          <w:tbl>
            <w:tblPr>
              <w:tblStyle w:val="40"/>
              <w:tblW w:w="7800" w:type="dxa"/>
              <w:tblInd w:w="17"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0" w:type="dxa"/>
                <w:bottom w:w="0" w:type="dxa"/>
                <w:right w:w="0" w:type="dxa"/>
              </w:tblCellMar>
            </w:tblPr>
            <w:tblGrid>
              <w:gridCol w:w="552"/>
              <w:gridCol w:w="1056"/>
              <w:gridCol w:w="1696"/>
              <w:gridCol w:w="2247"/>
              <w:gridCol w:w="22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57" w:hRule="atLeast"/>
              </w:trPr>
              <w:tc>
                <w:tcPr>
                  <w:tcW w:w="552" w:type="dxa"/>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序号</w:t>
                  </w:r>
                </w:p>
              </w:tc>
              <w:tc>
                <w:tcPr>
                  <w:tcW w:w="2752" w:type="dxa"/>
                  <w:gridSpan w:val="2"/>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指标名称</w:t>
                  </w:r>
                </w:p>
              </w:tc>
              <w:tc>
                <w:tcPr>
                  <w:tcW w:w="4496"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rPr>
                    <w:t>主要指标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57" w:hRule="atLeast"/>
              </w:trPr>
              <w:tc>
                <w:tcPr>
                  <w:tcW w:w="552" w:type="dxa"/>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2752" w:type="dxa"/>
                  <w:gridSpan w:val="2"/>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萍阳北路延伸段</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萍州大桥西匝道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道路等级</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城市</w:t>
                  </w:r>
                  <w:r>
                    <w:rPr>
                      <w:rFonts w:hint="eastAsia" w:ascii="Times New Roman" w:hAnsi="Times New Roman" w:eastAsia="宋体" w:cs="Times New Roman"/>
                      <w:color w:val="000000"/>
                      <w:sz w:val="21"/>
                      <w:szCs w:val="21"/>
                      <w:highlight w:val="none"/>
                      <w:lang w:val="en-US" w:eastAsia="zh-CN"/>
                    </w:rPr>
                    <w:t>主</w:t>
                  </w:r>
                  <w:r>
                    <w:rPr>
                      <w:rFonts w:hint="default" w:ascii="Times New Roman" w:hAnsi="Times New Roman" w:eastAsia="宋体" w:cs="Times New Roman"/>
                      <w:color w:val="000000"/>
                      <w:sz w:val="21"/>
                      <w:szCs w:val="21"/>
                      <w:highlight w:val="none"/>
                      <w:lang w:val="en-US" w:eastAsia="zh-CN"/>
                    </w:rPr>
                    <w:t>干道</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城市支路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计算行车速度</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w:t>
                  </w:r>
                  <w:r>
                    <w:rPr>
                      <w:rFonts w:hint="default" w:ascii="Times New Roman" w:hAnsi="Times New Roman" w:eastAsia="宋体" w:cs="Times New Roman"/>
                      <w:color w:val="000000"/>
                      <w:sz w:val="21"/>
                      <w:szCs w:val="21"/>
                      <w:highlight w:val="none"/>
                      <w:lang w:val="en-US" w:eastAsia="zh-CN"/>
                    </w:rPr>
                    <w:t>0km/h</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lang w:val="en-US" w:eastAsia="zh-CN"/>
                    </w:rPr>
                    <w:t>0km/h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车道数</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双向4车道</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机动车道双向</w:t>
                  </w:r>
                  <w:r>
                    <w:rPr>
                      <w:rFonts w:hint="eastAsia" w:ascii="Times New Roman" w:hAnsi="Times New Roman" w:eastAsia="宋体"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lang w:val="en-US" w:eastAsia="zh-CN"/>
                    </w:rPr>
                    <w:t>车道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4</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红线宽度</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36</w:t>
                  </w:r>
                  <w:r>
                    <w:rPr>
                      <w:rFonts w:hint="default" w:ascii="Times New Roman" w:hAnsi="Times New Roman" w:eastAsia="宋体" w:cs="Times New Roman"/>
                      <w:color w:val="000000"/>
                      <w:sz w:val="21"/>
                      <w:szCs w:val="21"/>
                      <w:highlight w:val="none"/>
                      <w:lang w:val="en-US" w:eastAsia="zh-CN"/>
                    </w:rPr>
                    <w:t>m</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w:t>
                  </w:r>
                  <w:r>
                    <w:rPr>
                      <w:rFonts w:hint="default" w:ascii="Times New Roman" w:hAnsi="Times New Roman" w:eastAsia="宋体" w:cs="Times New Roman"/>
                      <w:color w:val="000000"/>
                      <w:sz w:val="21"/>
                      <w:szCs w:val="21"/>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最大纵坡</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0.361</w:t>
                  </w:r>
                  <w:r>
                    <w:rPr>
                      <w:rFonts w:hint="default" w:ascii="Times New Roman" w:hAnsi="Times New Roman" w:eastAsia="宋体" w:cs="Times New Roman"/>
                      <w:color w:val="000000"/>
                      <w:sz w:val="21"/>
                      <w:szCs w:val="21"/>
                      <w:highlight w:val="none"/>
                      <w:lang w:val="en-US" w:eastAsia="zh-CN"/>
                    </w:rPr>
                    <w:t>%</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4.074%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最小纵坡</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0.3</w:t>
                  </w:r>
                  <w:r>
                    <w:rPr>
                      <w:rFonts w:hint="eastAsia" w:ascii="Times New Roman" w:hAnsi="Times New Roman" w:eastAsia="宋体" w:cs="Times New Roman"/>
                      <w:color w:val="000000"/>
                      <w:sz w:val="21"/>
                      <w:szCs w:val="21"/>
                      <w:highlight w:val="none"/>
                      <w:lang w:val="en-US" w:eastAsia="zh-CN"/>
                    </w:rPr>
                    <w:t>03</w:t>
                  </w:r>
                  <w:r>
                    <w:rPr>
                      <w:rFonts w:hint="default" w:ascii="Times New Roman" w:hAnsi="Times New Roman" w:eastAsia="宋体" w:cs="Times New Roman"/>
                      <w:color w:val="000000"/>
                      <w:sz w:val="21"/>
                      <w:szCs w:val="21"/>
                      <w:highlight w:val="none"/>
                      <w:lang w:val="en-US" w:eastAsia="zh-CN"/>
                    </w:rPr>
                    <w:t>%</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w:t>
                  </w:r>
                  <w:r>
                    <w:rPr>
                      <w:rFonts w:hint="default" w:ascii="Times New Roman" w:hAnsi="Times New Roman" w:eastAsia="宋体" w:cs="Times New Roman"/>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凸形竖曲线最小半径</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15000</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凹形竖曲线最小半径</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9</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竖曲线最小长度</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102.154</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0</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道路标准轴载</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BZZ-100</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BZZ-100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1</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路面类型</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沥青</w:t>
                  </w:r>
                  <w:r>
                    <w:rPr>
                      <w:rFonts w:hint="eastAsia" w:ascii="Times New Roman" w:hAnsi="Times New Roman" w:eastAsia="宋体" w:cs="Times New Roman"/>
                      <w:color w:val="000000"/>
                      <w:sz w:val="21"/>
                      <w:szCs w:val="21"/>
                      <w:highlight w:val="none"/>
                      <w:lang w:val="en-US" w:eastAsia="zh-CN"/>
                    </w:rPr>
                    <w:t>路面</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沥青</w:t>
                  </w:r>
                  <w:r>
                    <w:rPr>
                      <w:rFonts w:hint="eastAsia" w:ascii="Times New Roman" w:hAnsi="Times New Roman" w:eastAsia="宋体" w:cs="Times New Roman"/>
                      <w:color w:val="000000"/>
                      <w:sz w:val="21"/>
                      <w:szCs w:val="21"/>
                      <w:highlight w:val="none"/>
                      <w:lang w:val="en-US" w:eastAsia="zh-CN"/>
                    </w:rPr>
                    <w:t>路面</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2</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路面设计使用年限</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15年</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0</w:t>
                  </w:r>
                  <w:r>
                    <w:rPr>
                      <w:rFonts w:hint="default" w:ascii="Times New Roman" w:hAnsi="Times New Roman" w:eastAsia="宋体" w:cs="Times New Roman"/>
                      <w:color w:val="000000"/>
                      <w:sz w:val="21"/>
                      <w:szCs w:val="21"/>
                      <w:highlight w:val="no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57" w:hRule="atLeast"/>
              </w:trPr>
              <w:tc>
                <w:tcPr>
                  <w:tcW w:w="552"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3</w:t>
                  </w:r>
                </w:p>
              </w:tc>
              <w:tc>
                <w:tcPr>
                  <w:tcW w:w="2752" w:type="dxa"/>
                  <w:gridSpan w:val="2"/>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雨水重现期</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3年</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57" w:hRule="atLeast"/>
              </w:trPr>
              <w:tc>
                <w:tcPr>
                  <w:tcW w:w="552" w:type="dxa"/>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4</w:t>
                  </w:r>
                </w:p>
              </w:tc>
              <w:tc>
                <w:tcPr>
                  <w:tcW w:w="1056" w:type="dxa"/>
                  <w:vMerge w:val="restart"/>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建筑净空</w:t>
                  </w:r>
                </w:p>
              </w:tc>
              <w:tc>
                <w:tcPr>
                  <w:tcW w:w="1696"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机动车道(m)</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≥4.5</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FFFFFF"/>
                <w:tblLayout w:type="fixed"/>
                <w:tblCellMar>
                  <w:top w:w="0" w:type="dxa"/>
                  <w:left w:w="0" w:type="dxa"/>
                  <w:bottom w:w="0" w:type="dxa"/>
                  <w:right w:w="0" w:type="dxa"/>
                </w:tblCellMar>
              </w:tblPrEx>
              <w:trPr>
                <w:trHeight w:val="57" w:hRule="atLeast"/>
              </w:trPr>
              <w:tc>
                <w:tcPr>
                  <w:tcW w:w="552" w:type="dxa"/>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1056" w:type="dxa"/>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1696"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非机动车道(m)</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≥3.5</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Ex>
              <w:trPr>
                <w:trHeight w:val="57" w:hRule="atLeast"/>
              </w:trPr>
              <w:tc>
                <w:tcPr>
                  <w:tcW w:w="552" w:type="dxa"/>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1056" w:type="dxa"/>
                  <w:vMerge w:val="continue"/>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1696"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人行道(m)</w:t>
                  </w:r>
                </w:p>
              </w:tc>
              <w:tc>
                <w:tcPr>
                  <w:tcW w:w="2247"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≥2.5</w:t>
                  </w:r>
                </w:p>
              </w:tc>
              <w:tc>
                <w:tcPr>
                  <w:tcW w:w="2249"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≥2.5</w:t>
                  </w:r>
                </w:p>
              </w:tc>
            </w:tr>
          </w:tbl>
          <w:p>
            <w:pPr>
              <w:bidi w:val="0"/>
              <w:jc w:val="center"/>
              <w:rPr>
                <w:rFonts w:hint="default"/>
                <w:lang w:val="en-US" w:eastAsia="zh-CN"/>
              </w:rPr>
            </w:pPr>
            <w:r>
              <w:rPr>
                <w:rFonts w:hint="eastAsia" w:ascii="Times New Roman" w:hAnsi="Times New Roman" w:cs="Times New Roman"/>
                <w:b/>
                <w:bCs/>
                <w:color w:val="000000"/>
                <w:sz w:val="21"/>
                <w:szCs w:val="21"/>
                <w:highlight w:val="none"/>
                <w:u w:val="none"/>
                <w:lang w:val="en-US" w:eastAsia="zh-CN"/>
              </w:rPr>
              <w:t>表2</w:t>
            </w:r>
            <w:r>
              <w:rPr>
                <w:rFonts w:hint="eastAsia" w:cs="Times New Roman"/>
                <w:b/>
                <w:bCs/>
                <w:color w:val="000000"/>
                <w:sz w:val="21"/>
                <w:szCs w:val="21"/>
                <w:highlight w:val="none"/>
                <w:u w:val="none"/>
                <w:lang w:val="en-US" w:eastAsia="zh-CN"/>
              </w:rPr>
              <w:t>-3</w:t>
            </w:r>
            <w:r>
              <w:rPr>
                <w:rFonts w:hint="eastAsia" w:ascii="Times New Roman" w:hAnsi="Times New Roman" w:cs="Times New Roman"/>
                <w:b/>
                <w:bCs/>
                <w:color w:val="000000"/>
                <w:sz w:val="21"/>
                <w:szCs w:val="21"/>
                <w:highlight w:val="none"/>
                <w:u w:val="none"/>
                <w:lang w:val="en-US" w:eastAsia="zh-CN"/>
              </w:rPr>
              <w:t xml:space="preserve"> 萍阳北路延伸段</w:t>
            </w:r>
            <w:r>
              <w:rPr>
                <w:rFonts w:hint="eastAsia" w:cs="Times New Roman"/>
                <w:b/>
                <w:bCs/>
                <w:color w:val="000000"/>
                <w:sz w:val="21"/>
                <w:szCs w:val="21"/>
                <w:highlight w:val="none"/>
                <w:u w:val="none"/>
                <w:lang w:val="en-US" w:eastAsia="zh-CN"/>
              </w:rPr>
              <w:t>道路工程量表</w:t>
            </w:r>
          </w:p>
          <w:tbl>
            <w:tblPr>
              <w:tblStyle w:val="41"/>
              <w:tblW w:w="7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25"/>
              <w:gridCol w:w="3087"/>
              <w:gridCol w:w="511"/>
              <w:gridCol w:w="847"/>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分项工程</w:t>
                  </w:r>
                </w:p>
              </w:tc>
              <w:tc>
                <w:tcPr>
                  <w:tcW w:w="725"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分部工程</w:t>
                  </w: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名称</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单位</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数量</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路面工程</w:t>
                  </w:r>
                </w:p>
              </w:tc>
              <w:tc>
                <w:tcPr>
                  <w:tcW w:w="725"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车行道</w:t>
                  </w: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4cm厚细粒式沥青砼AC-13C面层</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28337</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 xml:space="preserve">5cm厚中粒式沥青砼AC-20C </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28337</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 xml:space="preserve">7cm厚粗粒式沥青砼AC-25C </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28337</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粘层油（用量0.3～0.6L/m ）</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56674</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1cm厚稀浆封层 ES-3型</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28337</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机械喷洒道路用改性乳化沥青透油层（PC-2）（0.7～1.5L/m）</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28337</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18cm厚5%水泥稳定级配碎石基层</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28337</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18cm厚4%水泥稳定级配碎石基层</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29499</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15cm厚级配碎石底垫层</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29499</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人行道</w:t>
                  </w: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 xml:space="preserve">6cm厚青石板(30×60) </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11700</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2cm厚水泥砂浆</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11700</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10cm厚C15混凝土垫层</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11700</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15cm厚4%水泥稳定碎石</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11700</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缘石</w:t>
                  </w: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麻石路缘石及中央绿化带缘石(20×35×80cm)</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6045</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路缘石及中央绿化带缘石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2cm厚1:3水泥砂浆</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1741</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路缘石、锁边石砂浆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麻石锁边石(10×20×80cm)</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5325</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C15细石水泥砼</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384</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路缘石安装靠背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C15细石水泥砼</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178</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锁边石安装靠背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自行车道</w:t>
                  </w: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5cm厚红色透水混凝土面层</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3325</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18cm4%水泥稳定碎石基层</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3325</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15cm厚级配碎石垫层</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3325</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树池石</w:t>
                  </w: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1.5m×1.5m行道树池石及树脂篦子（成品）</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221</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树池石及树脂篦子（成品）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路基工程</w:t>
                  </w:r>
                </w:p>
              </w:tc>
              <w:tc>
                <w:tcPr>
                  <w:tcW w:w="725"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道路土石方</w:t>
                  </w: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道路填方</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153283</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含软基处理、填方区清表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道路挖方</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38686</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软基处理、挖现状路面、挖方清表另计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道路弃方</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132733</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不含拆迁砖渣、运距按10</w:t>
                  </w:r>
                  <w:r>
                    <w:rPr>
                      <w:rFonts w:hint="eastAsia" w:cs="Times New Roman"/>
                      <w:color w:val="auto"/>
                      <w:sz w:val="21"/>
                      <w:szCs w:val="21"/>
                      <w:lang w:val="en-US" w:eastAsia="zh-CN"/>
                    </w:rPr>
                    <w:t>km</w:t>
                  </w:r>
                  <w:r>
                    <w:rPr>
                      <w:rFonts w:hint="default" w:ascii="Times New Roman" w:hAnsi="Times New Roman" w:eastAsia="宋体" w:cs="Times New Roman"/>
                      <w:color w:val="auto"/>
                      <w:sz w:val="21"/>
                      <w:szCs w:val="21"/>
                      <w:lang w:val="zh-C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道路借方</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141817</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运距按10</w:t>
                  </w:r>
                  <w:r>
                    <w:rPr>
                      <w:rFonts w:hint="eastAsia" w:cs="Times New Roman"/>
                      <w:color w:val="auto"/>
                      <w:sz w:val="21"/>
                      <w:szCs w:val="21"/>
                      <w:lang w:val="en-US" w:eastAsia="zh-CN"/>
                    </w:rPr>
                    <w:t>km</w:t>
                  </w:r>
                  <w:r>
                    <w:rPr>
                      <w:rFonts w:hint="default" w:ascii="Times New Roman" w:hAnsi="Times New Roman" w:eastAsia="宋体" w:cs="Times New Roman"/>
                      <w:color w:val="auto"/>
                      <w:sz w:val="21"/>
                      <w:szCs w:val="21"/>
                      <w:lang w:val="zh-C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路基清表(挖方区)</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1314</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深度按50cm计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路基清表(填方区)</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10581</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深度按50cm计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软基处理</w:t>
                  </w: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碎石桩（60cm直径）</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2100</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砂垫层</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420</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用于碎石桩顶部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软基挖方(杂填土)</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78055</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软基挖塘淤</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2923</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淤泥深暂定2m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软基填方</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80979</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边坡防护</w:t>
                  </w:r>
                </w:p>
              </w:tc>
              <w:tc>
                <w:tcPr>
                  <w:tcW w:w="725"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边坡防护</w:t>
                  </w: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三维网植草护坡</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4773</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草皮护坡</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1464</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挖方边沟(矩形边沟)</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615</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填方排水沟(梯形排水沟)</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1828</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拆除工程</w:t>
                  </w:r>
                </w:p>
              </w:tc>
              <w:tc>
                <w:tcPr>
                  <w:tcW w:w="725"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拆除工程</w:t>
                  </w: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挖除现状沥青混凝土路面</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5664</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面层暂定15</w:t>
                  </w:r>
                  <w:r>
                    <w:rPr>
                      <w:rFonts w:hint="eastAsia" w:ascii="Times New Roman" w:hAnsi="Times New Roman" w:eastAsia="宋体" w:cs="Times New Roman"/>
                      <w:color w:val="auto"/>
                      <w:sz w:val="21"/>
                      <w:szCs w:val="21"/>
                      <w:lang w:val="en-US" w:eastAsia="zh-CN"/>
                    </w:rPr>
                    <w:t>cm</w:t>
                  </w:r>
                  <w:r>
                    <w:rPr>
                      <w:rFonts w:hint="default" w:ascii="Times New Roman" w:hAnsi="Times New Roman" w:eastAsia="宋体" w:cs="Times New Roman"/>
                      <w:color w:val="auto"/>
                      <w:sz w:val="21"/>
                      <w:szCs w:val="21"/>
                      <w:lang w:val="zh-CN"/>
                    </w:rPr>
                    <w:t>，基层水稳暂定40cm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5"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87"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挖除房屋拆迁砖渣</w:t>
                  </w:r>
                </w:p>
              </w:tc>
              <w:tc>
                <w:tcPr>
                  <w:tcW w:w="51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4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3982</w:t>
                  </w:r>
                </w:p>
              </w:tc>
              <w:tc>
                <w:tcPr>
                  <w:tcW w:w="1981"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按拆迁量的0.85计算</w:t>
                  </w:r>
                </w:p>
              </w:tc>
            </w:tr>
          </w:tbl>
          <w:p>
            <w:pPr>
              <w:bidi w:val="0"/>
              <w:jc w:val="center"/>
              <w:rPr>
                <w:rFonts w:hint="default"/>
                <w:lang w:val="en-US" w:eastAsia="zh-CN"/>
              </w:rPr>
            </w:pPr>
            <w:r>
              <w:rPr>
                <w:rFonts w:hint="eastAsia" w:ascii="Times New Roman" w:hAnsi="Times New Roman" w:cs="Times New Roman"/>
                <w:b/>
                <w:bCs/>
                <w:color w:val="000000"/>
                <w:sz w:val="21"/>
                <w:szCs w:val="21"/>
                <w:highlight w:val="none"/>
                <w:u w:val="none"/>
                <w:lang w:val="en-US" w:eastAsia="zh-CN"/>
              </w:rPr>
              <w:t>表2</w:t>
            </w:r>
            <w:r>
              <w:rPr>
                <w:rFonts w:hint="eastAsia" w:cs="Times New Roman"/>
                <w:b/>
                <w:bCs/>
                <w:color w:val="000000"/>
                <w:sz w:val="21"/>
                <w:szCs w:val="21"/>
                <w:highlight w:val="none"/>
                <w:u w:val="none"/>
                <w:lang w:val="en-US" w:eastAsia="zh-CN"/>
              </w:rPr>
              <w:t>-4</w:t>
            </w:r>
            <w:r>
              <w:rPr>
                <w:rFonts w:hint="eastAsia" w:ascii="Times New Roman" w:hAnsi="Times New Roman" w:cs="Times New Roman"/>
                <w:b/>
                <w:bCs/>
                <w:color w:val="000000"/>
                <w:sz w:val="21"/>
                <w:szCs w:val="21"/>
                <w:highlight w:val="none"/>
                <w:u w:val="none"/>
                <w:lang w:val="en-US" w:eastAsia="zh-CN"/>
              </w:rPr>
              <w:t xml:space="preserve"> 萍州大桥西匝道</w:t>
            </w:r>
            <w:r>
              <w:rPr>
                <w:rFonts w:hint="eastAsia" w:cs="Times New Roman"/>
                <w:b/>
                <w:bCs/>
                <w:color w:val="000000"/>
                <w:sz w:val="21"/>
                <w:szCs w:val="21"/>
                <w:highlight w:val="none"/>
                <w:u w:val="none"/>
                <w:lang w:val="en-US" w:eastAsia="zh-CN"/>
              </w:rPr>
              <w:t>工程量表</w:t>
            </w:r>
          </w:p>
          <w:tbl>
            <w:tblPr>
              <w:tblStyle w:val="41"/>
              <w:tblW w:w="7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27"/>
              <w:gridCol w:w="3092"/>
              <w:gridCol w:w="512"/>
              <w:gridCol w:w="838"/>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分项工程</w:t>
                  </w:r>
                </w:p>
              </w:tc>
              <w:tc>
                <w:tcPr>
                  <w:tcW w:w="72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分部工程</w:t>
                  </w: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名称</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单位</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数量</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路面工程</w:t>
                  </w:r>
                </w:p>
              </w:tc>
              <w:tc>
                <w:tcPr>
                  <w:tcW w:w="727"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车行道</w:t>
                  </w: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4cm厚细粒式沥青砼AC-13C面层</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4240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粘层油（PC-3)（用量0.5L/m ）</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4240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 xml:space="preserve">7cm厚粗粒式沥青砼AC-25C </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4240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1cm厚改性乳化沥青（BCR)稀浆封层</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4240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机械喷洒道路用改性乳化沥青透油层（PC-2）（0.7～1.5L/m）</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4240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18cm厚5%水泥稳定级配碎石基层</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4240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18cm厚4%水泥稳定级配碎石基层</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4550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15cm厚级配碎石底垫层</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4550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人行道</w:t>
                  </w: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 xml:space="preserve">5cm厚麻石板(30×60×5) </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4075</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2cm厚素水泥胶</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4075</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10cm厚C15混凝土垫层</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4075</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15cm厚4%水泥稳定碎石</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4075</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路</w:t>
                  </w:r>
                  <w:r>
                    <w:rPr>
                      <w:rFonts w:hint="default" w:ascii="Times New Roman" w:hAnsi="Times New Roman" w:eastAsia="宋体" w:cs="Times New Roman"/>
                      <w:color w:val="auto"/>
                      <w:sz w:val="21"/>
                      <w:szCs w:val="21"/>
                      <w:lang w:val="zh-CN"/>
                    </w:rPr>
                    <w:t>缘石</w:t>
                  </w: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麻石路缘石(20×35×80cm)</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861</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2cm厚1:3水泥砂浆</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380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路缘石、锁边石砂浆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麻石锁边石(10×20×</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zh-CN"/>
                    </w:rPr>
                    <w:t>0cm)</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825</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C15细石水泥砼</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55</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路缘石安装靠背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C15细石水泥砼</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23</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锁边石安装靠背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树池石</w:t>
                  </w: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1.5m×1.5m行道树池石及树脂篦子（成品）</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套</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106</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树池石及树脂篦子（成品）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路基工程</w:t>
                  </w:r>
                </w:p>
              </w:tc>
              <w:tc>
                <w:tcPr>
                  <w:tcW w:w="727"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道路土石方</w:t>
                  </w: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道路填方</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18553</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含软基处理、填方区清表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道路挖方</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15123</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软基处理、挖现状路面、挖方清表另计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道路弃方</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13122</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不含拆迁砖渣、运距按10</w:t>
                  </w:r>
                  <w:r>
                    <w:rPr>
                      <w:rFonts w:hint="eastAsia" w:cs="Times New Roman"/>
                      <w:color w:val="auto"/>
                      <w:sz w:val="21"/>
                      <w:szCs w:val="21"/>
                      <w:lang w:val="en-US" w:eastAsia="zh-CN"/>
                    </w:rPr>
                    <w:t>km</w:t>
                  </w:r>
                  <w:r>
                    <w:rPr>
                      <w:rFonts w:hint="default" w:ascii="Times New Roman" w:hAnsi="Times New Roman" w:eastAsia="宋体" w:cs="Times New Roman"/>
                      <w:color w:val="auto"/>
                      <w:sz w:val="21"/>
                      <w:szCs w:val="21"/>
                      <w:lang w:val="zh-C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道路借方</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3320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运距按10</w:t>
                  </w:r>
                  <w:r>
                    <w:rPr>
                      <w:rFonts w:hint="eastAsia" w:cs="Times New Roman"/>
                      <w:color w:val="auto"/>
                      <w:sz w:val="21"/>
                      <w:szCs w:val="21"/>
                      <w:lang w:val="en-US" w:eastAsia="zh-CN"/>
                    </w:rPr>
                    <w:t>km</w:t>
                  </w:r>
                  <w:r>
                    <w:rPr>
                      <w:rFonts w:hint="default" w:ascii="Times New Roman" w:hAnsi="Times New Roman" w:eastAsia="宋体" w:cs="Times New Roman"/>
                      <w:color w:val="auto"/>
                      <w:sz w:val="21"/>
                      <w:szCs w:val="21"/>
                      <w:lang w:val="zh-CN"/>
                    </w:rPr>
                    <w:t>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路基清表(挖方区)</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2545</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深度按50cm计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路基清表(填方区)</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1014</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深度按50cm计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软基处理</w:t>
                  </w: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软基挖方(杂填土)</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6928</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软基填方</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6928</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边坡防护</w:t>
                  </w:r>
                </w:p>
              </w:tc>
              <w:tc>
                <w:tcPr>
                  <w:tcW w:w="727"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边坡防护</w:t>
                  </w: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人行护栏</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336</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草皮护坡</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4810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挖方边沟(矩形边沟)</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410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填方排水沟(梯形排水沟)</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370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拆除工程</w:t>
                  </w:r>
                </w:p>
              </w:tc>
              <w:tc>
                <w:tcPr>
                  <w:tcW w:w="727" w:type="dxa"/>
                  <w:vMerge w:val="restart"/>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拆除工程</w:t>
                  </w: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挖除现状沥青混凝土路面</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140</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面层暂定24</w:t>
                  </w:r>
                  <w:r>
                    <w:rPr>
                      <w:rFonts w:hint="eastAsia" w:ascii="Times New Roman" w:hAnsi="Times New Roman" w:eastAsia="宋体" w:cs="Times New Roman"/>
                      <w:color w:val="auto"/>
                      <w:sz w:val="21"/>
                      <w:szCs w:val="21"/>
                      <w:lang w:val="en-US" w:eastAsia="zh-CN"/>
                    </w:rPr>
                    <w:t>cm</w:t>
                  </w:r>
                  <w:r>
                    <w:rPr>
                      <w:rFonts w:hint="default" w:ascii="Times New Roman" w:hAnsi="Times New Roman" w:eastAsia="宋体" w:cs="Times New Roman"/>
                      <w:color w:val="auto"/>
                      <w:sz w:val="21"/>
                      <w:szCs w:val="21"/>
                      <w:lang w:val="zh-CN"/>
                    </w:rPr>
                    <w:t>，基层水稳暂定40cm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9"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727" w:type="dxa"/>
                  <w:vMerge w:val="continue"/>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p>
              </w:tc>
              <w:tc>
                <w:tcPr>
                  <w:tcW w:w="3092" w:type="dxa"/>
                  <w:vAlign w:val="center"/>
                </w:tcPr>
                <w:p>
                  <w:pPr>
                    <w:bidi w:val="0"/>
                    <w:spacing w:after="0"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挖除房屋拆迁砖渣</w:t>
                  </w:r>
                </w:p>
              </w:tc>
              <w:tc>
                <w:tcPr>
                  <w:tcW w:w="51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838"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3921</w:t>
                  </w:r>
                </w:p>
              </w:tc>
              <w:tc>
                <w:tcPr>
                  <w:tcW w:w="1982" w:type="dxa"/>
                  <w:vAlign w:val="center"/>
                </w:tcPr>
                <w:p>
                  <w:pPr>
                    <w:bidi w:val="0"/>
                    <w:spacing w:after="0"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zh-CN"/>
                    </w:rPr>
                    <w:t>按拆迁量的0.85计算</w:t>
                  </w:r>
                </w:p>
              </w:tc>
            </w:tr>
          </w:tbl>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r>
              <w:rPr>
                <w:rFonts w:hint="eastAsia" w:cs="Times New Roman"/>
                <w:bCs/>
                <w:color w:val="000000"/>
                <w:sz w:val="21"/>
                <w:szCs w:val="21"/>
                <w:highlight w:val="none"/>
                <w:lang w:val="en-US" w:eastAsia="zh-CN"/>
              </w:rPr>
              <w:t>2.5 工程设计方案</w:t>
            </w:r>
          </w:p>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r>
              <w:rPr>
                <w:rFonts w:hint="eastAsia" w:cs="Times New Roman"/>
                <w:bCs/>
                <w:color w:val="000000"/>
                <w:sz w:val="21"/>
                <w:szCs w:val="21"/>
                <w:highlight w:val="none"/>
                <w:lang w:val="en-US" w:eastAsia="zh-CN"/>
              </w:rPr>
              <w:t>2.5.1 交通量预测</w:t>
            </w:r>
          </w:p>
          <w:p>
            <w:pPr>
              <w:spacing w:line="360" w:lineRule="auto"/>
              <w:ind w:firstLine="48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根据本项目初步设计、可研资料，项目交通量预测结果见表2-5。</w:t>
            </w:r>
          </w:p>
          <w:p>
            <w:pPr>
              <w:spacing w:line="240" w:lineRule="auto"/>
              <w:jc w:val="center"/>
              <w:rPr>
                <w:rFonts w:hint="default" w:ascii="Times New Roman" w:hAnsi="Times New Roman" w:eastAsia="宋体" w:cs="Times New Roman"/>
                <w:b/>
                <w:bCs/>
                <w:color w:val="000000"/>
                <w:sz w:val="21"/>
                <w:szCs w:val="21"/>
                <w:highlight w:val="none"/>
                <w:lang w:val="en-US"/>
              </w:rPr>
            </w:pPr>
            <w:r>
              <w:rPr>
                <w:rFonts w:hint="eastAsia" w:ascii="Times New Roman" w:hAnsi="Times New Roman" w:cs="Times New Roman"/>
                <w:b/>
                <w:bCs/>
                <w:color w:val="000000"/>
                <w:sz w:val="21"/>
                <w:szCs w:val="21"/>
                <w:highlight w:val="none"/>
                <w:u w:val="none"/>
                <w:lang w:val="en-US" w:eastAsia="zh-CN"/>
              </w:rPr>
              <w:t>表2</w:t>
            </w:r>
            <w:r>
              <w:rPr>
                <w:rFonts w:hint="eastAsia" w:cs="Times New Roman"/>
                <w:b/>
                <w:bCs/>
                <w:color w:val="000000"/>
                <w:sz w:val="21"/>
                <w:szCs w:val="21"/>
                <w:highlight w:val="none"/>
                <w:u w:val="none"/>
                <w:lang w:val="en-US" w:eastAsia="zh-CN"/>
              </w:rPr>
              <w:t>-5</w:t>
            </w:r>
            <w:r>
              <w:rPr>
                <w:rFonts w:hint="eastAsia" w:ascii="Times New Roman" w:hAnsi="Times New Roman" w:cs="Times New Roman"/>
                <w:b/>
                <w:bCs/>
                <w:color w:val="000000"/>
                <w:sz w:val="21"/>
                <w:szCs w:val="21"/>
                <w:highlight w:val="none"/>
                <w:u w:val="none"/>
                <w:lang w:val="en-US" w:eastAsia="zh-CN"/>
              </w:rPr>
              <w:t xml:space="preserve"> </w:t>
            </w:r>
            <w:r>
              <w:rPr>
                <w:rFonts w:hint="eastAsia" w:cs="Times New Roman"/>
                <w:b/>
                <w:bCs/>
                <w:color w:val="000000"/>
                <w:sz w:val="21"/>
                <w:szCs w:val="21"/>
                <w:highlight w:val="none"/>
                <w:lang w:val="en-US" w:eastAsia="zh-CN"/>
              </w:rPr>
              <w:t>交通量预测</w:t>
            </w:r>
          </w:p>
          <w:tbl>
            <w:tblPr>
              <w:tblStyle w:val="41"/>
              <w:tblW w:w="7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1020"/>
              <w:gridCol w:w="1397"/>
              <w:gridCol w:w="1395"/>
              <w:gridCol w:w="1013"/>
              <w:gridCol w:w="1389"/>
            </w:tblGrid>
            <w:tr>
              <w:tblPrEx>
                <w:tblLayout w:type="fixed"/>
                <w:tblCellMar>
                  <w:top w:w="0" w:type="dxa"/>
                  <w:left w:w="108" w:type="dxa"/>
                  <w:bottom w:w="0" w:type="dxa"/>
                  <w:right w:w="108" w:type="dxa"/>
                </w:tblCellMar>
              </w:tblPrEx>
              <w:tc>
                <w:tcPr>
                  <w:tcW w:w="4003"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lang w:val="en-US" w:eastAsia="zh-CN"/>
                    </w:rPr>
                    <w:t>萍阳北路延伸段</w:t>
                  </w:r>
                </w:p>
              </w:tc>
              <w:tc>
                <w:tcPr>
                  <w:tcW w:w="3797" w:type="dxa"/>
                  <w:gridSpan w:val="3"/>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vertAlign w:val="baseline"/>
                      <w:lang w:val="en-US" w:eastAsia="zh-CN"/>
                    </w:rPr>
                  </w:pPr>
                  <w:r>
                    <w:rPr>
                      <w:rFonts w:hint="eastAsia" w:ascii="Times New Roman" w:hAnsi="Times New Roman" w:eastAsia="宋体" w:cs="Times New Roman"/>
                      <w:color w:val="000000"/>
                      <w:sz w:val="21"/>
                      <w:szCs w:val="21"/>
                      <w:highlight w:val="none"/>
                      <w:lang w:val="en-US" w:eastAsia="zh-CN"/>
                    </w:rPr>
                    <w:t>萍州大桥西匝道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预测年</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eastAsia="zh-CN"/>
                    </w:rPr>
                    <w:t>日</w:t>
                  </w:r>
                  <w:r>
                    <w:rPr>
                      <w:rFonts w:hint="eastAsia" w:cs="Times New Roman"/>
                      <w:color w:val="000000"/>
                      <w:sz w:val="21"/>
                      <w:szCs w:val="21"/>
                      <w:highlight w:val="none"/>
                      <w:vertAlign w:val="baseline"/>
                      <w:lang w:val="en-US" w:eastAsia="zh-CN"/>
                    </w:rPr>
                    <w:t>交通量</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高峰小时流量</w:t>
                  </w:r>
                </w:p>
              </w:tc>
              <w:tc>
                <w:tcPr>
                  <w:tcW w:w="1395"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预测年</w:t>
                  </w:r>
                </w:p>
              </w:tc>
              <w:tc>
                <w:tcPr>
                  <w:tcW w:w="101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eastAsia="zh-CN"/>
                    </w:rPr>
                    <w:t>日</w:t>
                  </w:r>
                  <w:r>
                    <w:rPr>
                      <w:rFonts w:hint="eastAsia" w:cs="Times New Roman"/>
                      <w:color w:val="000000"/>
                      <w:sz w:val="21"/>
                      <w:szCs w:val="21"/>
                      <w:highlight w:val="none"/>
                      <w:vertAlign w:val="baseline"/>
                      <w:lang w:val="en-US" w:eastAsia="zh-CN"/>
                    </w:rPr>
                    <w:t>交通量</w:t>
                  </w:r>
                </w:p>
              </w:tc>
              <w:tc>
                <w:tcPr>
                  <w:tcW w:w="138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高峰小时流量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 w:hRule="atLeast"/>
              </w:trPr>
              <w:tc>
                <w:tcPr>
                  <w:tcW w:w="158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2027（评价基准年）</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8613</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861</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2027（评价基准年）</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4310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2028</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9130</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913</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2028</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4570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2029</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9678</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968</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2029</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4840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484</w:t>
                  </w:r>
                </w:p>
              </w:tc>
            </w:tr>
            <w:tr>
              <w:tblPrEx>
                <w:tblLayout w:type="fixed"/>
                <w:tblCellMar>
                  <w:top w:w="0" w:type="dxa"/>
                  <w:left w:w="108" w:type="dxa"/>
                  <w:bottom w:w="0" w:type="dxa"/>
                  <w:right w:w="108" w:type="dxa"/>
                </w:tblCellMar>
              </w:tblPrEx>
              <w:tc>
                <w:tcPr>
                  <w:tcW w:w="15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2030</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10258</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1026</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2030</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5130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2031</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10874</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1087</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2031</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5440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2032</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11526</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1153</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2032</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5770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2033</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12218</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1222</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2033</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6110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2034</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12951</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1295</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2034</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6480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2035</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13728</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1373</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2035</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6870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2036</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14551</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1455</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2036</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7280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vertAlign w:val="baseline"/>
                      <w:lang w:val="en-US" w:eastAsia="zh-CN" w:bidi="ar-SA"/>
                    </w:rPr>
                  </w:pPr>
                  <w:r>
                    <w:rPr>
                      <w:rFonts w:hint="eastAsia" w:cs="Times New Roman"/>
                      <w:color w:val="000000"/>
                      <w:sz w:val="21"/>
                      <w:szCs w:val="21"/>
                      <w:highlight w:val="none"/>
                      <w:vertAlign w:val="baseline"/>
                      <w:lang w:val="en-US" w:eastAsia="zh-CN"/>
                    </w:rPr>
                    <w:t>2037</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15425</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1543</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2037</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7720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2038</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16350</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1635</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2038</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8180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2039</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17169</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1717</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2039</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8660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2040</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18199</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1820</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2040</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9140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2041</w:t>
                  </w:r>
                </w:p>
              </w:tc>
              <w:tc>
                <w:tcPr>
                  <w:tcW w:w="102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19291</w:t>
                  </w:r>
                </w:p>
              </w:tc>
              <w:tc>
                <w:tcPr>
                  <w:tcW w:w="139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1929</w:t>
                  </w:r>
                </w:p>
              </w:tc>
              <w:tc>
                <w:tcPr>
                  <w:tcW w:w="1395"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2041</w:t>
                  </w:r>
                </w:p>
              </w:tc>
              <w:tc>
                <w:tcPr>
                  <w:tcW w:w="101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9640</w:t>
                  </w:r>
                </w:p>
              </w:tc>
              <w:tc>
                <w:tcPr>
                  <w:tcW w:w="138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964</w:t>
                  </w:r>
                </w:p>
              </w:tc>
            </w:tr>
          </w:tbl>
          <w:p>
            <w:pPr>
              <w:pStyle w:val="192"/>
              <w:keepNext/>
              <w:keepLines/>
              <w:pageBreakBefore w:val="0"/>
              <w:widowControl w:val="0"/>
              <w:kinsoku/>
              <w:wordWrap/>
              <w:overflowPunct/>
              <w:topLinePunct w:val="0"/>
              <w:autoSpaceDE/>
              <w:autoSpaceDN/>
              <w:bidi w:val="0"/>
              <w:adjustRightInd w:val="0"/>
              <w:snapToGrid w:val="0"/>
              <w:spacing w:before="0" w:after="0" w:line="360" w:lineRule="auto"/>
              <w:ind w:firstLine="420" w:firstLineChars="200"/>
              <w:textAlignment w:val="auto"/>
              <w:outlineLvl w:val="2"/>
              <w:rPr>
                <w:rFonts w:hint="eastAsia" w:cs="Times New Roman"/>
                <w:b w:val="0"/>
                <w:bCs w:val="0"/>
                <w:color w:val="000000"/>
                <w:sz w:val="21"/>
                <w:szCs w:val="21"/>
                <w:highlight w:val="none"/>
                <w:lang w:val="en-US" w:eastAsia="zh-CN"/>
              </w:rPr>
            </w:pPr>
            <w:r>
              <w:rPr>
                <w:rFonts w:hint="eastAsia" w:cs="Times New Roman"/>
                <w:b w:val="0"/>
                <w:bCs w:val="0"/>
                <w:color w:val="000000"/>
                <w:sz w:val="21"/>
                <w:szCs w:val="21"/>
                <w:highlight w:val="none"/>
                <w:lang w:val="en-US" w:eastAsia="zh-CN"/>
              </w:rPr>
              <w:t>参照湖南省城市出行方式划分比例，以预测得出的各年OD数据为基础，结合路段设计通行能力、以行驶时间为阻抗因素，采用容量限制法分别将各预测特征年的OD矩阵分配至道路网中，得出各特殊年项目道路交通流量。</w:t>
            </w:r>
          </w:p>
          <w:p>
            <w:pPr>
              <w:pStyle w:val="19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outlineLvl w:val="2"/>
              <w:rPr>
                <w:rFonts w:hint="eastAsia" w:ascii="Times New Roman" w:hAnsi="Times New Roman" w:eastAsia="宋体" w:cs="Times New Roman"/>
                <w:b/>
                <w:bCs/>
                <w:color w:val="000000"/>
                <w:sz w:val="21"/>
                <w:szCs w:val="21"/>
                <w:highlight w:val="none"/>
                <w:lang w:val="en-US" w:eastAsia="zh-CN" w:bidi="ar-SA"/>
              </w:rPr>
            </w:pPr>
            <w:r>
              <w:rPr>
                <w:rFonts w:hint="eastAsia" w:ascii="Times New Roman" w:hAnsi="Times New Roman" w:eastAsia="宋体" w:cs="Times New Roman"/>
                <w:b/>
                <w:bCs/>
                <w:color w:val="000000"/>
                <w:sz w:val="21"/>
                <w:szCs w:val="21"/>
                <w:highlight w:val="none"/>
                <w:lang w:val="en-US" w:eastAsia="zh-CN" w:bidi="ar-SA"/>
              </w:rPr>
              <w:t>表2-</w:t>
            </w:r>
            <w:r>
              <w:rPr>
                <w:rFonts w:hint="eastAsia" w:cs="Times New Roman"/>
                <w:b/>
                <w:bCs/>
                <w:color w:val="000000"/>
                <w:sz w:val="21"/>
                <w:szCs w:val="21"/>
                <w:highlight w:val="none"/>
                <w:lang w:val="en-US" w:eastAsia="zh-CN" w:bidi="ar-SA"/>
              </w:rPr>
              <w:t>6</w:t>
            </w:r>
            <w:r>
              <w:rPr>
                <w:rFonts w:hint="eastAsia" w:ascii="Times New Roman" w:hAnsi="Times New Roman" w:eastAsia="宋体" w:cs="Times New Roman"/>
                <w:b/>
                <w:bCs/>
                <w:color w:val="000000"/>
                <w:sz w:val="21"/>
                <w:szCs w:val="21"/>
                <w:highlight w:val="none"/>
                <w:lang w:val="en-US" w:eastAsia="zh-CN" w:bidi="ar-SA"/>
              </w:rPr>
              <w:t xml:space="preserve"> 项目近、中、远期日平均交通量预测结果</w:t>
            </w:r>
          </w:p>
          <w:tbl>
            <w:tblPr>
              <w:tblStyle w:val="40"/>
              <w:tblW w:w="77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1977"/>
              <w:gridCol w:w="1977"/>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特征年路段</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202</w:t>
                  </w:r>
                  <w:r>
                    <w:rPr>
                      <w:rFonts w:hint="eastAsia" w:cs="Times New Roman"/>
                      <w:color w:val="000000"/>
                      <w:sz w:val="21"/>
                      <w:szCs w:val="21"/>
                      <w:highlight w:val="none"/>
                      <w:vertAlign w:val="baseline"/>
                      <w:lang w:val="en-US" w:eastAsia="zh-CN"/>
                    </w:rPr>
                    <w:t>7</w:t>
                  </w:r>
                  <w:r>
                    <w:rPr>
                      <w:rFonts w:hint="default" w:eastAsia="宋体" w:cs="Times New Roman"/>
                      <w:color w:val="000000"/>
                      <w:sz w:val="21"/>
                      <w:szCs w:val="21"/>
                      <w:highlight w:val="none"/>
                      <w:vertAlign w:val="baseline"/>
                      <w:lang w:val="en-US" w:eastAsia="zh-CN"/>
                    </w:rPr>
                    <w:t>年（pcu/h）</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203</w:t>
                  </w:r>
                  <w:r>
                    <w:rPr>
                      <w:rFonts w:hint="eastAsia" w:cs="Times New Roman"/>
                      <w:color w:val="000000"/>
                      <w:sz w:val="21"/>
                      <w:szCs w:val="21"/>
                      <w:highlight w:val="none"/>
                      <w:vertAlign w:val="baseline"/>
                      <w:lang w:val="en-US" w:eastAsia="zh-CN"/>
                    </w:rPr>
                    <w:t>3</w:t>
                  </w:r>
                  <w:r>
                    <w:rPr>
                      <w:rFonts w:hint="default" w:eastAsia="宋体" w:cs="Times New Roman"/>
                      <w:color w:val="000000"/>
                      <w:sz w:val="21"/>
                      <w:szCs w:val="21"/>
                      <w:highlight w:val="none"/>
                      <w:vertAlign w:val="baseline"/>
                      <w:lang w:val="en-US" w:eastAsia="zh-CN"/>
                    </w:rPr>
                    <w:t>年（pcu/h）</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204</w:t>
                  </w:r>
                  <w:r>
                    <w:rPr>
                      <w:rFonts w:hint="eastAsia" w:cs="Times New Roman"/>
                      <w:color w:val="000000"/>
                      <w:sz w:val="21"/>
                      <w:szCs w:val="21"/>
                      <w:highlight w:val="none"/>
                      <w:vertAlign w:val="baseline"/>
                      <w:lang w:val="en-US" w:eastAsia="zh-CN"/>
                    </w:rPr>
                    <w:t>1</w:t>
                  </w:r>
                  <w:r>
                    <w:rPr>
                      <w:rFonts w:hint="default" w:eastAsia="宋体" w:cs="Times New Roman"/>
                      <w:color w:val="000000"/>
                      <w:sz w:val="21"/>
                      <w:szCs w:val="21"/>
                      <w:highlight w:val="none"/>
                      <w:vertAlign w:val="baseline"/>
                      <w:lang w:val="en-US" w:eastAsia="zh-CN"/>
                    </w:rPr>
                    <w:t>年（pcu/h）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萍阳北路延伸段</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861</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1222</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bookmarkStart w:id="12" w:name="_Hlk144221100"/>
                  <w:r>
                    <w:rPr>
                      <w:rFonts w:hint="default" w:eastAsia="宋体" w:cs="Times New Roman"/>
                      <w:color w:val="000000"/>
                      <w:sz w:val="21"/>
                      <w:szCs w:val="21"/>
                      <w:highlight w:val="none"/>
                      <w:vertAlign w:val="baseline"/>
                      <w:lang w:val="en-US" w:eastAsia="zh-CN"/>
                    </w:rPr>
                    <w:t>萍州大桥西匝道</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431</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611</w:t>
                  </w:r>
                </w:p>
              </w:tc>
              <w:tc>
                <w:tcPr>
                  <w:tcW w:w="19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964</w:t>
                  </w:r>
                </w:p>
              </w:tc>
            </w:tr>
            <w:bookmarkEnd w:id="12"/>
          </w:tbl>
          <w:p>
            <w:pPr>
              <w:pStyle w:val="3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eastAsia="宋体" w:cs="Times New Roman"/>
                <w:b w:val="0"/>
                <w:bCs w:val="0"/>
                <w:color w:val="000000"/>
                <w:kern w:val="0"/>
                <w:sz w:val="21"/>
                <w:szCs w:val="21"/>
                <w:highlight w:val="none"/>
                <w:lang w:val="en-US" w:eastAsia="zh-CN" w:bidi="ar"/>
              </w:rPr>
            </w:pPr>
            <w:r>
              <w:rPr>
                <w:rFonts w:hint="eastAsia" w:ascii="Times New Roman" w:hAnsi="Times New Roman" w:eastAsia="宋体" w:cs="Times New Roman"/>
                <w:b w:val="0"/>
                <w:bCs w:val="0"/>
                <w:color w:val="000000"/>
                <w:kern w:val="0"/>
                <w:sz w:val="21"/>
                <w:szCs w:val="21"/>
                <w:highlight w:val="none"/>
                <w:lang w:val="en-US" w:eastAsia="zh-CN" w:bidi="ar"/>
              </w:rPr>
              <w:t>根据初步设计和可研报告提供的对项目区域现有道路的调查结果，，参考附近区域道路得出项目特征年车型构成比例见表2-</w:t>
            </w:r>
            <w:r>
              <w:rPr>
                <w:rFonts w:hint="eastAsia" w:cs="Times New Roman"/>
                <w:b w:val="0"/>
                <w:bCs w:val="0"/>
                <w:color w:val="000000"/>
                <w:kern w:val="0"/>
                <w:sz w:val="21"/>
                <w:szCs w:val="21"/>
                <w:highlight w:val="none"/>
                <w:lang w:val="en-US" w:eastAsia="zh-CN" w:bidi="ar"/>
              </w:rPr>
              <w:t>7</w:t>
            </w:r>
            <w:r>
              <w:rPr>
                <w:rFonts w:hint="eastAsia" w:eastAsia="宋体" w:cs="Times New Roman"/>
                <w:b w:val="0"/>
                <w:bCs w:val="0"/>
                <w:color w:val="000000"/>
                <w:kern w:val="0"/>
                <w:sz w:val="21"/>
                <w:szCs w:val="21"/>
                <w:highlight w:val="none"/>
                <w:lang w:val="en-US" w:eastAsia="zh-CN" w:bidi="ar"/>
              </w:rPr>
              <w:t>。</w:t>
            </w:r>
          </w:p>
          <w:p>
            <w:pPr>
              <w:pStyle w:val="44"/>
              <w:keepNext w:val="0"/>
              <w:keepLines w:val="0"/>
              <w:pageBreakBefore w:val="0"/>
              <w:widowControl w:val="0"/>
              <w:kinsoku/>
              <w:wordWrap/>
              <w:overflowPunct/>
              <w:topLinePunct w:val="0"/>
              <w:autoSpaceDE w:val="0"/>
              <w:autoSpaceDN w:val="0"/>
              <w:bidi w:val="0"/>
              <w:adjustRightInd w:val="0"/>
              <w:snapToGrid w:val="0"/>
              <w:spacing w:before="0" w:beforeLines="0"/>
              <w:textAlignment w:val="auto"/>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表2-</w:t>
            </w:r>
            <w:r>
              <w:rPr>
                <w:rFonts w:hint="eastAsia" w:cs="Times New Roman"/>
                <w:b/>
                <w:bCs/>
                <w:color w:val="000000"/>
                <w:kern w:val="0"/>
                <w:sz w:val="21"/>
                <w:szCs w:val="21"/>
                <w:highlight w:val="none"/>
                <w:lang w:val="en-US" w:eastAsia="zh-CN" w:bidi="ar-SA"/>
              </w:rPr>
              <w:t>7</w:t>
            </w:r>
            <w:r>
              <w:rPr>
                <w:rFonts w:hint="eastAsia" w:ascii="Times New Roman" w:hAnsi="Times New Roman" w:eastAsia="宋体" w:cs="Times New Roman"/>
                <w:b/>
                <w:bCs/>
                <w:color w:val="000000"/>
                <w:kern w:val="0"/>
                <w:sz w:val="21"/>
                <w:szCs w:val="21"/>
                <w:highlight w:val="none"/>
                <w:lang w:val="en-US" w:eastAsia="zh-CN" w:bidi="ar-SA"/>
              </w:rPr>
              <w:t xml:space="preserve"> 项目车型比例预测（折算数比例）</w:t>
            </w:r>
          </w:p>
          <w:tbl>
            <w:tblPr>
              <w:tblStyle w:val="40"/>
              <w:tblW w:w="7800" w:type="dxa"/>
              <w:jc w:val="center"/>
              <w:tblInd w:w="0" w:type="dxa"/>
              <w:tblBorders>
                <w:top w:val="single" w:color="auto" w:sz="4" w:space="0"/>
                <w:left w:val="single" w:color="auto" w:sz="4" w:space="0"/>
                <w:bottom w:val="single" w:color="auto" w:sz="4" w:space="0"/>
                <w:right w:val="single" w:color="auto" w:sz="4"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1950"/>
              <w:gridCol w:w="2037"/>
              <w:gridCol w:w="2037"/>
              <w:gridCol w:w="1776"/>
            </w:tblGrid>
            <w:tr>
              <w:tblPrEx>
                <w:tblBorders>
                  <w:top w:val="single" w:color="auto" w:sz="4" w:space="0"/>
                  <w:left w:val="single" w:color="auto" w:sz="4" w:space="0"/>
                  <w:bottom w:val="single" w:color="auto" w:sz="4" w:space="0"/>
                  <w:right w:val="single" w:color="auto"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7" w:hRule="atLeast"/>
                <w:jc w:val="center"/>
              </w:trPr>
              <w:tc>
                <w:tcPr>
                  <w:tcW w:w="19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车型年份</w:t>
                  </w:r>
                </w:p>
              </w:tc>
              <w:tc>
                <w:tcPr>
                  <w:tcW w:w="20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小型</w:t>
                  </w:r>
                </w:p>
              </w:tc>
              <w:tc>
                <w:tcPr>
                  <w:tcW w:w="20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中型</w:t>
                  </w:r>
                </w:p>
              </w:tc>
              <w:tc>
                <w:tcPr>
                  <w:tcW w:w="17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大型</w:t>
                  </w:r>
                </w:p>
              </w:tc>
            </w:tr>
            <w:tr>
              <w:tblPrEx>
                <w:tblBorders>
                  <w:top w:val="single" w:color="auto" w:sz="4" w:space="0"/>
                  <w:left w:val="single" w:color="auto" w:sz="4" w:space="0"/>
                  <w:bottom w:val="single" w:color="auto" w:sz="4" w:space="0"/>
                  <w:right w:val="single" w:color="auto"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57" w:hRule="atLeast"/>
                <w:jc w:val="center"/>
              </w:trPr>
              <w:tc>
                <w:tcPr>
                  <w:tcW w:w="19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202</w:t>
                  </w:r>
                  <w:r>
                    <w:rPr>
                      <w:rFonts w:hint="eastAsia"/>
                      <w:lang w:val="en-US" w:eastAsia="zh-CN"/>
                    </w:rPr>
                    <w:t>7</w:t>
                  </w:r>
                  <w:r>
                    <w:rPr>
                      <w:rFonts w:hint="default"/>
                      <w:lang w:val="en-US" w:eastAsia="zh-CN"/>
                    </w:rPr>
                    <w:t>年</w:t>
                  </w:r>
                </w:p>
              </w:tc>
              <w:tc>
                <w:tcPr>
                  <w:tcW w:w="20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83.46%</w:t>
                  </w:r>
                </w:p>
              </w:tc>
              <w:tc>
                <w:tcPr>
                  <w:tcW w:w="20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14.78%</w:t>
                  </w:r>
                </w:p>
              </w:tc>
              <w:tc>
                <w:tcPr>
                  <w:tcW w:w="17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1.76%</w:t>
                  </w:r>
                </w:p>
              </w:tc>
            </w:tr>
            <w:tr>
              <w:tblPrEx>
                <w:tblBorders>
                  <w:top w:val="single" w:color="auto" w:sz="4" w:space="0"/>
                  <w:left w:val="single" w:color="auto" w:sz="4" w:space="0"/>
                  <w:bottom w:val="single" w:color="auto" w:sz="4" w:space="0"/>
                  <w:right w:val="single" w:color="auto" w:sz="4"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Ex>
              <w:trPr>
                <w:trHeight w:val="57" w:hRule="atLeast"/>
                <w:jc w:val="center"/>
              </w:trPr>
              <w:tc>
                <w:tcPr>
                  <w:tcW w:w="19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203</w:t>
                  </w:r>
                  <w:r>
                    <w:rPr>
                      <w:rFonts w:hint="eastAsia"/>
                      <w:lang w:val="en-US" w:eastAsia="zh-CN"/>
                    </w:rPr>
                    <w:t>3</w:t>
                  </w:r>
                  <w:r>
                    <w:rPr>
                      <w:rFonts w:hint="default"/>
                      <w:lang w:val="en-US" w:eastAsia="zh-CN"/>
                    </w:rPr>
                    <w:t>年</w:t>
                  </w:r>
                </w:p>
              </w:tc>
              <w:tc>
                <w:tcPr>
                  <w:tcW w:w="20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83.64%</w:t>
                  </w:r>
                </w:p>
              </w:tc>
              <w:tc>
                <w:tcPr>
                  <w:tcW w:w="20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14.87%</w:t>
                  </w:r>
                </w:p>
              </w:tc>
              <w:tc>
                <w:tcPr>
                  <w:tcW w:w="17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1.49%</w:t>
                  </w:r>
                </w:p>
              </w:tc>
            </w:tr>
            <w:tr>
              <w:tblPrEx>
                <w:tblBorders>
                  <w:top w:val="single" w:color="auto" w:sz="4" w:space="0"/>
                  <w:left w:val="single" w:color="auto" w:sz="4" w:space="0"/>
                  <w:bottom w:val="single" w:color="auto" w:sz="4" w:space="0"/>
                  <w:right w:val="single" w:color="auto" w:sz="4"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Ex>
              <w:trPr>
                <w:trHeight w:val="57" w:hRule="atLeast"/>
                <w:jc w:val="center"/>
              </w:trPr>
              <w:tc>
                <w:tcPr>
                  <w:tcW w:w="1950"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204</w:t>
                  </w:r>
                  <w:r>
                    <w:rPr>
                      <w:rFonts w:hint="eastAsia"/>
                      <w:lang w:val="en-US" w:eastAsia="zh-CN"/>
                    </w:rPr>
                    <w:t>1</w:t>
                  </w:r>
                  <w:r>
                    <w:rPr>
                      <w:rFonts w:hint="default"/>
                      <w:lang w:val="en-US" w:eastAsia="zh-CN"/>
                    </w:rPr>
                    <w:t>年</w:t>
                  </w:r>
                </w:p>
              </w:tc>
              <w:tc>
                <w:tcPr>
                  <w:tcW w:w="20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83.41%</w:t>
                  </w:r>
                </w:p>
              </w:tc>
              <w:tc>
                <w:tcPr>
                  <w:tcW w:w="203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15.60%</w:t>
                  </w:r>
                </w:p>
              </w:tc>
              <w:tc>
                <w:tcPr>
                  <w:tcW w:w="1776"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default"/>
                      <w:lang w:val="en-US" w:eastAsia="zh-CN"/>
                    </w:rPr>
                    <w:t>0.99%</w:t>
                  </w:r>
                </w:p>
              </w:tc>
            </w:tr>
          </w:tbl>
          <w:p>
            <w:pPr>
              <w:pStyle w:val="192"/>
              <w:keepNext/>
              <w:keepLines/>
              <w:pageBreakBefore w:val="0"/>
              <w:widowControl w:val="0"/>
              <w:kinsoku/>
              <w:wordWrap/>
              <w:overflowPunct/>
              <w:topLinePunct w:val="0"/>
              <w:autoSpaceDE/>
              <w:autoSpaceDN/>
              <w:bidi w:val="0"/>
              <w:adjustRightInd w:val="0"/>
              <w:snapToGrid w:val="0"/>
              <w:spacing w:before="0" w:after="0" w:line="360" w:lineRule="auto"/>
              <w:ind w:firstLine="420" w:firstLineChars="200"/>
              <w:jc w:val="left"/>
              <w:textAlignment w:val="auto"/>
              <w:outlineLvl w:val="9"/>
              <w:rPr>
                <w:rFonts w:hint="eastAsia" w:ascii="Times New Roman" w:hAnsi="Times New Roman" w:eastAsia="宋体" w:cs="Times New Roman"/>
                <w:b w:val="0"/>
                <w:bCs w:val="0"/>
                <w:color w:val="000000"/>
                <w:kern w:val="0"/>
                <w:sz w:val="21"/>
                <w:szCs w:val="21"/>
                <w:highlight w:val="none"/>
                <w:lang w:val="en-US" w:eastAsia="zh-CN" w:bidi="ar"/>
              </w:rPr>
            </w:pPr>
            <w:r>
              <w:rPr>
                <w:rFonts w:hint="eastAsia" w:ascii="Times New Roman" w:hAnsi="Times New Roman" w:eastAsia="宋体" w:cs="Times New Roman"/>
                <w:b w:val="0"/>
                <w:bCs w:val="0"/>
                <w:color w:val="000000"/>
                <w:kern w:val="0"/>
                <w:sz w:val="21"/>
                <w:szCs w:val="21"/>
                <w:highlight w:val="none"/>
                <w:lang w:val="en-US" w:eastAsia="zh-CN" w:bidi="ar"/>
              </w:rPr>
              <w:t>根据各特征年的车流量和车型比，按</w:t>
            </w:r>
            <w:r>
              <w:rPr>
                <w:rFonts w:hint="default" w:ascii="Times New Roman" w:hAnsi="Times New Roman" w:eastAsia="宋体" w:cs="Times New Roman"/>
                <w:b w:val="0"/>
                <w:bCs w:val="0"/>
                <w:color w:val="000000"/>
                <w:kern w:val="0"/>
                <w:sz w:val="21"/>
                <w:szCs w:val="21"/>
                <w:highlight w:val="none"/>
                <w:lang w:val="en-US" w:eastAsia="zh-CN" w:bidi="ar"/>
              </w:rPr>
              <w:t>9:1</w:t>
            </w:r>
            <w:r>
              <w:rPr>
                <w:rFonts w:hint="eastAsia" w:ascii="Times New Roman" w:hAnsi="Times New Roman" w:eastAsia="宋体" w:cs="Times New Roman"/>
                <w:b w:val="0"/>
                <w:bCs w:val="0"/>
                <w:color w:val="000000"/>
                <w:kern w:val="0"/>
                <w:sz w:val="21"/>
                <w:szCs w:val="21"/>
                <w:highlight w:val="none"/>
                <w:lang w:val="en-US" w:eastAsia="zh-CN" w:bidi="ar"/>
              </w:rPr>
              <w:t>的昼夜系数比计算</w:t>
            </w:r>
            <w:r>
              <w:rPr>
                <w:rFonts w:hint="default" w:ascii="Times New Roman" w:hAnsi="Times New Roman" w:eastAsia="宋体" w:cs="Times New Roman"/>
                <w:b w:val="0"/>
                <w:bCs w:val="0"/>
                <w:color w:val="000000"/>
                <w:kern w:val="0"/>
                <w:sz w:val="21"/>
                <w:szCs w:val="21"/>
                <w:highlight w:val="none"/>
                <w:lang w:val="en-US" w:eastAsia="zh-CN" w:bidi="ar"/>
              </w:rPr>
              <w:t>萍阳北路及萍洲大桥西岸匝道</w:t>
            </w:r>
            <w:r>
              <w:rPr>
                <w:rFonts w:hint="eastAsia" w:ascii="Times New Roman" w:hAnsi="Times New Roman" w:eastAsia="宋体" w:cs="Times New Roman"/>
                <w:b w:val="0"/>
                <w:bCs w:val="0"/>
                <w:color w:val="000000"/>
                <w:kern w:val="0"/>
                <w:sz w:val="21"/>
                <w:szCs w:val="21"/>
                <w:highlight w:val="none"/>
                <w:lang w:val="en-US" w:eastAsia="zh-CN" w:bidi="ar"/>
              </w:rPr>
              <w:t>昼夜车流量，</w:t>
            </w:r>
            <w:r>
              <w:rPr>
                <w:rFonts w:hint="default" w:ascii="Times New Roman" w:hAnsi="Times New Roman" w:eastAsia="宋体" w:cs="Times New Roman"/>
                <w:b w:val="0"/>
                <w:bCs w:val="0"/>
                <w:color w:val="000000"/>
                <w:kern w:val="0"/>
                <w:sz w:val="21"/>
                <w:szCs w:val="21"/>
                <w:highlight w:val="none"/>
                <w:lang w:val="en-US" w:eastAsia="zh-CN" w:bidi="ar"/>
              </w:rPr>
              <w:t>车型折算系数按小型车：中型车：大型车=1:1.5:2.5计，日均昼夜交通量比例约为</w:t>
            </w:r>
            <w:r>
              <w:rPr>
                <w:rFonts w:hint="eastAsia" w:ascii="Times New Roman" w:hAnsi="Times New Roman" w:eastAsia="宋体" w:cs="Times New Roman"/>
                <w:b w:val="0"/>
                <w:bCs w:val="0"/>
                <w:color w:val="000000"/>
                <w:kern w:val="0"/>
                <w:sz w:val="21"/>
                <w:szCs w:val="21"/>
                <w:highlight w:val="none"/>
                <w:lang w:val="en-US" w:eastAsia="zh-CN" w:bidi="ar"/>
              </w:rPr>
              <w:t>9:1</w:t>
            </w:r>
            <w:r>
              <w:rPr>
                <w:rFonts w:hint="default" w:ascii="Times New Roman" w:hAnsi="Times New Roman" w:eastAsia="宋体" w:cs="Times New Roman"/>
                <w:b w:val="0"/>
                <w:bCs w:val="0"/>
                <w:color w:val="000000"/>
                <w:kern w:val="0"/>
                <w:sz w:val="21"/>
                <w:szCs w:val="21"/>
                <w:highlight w:val="none"/>
                <w:lang w:val="en-US" w:eastAsia="zh-CN" w:bidi="ar"/>
              </w:rPr>
              <w:t>，则项目各道路的实际交通量见下表。</w:t>
            </w:r>
          </w:p>
          <w:p>
            <w:pPr>
              <w:pStyle w:val="44"/>
              <w:keepNext w:val="0"/>
              <w:keepLines w:val="0"/>
              <w:pageBreakBefore w:val="0"/>
              <w:widowControl w:val="0"/>
              <w:kinsoku/>
              <w:wordWrap/>
              <w:overflowPunct/>
              <w:topLinePunct w:val="0"/>
              <w:autoSpaceDE w:val="0"/>
              <w:autoSpaceDN w:val="0"/>
              <w:bidi w:val="0"/>
              <w:adjustRightInd w:val="0"/>
              <w:snapToGrid w:val="0"/>
              <w:spacing w:before="0" w:beforeLines="0"/>
              <w:textAlignment w:val="auto"/>
              <w:rPr>
                <w:rFonts w:hint="default"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表2-</w:t>
            </w:r>
            <w:r>
              <w:rPr>
                <w:rFonts w:hint="eastAsia" w:cs="Times New Roman"/>
                <w:b/>
                <w:bCs/>
                <w:color w:val="000000"/>
                <w:kern w:val="0"/>
                <w:sz w:val="21"/>
                <w:szCs w:val="21"/>
                <w:highlight w:val="none"/>
                <w:lang w:val="en-US" w:eastAsia="zh-CN" w:bidi="ar-SA"/>
              </w:rPr>
              <w:t xml:space="preserve">8 </w:t>
            </w:r>
            <w:r>
              <w:rPr>
                <w:rFonts w:hint="default" w:ascii="Times New Roman" w:hAnsi="Times New Roman" w:eastAsia="宋体" w:cs="Times New Roman"/>
                <w:b/>
                <w:bCs/>
                <w:color w:val="000000"/>
                <w:kern w:val="0"/>
                <w:sz w:val="21"/>
                <w:szCs w:val="21"/>
                <w:highlight w:val="none"/>
                <w:lang w:val="en-US" w:eastAsia="zh-CN" w:bidi="ar-SA"/>
              </w:rPr>
              <w:t>车型小时平均车流量一览表  单位：辆/h</w:t>
            </w:r>
          </w:p>
          <w:tbl>
            <w:tblPr>
              <w:tblStyle w:val="40"/>
              <w:tblW w:w="7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48"/>
              <w:gridCol w:w="948"/>
              <w:gridCol w:w="1640"/>
              <w:gridCol w:w="1137"/>
              <w:gridCol w:w="1158"/>
              <w:gridCol w:w="1071"/>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94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道路</w:t>
                  </w:r>
                </w:p>
              </w:tc>
              <w:tc>
                <w:tcPr>
                  <w:tcW w:w="94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运营年</w:t>
                  </w: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指标</w:t>
                  </w:r>
                </w:p>
              </w:tc>
              <w:tc>
                <w:tcPr>
                  <w:tcW w:w="113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小型</w:t>
                  </w:r>
                </w:p>
              </w:tc>
              <w:tc>
                <w:tcPr>
                  <w:tcW w:w="11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中型</w:t>
                  </w:r>
                </w:p>
              </w:tc>
              <w:tc>
                <w:tcPr>
                  <w:tcW w:w="107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大型</w:t>
                  </w:r>
                </w:p>
              </w:tc>
              <w:tc>
                <w:tcPr>
                  <w:tcW w:w="8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萍阳北路延伸段</w:t>
                  </w:r>
                </w:p>
              </w:tc>
              <w:tc>
                <w:tcPr>
                  <w:tcW w:w="948"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近期</w:t>
                  </w: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367</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日平均（辆/d</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6533</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1157</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138</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48"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中期</w:t>
                  </w: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524</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116</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日平均（辆/d</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9318</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1657</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166</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48"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远期</w:t>
                  </w: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828</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155</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日平均（辆/d</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14724</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2754</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175</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restart"/>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kern w:val="2"/>
                      <w:sz w:val="21"/>
                      <w:szCs w:val="21"/>
                      <w:highlight w:val="none"/>
                      <w:u w:val="none" w:color="auto"/>
                    </w:rPr>
                    <w:t>萍洲大桥西岸匝道</w:t>
                  </w:r>
                </w:p>
              </w:tc>
              <w:tc>
                <w:tcPr>
                  <w:tcW w:w="948" w:type="dxa"/>
                  <w:vMerge w:val="restart"/>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近期</w:t>
                  </w: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184</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w:t>
                  </w:r>
                  <w:r>
                    <w:rPr>
                      <w:rFonts w:hint="default" w:eastAsia="宋体"/>
                      <w:color w:val="000000"/>
                      <w:kern w:val="2"/>
                      <w:sz w:val="21"/>
                      <w:szCs w:val="21"/>
                      <w:u w:val="none"/>
                      <w:lang w:val="en-US" w:eastAsia="zh-CN" w:bidi="ar"/>
                    </w:rPr>
                    <w:t>/d</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3269</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579</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48" w:type="dxa"/>
                  <w:vMerge w:val="restart"/>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中期</w:t>
                  </w: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58</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w:t>
                  </w:r>
                  <w:r>
                    <w:rPr>
                      <w:rFonts w:hint="default" w:eastAsia="宋体"/>
                      <w:color w:val="000000"/>
                      <w:kern w:val="2"/>
                      <w:sz w:val="21"/>
                      <w:szCs w:val="21"/>
                      <w:u w:val="none"/>
                      <w:lang w:val="en-US" w:eastAsia="zh-CN" w:bidi="ar"/>
                    </w:rPr>
                    <w:t>/d</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4660</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828</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48" w:type="dxa"/>
                  <w:vMerge w:val="restart"/>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远期</w:t>
                  </w: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414</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948"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w:t>
                  </w:r>
                  <w:r>
                    <w:rPr>
                      <w:rFonts w:hint="default" w:eastAsia="宋体"/>
                      <w:color w:val="000000"/>
                      <w:kern w:val="2"/>
                      <w:sz w:val="21"/>
                      <w:szCs w:val="21"/>
                      <w:u w:val="none"/>
                      <w:lang w:val="en-US" w:eastAsia="zh-CN" w:bidi="ar"/>
                    </w:rPr>
                    <w:t>/d</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7358</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1376</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8821</w:t>
                  </w:r>
                </w:p>
              </w:tc>
            </w:tr>
          </w:tbl>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r>
              <w:rPr>
                <w:rFonts w:hint="eastAsia" w:cs="Times New Roman"/>
                <w:bCs/>
                <w:color w:val="000000"/>
                <w:sz w:val="21"/>
                <w:szCs w:val="21"/>
                <w:highlight w:val="none"/>
                <w:lang w:val="en-US" w:eastAsia="zh-CN"/>
              </w:rPr>
              <w:t>2.5.2 道路工程</w:t>
            </w:r>
          </w:p>
          <w:p>
            <w:pPr>
              <w:spacing w:line="360" w:lineRule="auto"/>
              <w:ind w:firstLine="480"/>
              <w:rPr>
                <w:rFonts w:hint="eastAsia"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①</w:t>
            </w:r>
            <w:r>
              <w:rPr>
                <w:rFonts w:hint="eastAsia" w:ascii="Times New Roman" w:hAnsi="Times New Roman" w:eastAsia="宋体" w:cs="Times New Roman"/>
                <w:b/>
                <w:bCs/>
                <w:color w:val="000000"/>
                <w:sz w:val="21"/>
                <w:szCs w:val="21"/>
                <w:highlight w:val="none"/>
                <w:lang w:val="en-US" w:eastAsia="zh-CN"/>
              </w:rPr>
              <w:t>萍阳北路延伸段</w:t>
            </w:r>
          </w:p>
          <w:p>
            <w:pPr>
              <w:spacing w:line="360" w:lineRule="auto"/>
              <w:ind w:firstLine="480"/>
              <w:rPr>
                <w:rFonts w:hint="eastAsia" w:ascii="Times New Roman" w:hAnsi="Times New Roman" w:eastAsia="宋体" w:cs="Times New Roman"/>
                <w:color w:val="000000"/>
                <w:sz w:val="21"/>
                <w:szCs w:val="21"/>
                <w:highlight w:val="none"/>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1</w:t>
            </w:r>
            <w:r>
              <w:rPr>
                <w:rFonts w:hint="eastAsia"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道路平面设计</w:t>
            </w:r>
          </w:p>
          <w:p>
            <w:pPr>
              <w:spacing w:line="360" w:lineRule="auto"/>
              <w:ind w:firstLine="48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萍阳北路起点为零陵卷烟厂物流门，终点至萍洲大桥西岸匝道北，为城市主干道，道路全长1560m，起点为0+280，终点为1+840。红线宽度36m，道路平面线形按审批通过的方案进行布置。沿线与以下道路相交：自南往北依次与石渠路（规划）、广丰路（规划）、萍州大桥西匝道（规划）相交。</w:t>
            </w:r>
          </w:p>
          <w:p>
            <w:pPr>
              <w:spacing w:line="360" w:lineRule="auto"/>
              <w:ind w:firstLine="480"/>
              <w:rPr>
                <w:rFonts w:hint="eastAsia" w:ascii="Times New Roman" w:hAnsi="Times New Roman" w:eastAsia="宋体" w:cs="Times New Roman"/>
                <w:color w:val="000000"/>
                <w:sz w:val="21"/>
                <w:szCs w:val="21"/>
                <w:highlight w:val="none"/>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2</w:t>
            </w:r>
            <w:r>
              <w:rPr>
                <w:rFonts w:hint="eastAsia"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道路纵断面设计</w:t>
            </w:r>
          </w:p>
          <w:p>
            <w:pPr>
              <w:spacing w:line="360" w:lineRule="auto"/>
              <w:ind w:firstLine="48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本项目纵断面设计结合周边现状、规划控制高程实施，主要控制因素：道路起点零陵卷烟厂物流门前现状道路标高，防洪堤设计标高。</w:t>
            </w:r>
          </w:p>
          <w:p>
            <w:pPr>
              <w:spacing w:line="360" w:lineRule="auto"/>
              <w:ind w:firstLine="480"/>
              <w:rPr>
                <w:rFonts w:hint="eastAsia" w:ascii="Times New Roman" w:hAnsi="Times New Roman" w:eastAsia="宋体" w:cs="Times New Roman"/>
                <w:color w:val="000000"/>
                <w:sz w:val="21"/>
                <w:szCs w:val="21"/>
                <w:highlight w:val="none"/>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3</w:t>
            </w:r>
            <w:r>
              <w:rPr>
                <w:rFonts w:hint="eastAsia"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道路横断面设计</w:t>
            </w:r>
          </w:p>
          <w:p>
            <w:pPr>
              <w:spacing w:line="360" w:lineRule="auto"/>
              <w:ind w:firstLine="48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根据批复的方案设计，道路全线分为三个标准横断面为：</w:t>
            </w:r>
          </w:p>
          <w:p>
            <w:pPr>
              <w:spacing w:line="360" w:lineRule="auto"/>
              <w:ind w:firstLine="48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萍阳北路现状改造路段（K0+280-K0+520）段：2.5m（自行车道）+3.3-4.8m（人行道）+8m（车行道）+3m(中央绿化带)+8m（车行道）+3.0m（人行道）</w:t>
            </w:r>
          </w:p>
          <w:p>
            <w:pPr>
              <w:spacing w:line="360" w:lineRule="auto"/>
              <w:ind w:firstLine="48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萍阳北路（K0+520-K1+560）段：2.5（自行车道）+3.5m（人行道）+8m(绿化带)+8m（车行道）+3m(中央绿化带)+8m（车行道）+3.0m（人行道）=36m</w:t>
            </w:r>
          </w:p>
          <w:p>
            <w:pPr>
              <w:spacing w:line="360" w:lineRule="auto"/>
              <w:ind w:firstLine="48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萍阳北路（K1+560-K1+840）段：2.5（自行车道）+3.5m（人行道）+8m（车行道）+3m(中央绿化带)+8m（车行道）+3.0m（人行道）=28m</w:t>
            </w:r>
          </w:p>
          <w:p>
            <w:pPr>
              <w:spacing w:line="360" w:lineRule="auto"/>
              <w:ind w:firstLine="480"/>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机动车道采用1.5%的横坡，人行道及自行车道采用1.5%的横坡，路口及人行过街处均按无障碍要求设置人行坡道。</w:t>
            </w:r>
          </w:p>
          <w:p>
            <w:pPr>
              <w:spacing w:line="360" w:lineRule="auto"/>
              <w:jc w:val="center"/>
              <w:rPr>
                <w:rFonts w:hint="eastAsia" w:cs="Times New Roman"/>
                <w:color w:val="000000"/>
                <w:sz w:val="21"/>
                <w:szCs w:val="21"/>
                <w:highlight w:val="none"/>
                <w:lang w:val="en-US" w:eastAsia="zh-CN"/>
              </w:rPr>
            </w:pPr>
            <w:r>
              <w:drawing>
                <wp:inline distT="0" distB="0" distL="114300" distR="114300">
                  <wp:extent cx="4062730" cy="1964055"/>
                  <wp:effectExtent l="0" t="0" r="13970" b="171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7"/>
                          <a:srcRect b="3814"/>
                          <a:stretch>
                            <a:fillRect/>
                          </a:stretch>
                        </pic:blipFill>
                        <pic:spPr>
                          <a:xfrm>
                            <a:off x="0" y="0"/>
                            <a:ext cx="4062730" cy="1964055"/>
                          </a:xfrm>
                          <a:prstGeom prst="rect">
                            <a:avLst/>
                          </a:prstGeom>
                          <a:noFill/>
                          <a:ln>
                            <a:noFill/>
                          </a:ln>
                        </pic:spPr>
                      </pic:pic>
                    </a:graphicData>
                  </a:graphic>
                </wp:inline>
              </w:drawing>
            </w:r>
          </w:p>
          <w:p>
            <w:pPr>
              <w:spacing w:line="360" w:lineRule="auto"/>
              <w:jc w:val="center"/>
              <w:rPr>
                <w:rFonts w:hint="default"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图2-2 萍阳北路延伸段横断面设计图</w:t>
            </w:r>
          </w:p>
          <w:p>
            <w:pPr>
              <w:spacing w:line="360" w:lineRule="auto"/>
              <w:ind w:firstLine="48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4</w:t>
            </w:r>
            <w:r>
              <w:rPr>
                <w:rFonts w:hint="eastAsia"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路基设置</w:t>
            </w:r>
          </w:p>
          <w:p>
            <w:pPr>
              <w:spacing w:line="360" w:lineRule="auto"/>
              <w:ind w:firstLine="480"/>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1、路基设计标高：路基施工标高为设计标高减路面厚度。</w:t>
            </w:r>
          </w:p>
          <w:p>
            <w:pPr>
              <w:spacing w:line="360" w:lineRule="auto"/>
              <w:ind w:firstLine="480"/>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2、路拱横坡：行车道采用1.5%的向外横坡。</w:t>
            </w:r>
          </w:p>
          <w:p>
            <w:pPr>
              <w:spacing w:line="360" w:lineRule="auto"/>
              <w:ind w:firstLine="480"/>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3、路基边坡：路基挖方（土方）边坡坡比为1:1.25，高度小于8m填方边坡坡比为1:1.5，当填方高度大于8m时，上部8m采用1：1.25坡比，8m以下采用1:1.25（具体根据地质勘察报告确定），采用S形弧线边坡，与现状地形顺接，避免出现尖角等人工痕迹，边坡表面均进行草皮防护；挖方每隔8m高度设置一个2m宽平台，平台顶底角均用2.5m半径圆弧圆顺；坡脚、平台及坡顶相应设置排水沟；填方边坡坡脚设置排水沟。</w:t>
            </w:r>
          </w:p>
          <w:p>
            <w:pPr>
              <w:spacing w:line="360" w:lineRule="auto"/>
              <w:ind w:firstLine="480"/>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4、路基边坡防护：</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填方边坡防护</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a）对于一般填方路基，当边坡高度H≤3.0m时，采用植草护坡；当填方边坡高度H＞3.0m时，边坡均采用挂三维网植草护坡。</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b）当现况地面横坡坡度大于1:5时，应对现状地面进行开台阶。</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挖方边坡防护</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本道路挖方坡度均较低，考虑实际情况本次道路挖方边坡采用处理方式如下：</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a）对于一般挖方路基，当边坡高度H≤3.0m时，采用植草护坡；当挖方边坡高度H＞3.0m时，边坡均采用挂三维网植草护坡。</w:t>
            </w:r>
          </w:p>
          <w:p>
            <w:pPr>
              <w:spacing w:line="360" w:lineRule="auto"/>
              <w:ind w:firstLine="480"/>
              <w:rPr>
                <w:rFonts w:hint="eastAsia"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②萍州大桥西匝道</w:t>
            </w:r>
          </w:p>
          <w:p>
            <w:pPr>
              <w:spacing w:line="360" w:lineRule="auto"/>
              <w:ind w:firstLine="480"/>
              <w:rPr>
                <w:rFonts w:hint="eastAsia" w:ascii="Times New Roman" w:hAnsi="Times New Roman" w:eastAsia="宋体" w:cs="Times New Roman"/>
                <w:color w:val="000000"/>
                <w:sz w:val="21"/>
                <w:szCs w:val="21"/>
                <w:highlight w:val="none"/>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1</w:t>
            </w:r>
            <w:r>
              <w:rPr>
                <w:rFonts w:hint="eastAsia"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道路平面设计</w:t>
            </w:r>
          </w:p>
          <w:p>
            <w:pPr>
              <w:spacing w:line="360" w:lineRule="auto"/>
              <w:ind w:firstLine="48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西岸匝道起点</w:t>
            </w:r>
            <w:r>
              <w:rPr>
                <w:rFonts w:hint="eastAsia"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终点</w:t>
            </w:r>
            <w:r>
              <w:rPr>
                <w:rFonts w:hint="eastAsia" w:cs="Times New Roman"/>
                <w:color w:val="000000"/>
                <w:sz w:val="21"/>
                <w:szCs w:val="21"/>
                <w:highlight w:val="none"/>
                <w:lang w:val="en-US" w:eastAsia="zh-CN"/>
              </w:rPr>
              <w:t>均</w:t>
            </w:r>
            <w:r>
              <w:rPr>
                <w:rFonts w:hint="eastAsia" w:ascii="Times New Roman" w:hAnsi="Times New Roman" w:eastAsia="宋体" w:cs="Times New Roman"/>
                <w:color w:val="000000"/>
                <w:sz w:val="21"/>
                <w:szCs w:val="21"/>
                <w:highlight w:val="none"/>
              </w:rPr>
              <w:t>为萍阳北路，为城市支路，道路全长506.307m，红线宽度18m，道路平面线形按审批通过的方案进行布置。沿线与以下道路相交：萍阳北路（规划）、萍洲西路（现状）。</w:t>
            </w:r>
          </w:p>
          <w:p>
            <w:pPr>
              <w:spacing w:line="360" w:lineRule="auto"/>
              <w:ind w:firstLine="480"/>
              <w:rPr>
                <w:rFonts w:hint="eastAsia" w:ascii="Times New Roman" w:hAnsi="Times New Roman" w:eastAsia="宋体" w:cs="Times New Roman"/>
                <w:color w:val="000000"/>
                <w:sz w:val="21"/>
                <w:szCs w:val="21"/>
                <w:highlight w:val="none"/>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2</w:t>
            </w:r>
            <w:r>
              <w:rPr>
                <w:rFonts w:hint="eastAsia"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道路纵断面设计</w:t>
            </w:r>
          </w:p>
          <w:p>
            <w:pPr>
              <w:spacing w:line="360" w:lineRule="auto"/>
              <w:ind w:firstLine="48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本项目纵断面设计结合周边现状、规划控制高程实施，主要控制因素：道路起点萍阳北路设计标高、萍洲西路现状标高，防洪堤设计标高。</w:t>
            </w:r>
          </w:p>
          <w:p>
            <w:pPr>
              <w:spacing w:line="360" w:lineRule="auto"/>
              <w:ind w:firstLine="480"/>
              <w:rPr>
                <w:rFonts w:hint="eastAsia" w:ascii="Times New Roman" w:hAnsi="Times New Roman" w:eastAsia="宋体" w:cs="Times New Roman"/>
                <w:color w:val="000000"/>
                <w:sz w:val="21"/>
                <w:szCs w:val="21"/>
                <w:highlight w:val="none"/>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3</w:t>
            </w:r>
            <w:r>
              <w:rPr>
                <w:rFonts w:hint="eastAsia"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道路横断面设计</w:t>
            </w:r>
          </w:p>
          <w:p>
            <w:pPr>
              <w:spacing w:line="360" w:lineRule="auto"/>
              <w:ind w:firstLine="480"/>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根据批复的方案设计，道路全线标准横断面为：4.5m人行道+9m车行道+4.5m人行道=18m机动车道采用1.5%的横坡，人行道及自行车道采用1.5%的横坡，路口及人行过街处均按无障碍要求设置人行坡道。</w:t>
            </w:r>
          </w:p>
          <w:p>
            <w:pPr>
              <w:spacing w:line="360" w:lineRule="auto"/>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drawing>
                <wp:inline distT="0" distB="0" distL="114300" distR="114300">
                  <wp:extent cx="4590415" cy="2466340"/>
                  <wp:effectExtent l="0" t="0" r="12065" b="2540"/>
                  <wp:docPr id="21" name="图片 2"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09"/>
                          <pic:cNvPicPr>
                            <a:picLocks noChangeAspect="1"/>
                          </pic:cNvPicPr>
                        </pic:nvPicPr>
                        <pic:blipFill>
                          <a:blip r:embed="rId28"/>
                          <a:srcRect l="9340" r="13148" b="7863"/>
                          <a:stretch>
                            <a:fillRect/>
                          </a:stretch>
                        </pic:blipFill>
                        <pic:spPr>
                          <a:xfrm>
                            <a:off x="0" y="0"/>
                            <a:ext cx="4590415" cy="2466340"/>
                          </a:xfrm>
                          <a:prstGeom prst="rect">
                            <a:avLst/>
                          </a:prstGeom>
                          <a:noFill/>
                          <a:ln>
                            <a:noFill/>
                          </a:ln>
                        </pic:spPr>
                      </pic:pic>
                    </a:graphicData>
                  </a:graphic>
                </wp:inline>
              </w:drawing>
            </w:r>
          </w:p>
          <w:p>
            <w:pPr>
              <w:spacing w:line="360" w:lineRule="auto"/>
              <w:jc w:val="center"/>
              <w:rPr>
                <w:rFonts w:hint="default"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图2-3 萍州大桥西匝道横断面设计图</w:t>
            </w:r>
          </w:p>
          <w:p>
            <w:pPr>
              <w:spacing w:line="360" w:lineRule="auto"/>
              <w:ind w:firstLine="48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4</w:t>
            </w:r>
            <w:r>
              <w:rPr>
                <w:rFonts w:hint="eastAsia"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路基设置</w:t>
            </w:r>
          </w:p>
          <w:p>
            <w:pPr>
              <w:spacing w:line="360" w:lineRule="auto"/>
              <w:ind w:firstLine="480"/>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1、路基设计标高：路基施工标高为设计标高减路面厚度。</w:t>
            </w:r>
          </w:p>
          <w:p>
            <w:pPr>
              <w:spacing w:line="360" w:lineRule="auto"/>
              <w:ind w:firstLine="480"/>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2、路拱横坡：行车道采用1.5%的向外横坡。</w:t>
            </w:r>
          </w:p>
          <w:p>
            <w:pPr>
              <w:spacing w:line="360" w:lineRule="auto"/>
              <w:ind w:firstLine="480"/>
              <w:rPr>
                <w:rFonts w:hint="eastAsia"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3、路基边坡：路基挖方（土方）边坡坡比为1:1.25，高度小于8m填方边坡坡比为1:1.5，当填方高度大于8m时，上部8m采用1：1.25坡比，8m以下采用1:1.25（具体根据地质勘察报告确定），采用S形弧线边坡，与现状地形顺接，避免出现尖角等人工痕迹，边坡表面均进行草皮防护；挖方每隔8m高度设置一个2m宽平台，平台顶底角均用2.5m半径圆弧圆顺；坡脚、平台及坡顶相应设置排水沟；填方边坡坡脚设置排水沟。</w:t>
            </w:r>
          </w:p>
          <w:p>
            <w:pPr>
              <w:spacing w:line="360" w:lineRule="auto"/>
              <w:ind w:firstLine="480"/>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4、路基边坡防护：</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填方边坡防护</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a）对于一般填方路基，当边坡高度H≤3.0m时，采用植草护坡；当填方边坡高度H＞3.0m时，边坡均采用挂三维网植草护坡。</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b）当现况地面横坡坡度大于1:5时，应对现状地面进行开台阶。</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挖方边坡防护</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本道路挖方坡度均较低，考虑实际情况本次道路挖方边坡采用处理方式如下：</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a）对于一般挖方路基，当边坡高度H≤3.0m时，采用植草护坡；当挖方边坡高度H＞3.0m时，边坡均采用挂三维网植草护坡。</w:t>
            </w:r>
          </w:p>
          <w:p>
            <w:pPr>
              <w:pStyle w:val="192"/>
              <w:keepNext/>
              <w:keepLines/>
              <w:pageBreakBefore w:val="0"/>
              <w:widowControl w:val="0"/>
              <w:kinsoku/>
              <w:wordWrap/>
              <w:overflowPunct/>
              <w:topLinePunct w:val="0"/>
              <w:autoSpaceDE/>
              <w:autoSpaceDN/>
              <w:bidi w:val="0"/>
              <w:adjustRightInd w:val="0"/>
              <w:snapToGrid w:val="0"/>
              <w:spacing w:before="0" w:after="0" w:line="360" w:lineRule="auto"/>
              <w:ind w:firstLine="422" w:firstLineChars="200"/>
              <w:textAlignment w:val="auto"/>
              <w:outlineLvl w:val="2"/>
              <w:rPr>
                <w:rFonts w:hint="default" w:ascii="Times New Roman" w:hAnsi="Times New Roman" w:eastAsia="宋体" w:cs="Times New Roman"/>
                <w:b/>
                <w:bCs/>
                <w:color w:val="000000"/>
                <w:sz w:val="21"/>
                <w:szCs w:val="21"/>
                <w:highlight w:val="none"/>
                <w:lang w:val="en-US" w:eastAsia="zh-CN" w:bidi="ar-SA"/>
              </w:rPr>
            </w:pPr>
            <w:r>
              <w:rPr>
                <w:rFonts w:hint="eastAsia" w:ascii="Times New Roman" w:hAnsi="Times New Roman" w:cs="Times New Roman"/>
                <w:b/>
                <w:bCs/>
                <w:color w:val="000000"/>
                <w:sz w:val="21"/>
                <w:szCs w:val="21"/>
                <w:highlight w:val="none"/>
                <w:lang w:val="en-US" w:eastAsia="zh-CN" w:bidi="ar-SA"/>
              </w:rPr>
              <w:t>③旧路改造</w:t>
            </w:r>
          </w:p>
          <w:p>
            <w:pPr>
              <w:spacing w:line="360" w:lineRule="auto"/>
              <w:ind w:firstLine="480"/>
              <w:rPr>
                <w:rFonts w:hint="default" w:ascii="Times New Roman" w:hAnsi="Times New Roman" w:eastAsia="宋体" w:cs="Times New Roman"/>
                <w:color w:val="000000"/>
                <w:sz w:val="21"/>
                <w:szCs w:val="21"/>
                <w:highlight w:val="none"/>
                <w:u w:val="single"/>
                <w:lang w:val="en-US" w:eastAsia="zh-CN"/>
              </w:rPr>
            </w:pPr>
            <w:r>
              <w:rPr>
                <w:rFonts w:hint="default" w:ascii="Times New Roman" w:hAnsi="Times New Roman" w:eastAsia="宋体" w:cs="Times New Roman"/>
                <w:color w:val="000000"/>
                <w:sz w:val="21"/>
                <w:szCs w:val="21"/>
                <w:highlight w:val="none"/>
                <w:u w:val="single"/>
                <w:lang w:val="en-US" w:eastAsia="zh-CN"/>
              </w:rPr>
              <w:t>本次设计萍阳北路桩号（0+000至0+520）段为旧路改造工程</w:t>
            </w:r>
            <w:r>
              <w:rPr>
                <w:rFonts w:hint="eastAsia" w:ascii="Times New Roman" w:hAnsi="Times New Roman" w:cs="Times New Roman"/>
                <w:color w:val="000000"/>
                <w:sz w:val="21"/>
                <w:szCs w:val="21"/>
                <w:highlight w:val="none"/>
                <w:u w:val="single"/>
                <w:lang w:val="en-US" w:eastAsia="zh-CN"/>
              </w:rPr>
              <w:t>，</w:t>
            </w:r>
            <w:r>
              <w:rPr>
                <w:rFonts w:hint="default" w:ascii="Times New Roman" w:hAnsi="Times New Roman" w:eastAsia="宋体" w:cs="Times New Roman"/>
                <w:color w:val="000000"/>
                <w:sz w:val="21"/>
                <w:szCs w:val="21"/>
                <w:highlight w:val="none"/>
                <w:u w:val="single"/>
                <w:lang w:val="en-US" w:eastAsia="zh-CN"/>
              </w:rPr>
              <w:t>现状道路实施有一定年限，部分道路为水泥板块，部分为沥青面层。根据现场查勘发现现状路面存在大部分病害板块，道路宽度各不相同平面也与本次设计有一定偏差采用修补方式对新建道路质量产生较大影响。新设计纵断面将比原道路稍高出20-80cm，采用加铺方式不适合本道路实际情况，因此本次设计将原旧路段路面结构进行挖除改造。</w:t>
            </w:r>
          </w:p>
          <w:p>
            <w:pPr>
              <w:pStyle w:val="192"/>
              <w:keepNext/>
              <w:keepLines/>
              <w:pageBreakBefore w:val="0"/>
              <w:widowControl w:val="0"/>
              <w:kinsoku/>
              <w:wordWrap/>
              <w:overflowPunct/>
              <w:topLinePunct w:val="0"/>
              <w:autoSpaceDE/>
              <w:autoSpaceDN/>
              <w:bidi w:val="0"/>
              <w:adjustRightInd w:val="0"/>
              <w:snapToGrid w:val="0"/>
              <w:spacing w:before="0" w:after="0" w:line="360" w:lineRule="auto"/>
              <w:ind w:firstLine="422" w:firstLineChars="200"/>
              <w:textAlignment w:val="auto"/>
              <w:outlineLvl w:val="2"/>
              <w:rPr>
                <w:rFonts w:hint="default" w:ascii="Times New Roman" w:hAnsi="Times New Roman" w:eastAsia="宋体" w:cs="Times New Roman"/>
                <w:b/>
                <w:bCs/>
                <w:color w:val="000000"/>
                <w:sz w:val="21"/>
                <w:szCs w:val="21"/>
                <w:highlight w:val="none"/>
                <w:lang w:val="en-US" w:eastAsia="zh-CN" w:bidi="ar-SA"/>
              </w:rPr>
            </w:pPr>
            <w:r>
              <w:rPr>
                <w:rFonts w:hint="eastAsia" w:ascii="Times New Roman" w:hAnsi="Times New Roman" w:cs="Times New Roman"/>
                <w:b/>
                <w:bCs/>
                <w:color w:val="000000"/>
                <w:sz w:val="21"/>
                <w:szCs w:val="21"/>
                <w:highlight w:val="none"/>
                <w:lang w:val="en-US" w:eastAsia="zh-CN" w:bidi="ar-SA"/>
              </w:rPr>
              <w:t>④公交车站布置</w:t>
            </w:r>
          </w:p>
          <w:p>
            <w:pPr>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本工程</w:t>
            </w:r>
            <w:r>
              <w:rPr>
                <w:rFonts w:hint="eastAsia" w:ascii="Times New Roman" w:hAnsi="Times New Roman" w:eastAsia="宋体" w:cs="Times New Roman"/>
                <w:color w:val="000000"/>
                <w:sz w:val="21"/>
                <w:szCs w:val="21"/>
                <w:highlight w:val="none"/>
                <w:lang w:val="en-US" w:eastAsia="zh-CN"/>
              </w:rPr>
              <w:t>拟在萍阳北路延伸段采用港湾式公交停靠站，问距400~800米。站台铺装宽度为2.0m、长为30m，结构与人行道结构一致；考虑现有萍阳北路段在K0-080附近有现状公交车站，本次道路仅设置2处公交站满足规范间距要求。</w:t>
            </w:r>
          </w:p>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r>
              <w:rPr>
                <w:rFonts w:hint="eastAsia" w:cs="Times New Roman"/>
                <w:bCs/>
                <w:color w:val="000000"/>
                <w:sz w:val="21"/>
                <w:szCs w:val="21"/>
                <w:highlight w:val="none"/>
                <w:lang w:val="en-US" w:eastAsia="zh-CN"/>
              </w:rPr>
              <w:t>2.5.3 管线工程</w:t>
            </w:r>
          </w:p>
          <w:p>
            <w:pPr>
              <w:spacing w:line="360" w:lineRule="auto"/>
              <w:ind w:firstLine="480"/>
              <w:rPr>
                <w:rFonts w:hint="eastAsia"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①</w:t>
            </w:r>
            <w:r>
              <w:rPr>
                <w:rFonts w:hint="eastAsia" w:ascii="Times New Roman" w:hAnsi="Times New Roman" w:eastAsia="宋体" w:cs="Times New Roman"/>
                <w:b/>
                <w:bCs/>
                <w:color w:val="000000"/>
                <w:sz w:val="21"/>
                <w:szCs w:val="21"/>
                <w:highlight w:val="none"/>
                <w:lang w:val="en-US" w:eastAsia="zh-CN"/>
              </w:rPr>
              <w:t>萍阳北路延伸段</w:t>
            </w:r>
          </w:p>
          <w:p>
            <w:pPr>
              <w:spacing w:line="360" w:lineRule="auto"/>
              <w:ind w:firstLine="48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1</w:t>
            </w:r>
            <w:r>
              <w:rPr>
                <w:rFonts w:hint="eastAsia" w:cs="Times New Roman"/>
                <w:color w:val="000000"/>
                <w:sz w:val="21"/>
                <w:szCs w:val="21"/>
                <w:highlight w:val="none"/>
                <w:lang w:eastAsia="zh-CN"/>
              </w:rPr>
              <w:t>）给水</w:t>
            </w:r>
            <w:r>
              <w:rPr>
                <w:rFonts w:hint="eastAsia" w:cs="Times New Roman"/>
                <w:color w:val="000000"/>
                <w:sz w:val="21"/>
                <w:szCs w:val="21"/>
                <w:highlight w:val="none"/>
                <w:lang w:val="en-US" w:eastAsia="zh-CN"/>
              </w:rPr>
              <w:t>管道</w:t>
            </w:r>
          </w:p>
          <w:p>
            <w:pPr>
              <w:spacing w:line="360" w:lineRule="auto"/>
              <w:ind w:firstLine="480"/>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根据《零陵区河西片控制性详细规划》给水工程规划图及初步设计方案设计时自来水公司意见，本次设计新建给水管管径为DN300</w:t>
            </w:r>
            <w:r>
              <w:rPr>
                <w:rFonts w:hint="eastAsia"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单侧布置在西侧，根据不同断面给水管线距道路中心线分别为12.5米及20.5米，给水管道按规范要求设置消火栓，消火栓间距不大于120米。沿给水管道顶部上方30cm处铺设PE材质警示带，宽20cm，厚0.2cm。</w:t>
            </w:r>
          </w:p>
          <w:p>
            <w:pPr>
              <w:spacing w:line="360" w:lineRule="auto"/>
              <w:ind w:firstLine="480"/>
              <w:rPr>
                <w:rFonts w:hint="eastAsia" w:ascii="Times New Roman" w:hAnsi="Times New Roman" w:eastAsia="宋体" w:cs="Times New Roman"/>
                <w:color w:val="000000"/>
                <w:sz w:val="21"/>
                <w:szCs w:val="21"/>
                <w:highlight w:val="none"/>
                <w:lang w:eastAsia="zh-CN"/>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2</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雨水管道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根据《零陵区河西片控制性详细规划》及相关批复文件与技术规范要求，结合现场实际情况道路雨水排放如下：1、0+280至0+780路段雨水管径为DN800，自两侧排向中间部位，在桩号0+510附近排入潇水。2、0+800至1+080路段雨水管径为DN800</w:t>
            </w:r>
            <w:r>
              <w:rPr>
                <w:rFonts w:hint="eastAsia"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自北向南排向石渠路，在桩号0+800附近排入潇水。3、1+080至道路终点雨水管径为DN800-DN1200，自南向北排向道路终点，在道路终点排入潇水。4、雨水管道布置在道路两侧。</w:t>
            </w:r>
          </w:p>
          <w:p>
            <w:pPr>
              <w:spacing w:line="360" w:lineRule="auto"/>
              <w:ind w:firstLine="482"/>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3</w:t>
            </w: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污水管道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根据《零陵区河西片控制性详细规划》及相关批复文件与技术规范要求，结合现场实际情况道路污水排放如下：1、0+280至1+250路段污水管径为DN1500，自南向北排向污水过江管道。2、1+250至道路终点段污水管径为DN600，自北向南排向污水过江管道。</w:t>
            </w:r>
          </w:p>
          <w:p>
            <w:pPr>
              <w:spacing w:line="360" w:lineRule="auto"/>
              <w:ind w:firstLine="482"/>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4</w:t>
            </w: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电力管道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本次设计电力管道采用C-PVC-175×8.0管，道路纵向排管12回，单侧敷设在道路西侧0+280至0+520段距离中线11米，0+520至1+540段距离中线19米，1+540至道路终点距离中线11米，道路拓宽处按实调整，横管在交叉口位置进行预留，横管预埋12回。接用地侧管道采用8回。</w:t>
            </w:r>
          </w:p>
          <w:p>
            <w:pPr>
              <w:spacing w:line="360" w:lineRule="auto"/>
              <w:ind w:firstLine="482"/>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5</w:t>
            </w: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通讯管道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根据《零陵区河西片控制性详细规划》和《零陵区萍洲片控制性详细规划》通讯工程规划图，本次设计通讯管采用PVC-110*5管，道路纵向排管8回单侧布置在道路西侧，道路交叉口处预留横管。</w:t>
            </w:r>
          </w:p>
          <w:p>
            <w:pPr>
              <w:spacing w:line="360" w:lineRule="auto"/>
              <w:ind w:firstLine="482"/>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6</w:t>
            </w: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燃气管道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燃气工程不在本次设计范围内，本次设计只对燃气管道进行横断面位置预留。</w:t>
            </w:r>
          </w:p>
          <w:p>
            <w:pPr>
              <w:spacing w:line="360" w:lineRule="auto"/>
              <w:ind w:firstLine="480"/>
              <w:rPr>
                <w:rFonts w:hint="eastAsia"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②萍州大桥西匝道</w:t>
            </w:r>
          </w:p>
          <w:p>
            <w:pPr>
              <w:spacing w:line="360" w:lineRule="auto"/>
              <w:ind w:firstLine="480"/>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1</w:t>
            </w:r>
            <w:r>
              <w:rPr>
                <w:rFonts w:hint="eastAsia" w:cs="Times New Roman"/>
                <w:color w:val="000000"/>
                <w:sz w:val="21"/>
                <w:szCs w:val="21"/>
                <w:highlight w:val="none"/>
                <w:lang w:eastAsia="zh-CN"/>
              </w:rPr>
              <w:t>）给水</w:t>
            </w:r>
            <w:r>
              <w:rPr>
                <w:rFonts w:hint="eastAsia" w:cs="Times New Roman"/>
                <w:color w:val="000000"/>
                <w:sz w:val="21"/>
                <w:szCs w:val="21"/>
                <w:highlight w:val="none"/>
                <w:lang w:val="en-US" w:eastAsia="zh-CN"/>
              </w:rPr>
              <w:t>管道</w:t>
            </w:r>
          </w:p>
          <w:p>
            <w:pPr>
              <w:spacing w:line="360" w:lineRule="auto"/>
              <w:ind w:firstLine="480"/>
              <w:rPr>
                <w:rFonts w:ascii="Times New Roman" w:hAnsi="Times New Roman" w:eastAsia="宋体" w:cs="Times New Roman"/>
                <w:color w:val="000000"/>
                <w:sz w:val="21"/>
                <w:szCs w:val="21"/>
                <w:highlight w:val="none"/>
              </w:rPr>
            </w:pPr>
            <w:r>
              <w:rPr>
                <w:rFonts w:hint="eastAsia" w:cs="Times New Roman"/>
                <w:color w:val="000000"/>
                <w:sz w:val="21"/>
                <w:szCs w:val="21"/>
                <w:highlight w:val="none"/>
                <w:vertAlign w:val="baseline"/>
                <w:lang w:val="en-US" w:eastAsia="zh-CN"/>
              </w:rPr>
              <w:t>根据零陵区自来水公司建议，本次萍洲大桥西岸匝道设计DN300给水管，敷设DN300沿萍洲大桥西匝道南段接萍洲西路给水管与萍阳北路相接</w:t>
            </w:r>
            <w:r>
              <w:rPr>
                <w:rFonts w:hint="eastAsia" w:ascii="Times New Roman" w:hAnsi="Times New Roman" w:eastAsia="宋体" w:cs="Times New Roman"/>
                <w:color w:val="000000"/>
                <w:sz w:val="21"/>
                <w:szCs w:val="21"/>
                <w:highlight w:val="none"/>
              </w:rPr>
              <w:t>。</w:t>
            </w:r>
          </w:p>
          <w:p>
            <w:pPr>
              <w:spacing w:line="360" w:lineRule="auto"/>
              <w:ind w:firstLine="480"/>
              <w:rPr>
                <w:rFonts w:hint="eastAsia" w:ascii="Times New Roman" w:hAnsi="Times New Roman" w:eastAsia="宋体" w:cs="Times New Roman"/>
                <w:color w:val="000000"/>
                <w:sz w:val="21"/>
                <w:szCs w:val="21"/>
                <w:highlight w:val="none"/>
                <w:lang w:eastAsia="zh-CN"/>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2</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雨水管道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根据《零陵区河西片控制性详细规划》及相关批复文件与技术规范要求，结合现场实际情况道路雨水排放如下：1、0+000至0+240路段雨水管径为DN800，自萍洲西路排向萍阳北路。2、0+280至道路终点段雨水管径为DN800</w:t>
            </w:r>
            <w:r>
              <w:rPr>
                <w:rFonts w:hint="eastAsia" w:ascii="Times New Roman" w:hAnsi="Times New Roman"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自萍洲西路排向萍阳北路，在终点附近排入</w:t>
            </w:r>
            <w:r>
              <w:rPr>
                <w:rFonts w:hint="eastAsia" w:cs="Times New Roman"/>
                <w:color w:val="000000"/>
                <w:sz w:val="21"/>
                <w:szCs w:val="21"/>
                <w:highlight w:val="none"/>
                <w:lang w:val="en-US" w:eastAsia="zh-CN"/>
              </w:rPr>
              <w:t>潇水</w:t>
            </w:r>
            <w:r>
              <w:rPr>
                <w:rFonts w:hint="eastAsia" w:ascii="Times New Roman" w:hAnsi="Times New Roman" w:eastAsia="宋体" w:cs="Times New Roman"/>
                <w:color w:val="000000"/>
                <w:sz w:val="21"/>
                <w:szCs w:val="21"/>
                <w:highlight w:val="none"/>
              </w:rPr>
              <w:t>。3、雨水管道布置在道路两侧。</w:t>
            </w:r>
          </w:p>
          <w:p>
            <w:pPr>
              <w:spacing w:line="360" w:lineRule="auto"/>
              <w:ind w:firstLine="482"/>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3</w:t>
            </w: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污水管道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cs="Times New Roman"/>
                <w:color w:val="000000"/>
                <w:sz w:val="21"/>
                <w:szCs w:val="21"/>
                <w:highlight w:val="none"/>
                <w:vertAlign w:val="baseline"/>
                <w:lang w:val="en-US" w:eastAsia="zh-CN"/>
              </w:rPr>
              <w:t>位于萍洲大桥西岸匝道南侧，湖南省建科院已设计污水管，污水提升至萍洲大桥头后沿南侧匝道自流至过江管道</w:t>
            </w:r>
            <w:r>
              <w:rPr>
                <w:rFonts w:hint="eastAsia" w:ascii="Times New Roman" w:hAnsi="Times New Roman" w:eastAsia="宋体" w:cs="Times New Roman"/>
                <w:color w:val="000000"/>
                <w:sz w:val="21"/>
                <w:szCs w:val="21"/>
                <w:highlight w:val="none"/>
              </w:rPr>
              <w:t>。</w:t>
            </w:r>
          </w:p>
          <w:p>
            <w:pPr>
              <w:spacing w:line="360" w:lineRule="auto"/>
              <w:ind w:firstLine="482"/>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4</w:t>
            </w: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电力管道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cs="Times New Roman"/>
                <w:color w:val="000000"/>
                <w:sz w:val="21"/>
                <w:szCs w:val="21"/>
                <w:highlight w:val="none"/>
                <w:vertAlign w:val="baseline"/>
                <w:lang w:val="en-US" w:eastAsia="zh-CN"/>
              </w:rPr>
              <w:t>根据电力公司意见，管采用CPVC-175*11管，道路纵向排管12四，单侧布置在道路西侧，道路交叉口处预留横管</w:t>
            </w:r>
            <w:r>
              <w:rPr>
                <w:rFonts w:hint="eastAsia" w:ascii="Times New Roman" w:hAnsi="Times New Roman" w:eastAsia="宋体" w:cs="Times New Roman"/>
                <w:color w:val="000000"/>
                <w:sz w:val="21"/>
                <w:szCs w:val="21"/>
                <w:highlight w:val="none"/>
              </w:rPr>
              <w:t>。</w:t>
            </w:r>
          </w:p>
          <w:p>
            <w:pPr>
              <w:spacing w:line="360" w:lineRule="auto"/>
              <w:ind w:firstLine="482"/>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5</w:t>
            </w: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通讯管道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根据《零陵区河西片控制性详细规划》和《零陵区萍洲片控制性详细规划》通讯工程规划图，本次设计建议通讯管采用PVC-110*5管，道路纵向排管8回单侧布置在道路西侧，道路交叉口处预留横管。</w:t>
            </w:r>
          </w:p>
          <w:p>
            <w:pPr>
              <w:spacing w:line="360" w:lineRule="auto"/>
              <w:ind w:firstLine="482"/>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6</w:t>
            </w: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燃气管道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cs="Times New Roman"/>
                <w:color w:val="000000"/>
                <w:sz w:val="21"/>
                <w:szCs w:val="21"/>
                <w:highlight w:val="none"/>
                <w:lang w:val="en-US" w:eastAsia="zh-CN"/>
              </w:rPr>
              <w:t>按照燃气公司设计进行规划</w:t>
            </w:r>
            <w:r>
              <w:rPr>
                <w:rFonts w:hint="eastAsia" w:ascii="Times New Roman" w:hAnsi="Times New Roman" w:eastAsia="宋体" w:cs="Times New Roman"/>
                <w:color w:val="000000"/>
                <w:sz w:val="21"/>
                <w:szCs w:val="21"/>
                <w:highlight w:val="none"/>
              </w:rPr>
              <w:t>，本次只对燃气管道进行横断面位置预留。</w:t>
            </w:r>
          </w:p>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r>
              <w:rPr>
                <w:rFonts w:hint="eastAsia" w:cs="Times New Roman"/>
                <w:bCs/>
                <w:color w:val="000000"/>
                <w:sz w:val="21"/>
                <w:szCs w:val="21"/>
                <w:highlight w:val="none"/>
                <w:lang w:val="en-US" w:eastAsia="zh-CN"/>
              </w:rPr>
              <w:t>2.5.4 照明工程</w:t>
            </w:r>
          </w:p>
          <w:p>
            <w:pPr>
              <w:spacing w:line="360" w:lineRule="auto"/>
              <w:ind w:firstLine="480"/>
              <w:rPr>
                <w:rFonts w:hint="eastAsia"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①</w:t>
            </w:r>
            <w:r>
              <w:rPr>
                <w:rFonts w:hint="eastAsia" w:ascii="Times New Roman" w:hAnsi="Times New Roman" w:eastAsia="宋体" w:cs="Times New Roman"/>
                <w:b/>
                <w:bCs/>
                <w:color w:val="000000"/>
                <w:sz w:val="21"/>
                <w:szCs w:val="21"/>
                <w:highlight w:val="none"/>
                <w:lang w:val="en-US" w:eastAsia="zh-CN"/>
              </w:rPr>
              <w:t>萍阳北路延伸段</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萍阳北路按城市主干路设计，照明在两侧人行道路灯对称布置，采用单臂120WLED灯，灯具间距为28米，路灯高度为10m，臂长为1.5米，仰角12°。在道路k0+520-k1+560段有绿化带区域设计有人行道景观灯，采用80WLED灯，灯具间距为15米，景观灯高度为5米，路灯样式均自选。</w:t>
            </w:r>
          </w:p>
          <w:p>
            <w:pPr>
              <w:spacing w:line="360" w:lineRule="auto"/>
              <w:ind w:firstLine="480"/>
              <w:rPr>
                <w:rFonts w:hint="eastAsia"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②萍州大桥西匝道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vertAlign w:val="baseline"/>
              </w:rPr>
              <w:t>萍洲大桥西匝道道路照明按城市支路设计，照明在单侧人行道布置路灯，采用单臂120WLED灯，灯具间距为28米，路灯高度为10m</w:t>
            </w:r>
            <w:r>
              <w:rPr>
                <w:rFonts w:hint="eastAsia" w:cs="Times New Roman"/>
                <w:color w:val="000000"/>
                <w:sz w:val="21"/>
                <w:szCs w:val="21"/>
                <w:highlight w:val="none"/>
                <w:vertAlign w:val="baseline"/>
                <w:lang w:eastAsia="zh-CN"/>
              </w:rPr>
              <w:t>，</w:t>
            </w:r>
            <w:r>
              <w:rPr>
                <w:rFonts w:hint="eastAsia" w:ascii="Times New Roman" w:hAnsi="Times New Roman" w:eastAsia="宋体" w:cs="Times New Roman"/>
                <w:color w:val="000000"/>
                <w:sz w:val="21"/>
                <w:szCs w:val="21"/>
                <w:highlight w:val="none"/>
                <w:vertAlign w:val="baseline"/>
              </w:rPr>
              <w:t>臂长为1.5米，仰角12°</w:t>
            </w:r>
            <w:r>
              <w:rPr>
                <w:rFonts w:hint="eastAsia" w:ascii="Times New Roman" w:hAnsi="Times New Roman" w:eastAsia="宋体" w:cs="Times New Roman"/>
                <w:color w:val="000000"/>
                <w:sz w:val="21"/>
                <w:szCs w:val="21"/>
                <w:highlight w:val="none"/>
                <w:vertAlign w:val="baseline"/>
                <w:lang w:eastAsia="zh-CN"/>
              </w:rPr>
              <w:t>，</w:t>
            </w:r>
            <w:r>
              <w:rPr>
                <w:rFonts w:hint="eastAsia" w:ascii="Times New Roman" w:hAnsi="Times New Roman" w:eastAsia="宋体" w:cs="Times New Roman"/>
                <w:color w:val="000000"/>
                <w:sz w:val="21"/>
                <w:szCs w:val="21"/>
                <w:highlight w:val="none"/>
                <w:vertAlign w:val="baseline"/>
              </w:rPr>
              <w:t>路灯样式均自选</w:t>
            </w:r>
            <w:r>
              <w:rPr>
                <w:rFonts w:hint="eastAsia" w:ascii="Times New Roman" w:hAnsi="Times New Roman" w:eastAsia="宋体" w:cs="Times New Roman"/>
                <w:color w:val="000000"/>
                <w:sz w:val="21"/>
                <w:szCs w:val="21"/>
                <w:highlight w:val="none"/>
                <w:vertAlign w:val="baseline"/>
                <w:lang w:eastAsia="zh-CN"/>
              </w:rPr>
              <w:t>。</w:t>
            </w:r>
          </w:p>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r>
              <w:rPr>
                <w:rFonts w:hint="eastAsia" w:cs="Times New Roman"/>
                <w:bCs/>
                <w:color w:val="000000"/>
                <w:sz w:val="21"/>
                <w:szCs w:val="21"/>
                <w:highlight w:val="none"/>
                <w:lang w:val="en-US" w:eastAsia="zh-CN"/>
              </w:rPr>
              <w:t>2.5.5 绿化工程</w:t>
            </w:r>
          </w:p>
          <w:p>
            <w:pPr>
              <w:spacing w:line="360" w:lineRule="auto"/>
              <w:ind w:firstLine="480"/>
              <w:rPr>
                <w:rFonts w:hint="eastAsia"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①</w:t>
            </w:r>
            <w:r>
              <w:rPr>
                <w:rFonts w:hint="eastAsia" w:ascii="Times New Roman" w:hAnsi="Times New Roman" w:eastAsia="宋体" w:cs="Times New Roman"/>
                <w:b/>
                <w:bCs/>
                <w:color w:val="000000"/>
                <w:sz w:val="21"/>
                <w:szCs w:val="21"/>
                <w:highlight w:val="none"/>
                <w:lang w:val="en-US" w:eastAsia="zh-CN"/>
              </w:rPr>
              <w:t>萍阳北路延伸段</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（1）本项目绿化设计主要为人行道8米绿化带、中央绿化带和行道树布置；</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（2）两排行道树内侧为常绿香樟树，道路四季常青；</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（3）绿化率(1.5+3+8)/36x100%=34.7%，符合规范要求。</w:t>
            </w:r>
          </w:p>
          <w:p>
            <w:pPr>
              <w:spacing w:line="360" w:lineRule="auto"/>
              <w:ind w:firstLine="480"/>
              <w:rPr>
                <w:rFonts w:hint="eastAsia"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②萍州大桥西匝道</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（1）本项目绿化设计主要为行道树布置；</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（2）两排行道树内侧为常绿香樟树。</w:t>
            </w:r>
          </w:p>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r>
              <w:rPr>
                <w:rFonts w:hint="eastAsia" w:cs="Times New Roman"/>
                <w:bCs/>
                <w:color w:val="000000"/>
                <w:sz w:val="21"/>
                <w:szCs w:val="21"/>
                <w:highlight w:val="none"/>
                <w:lang w:val="en-US" w:eastAsia="zh-CN"/>
              </w:rPr>
              <w:t>2.5.6 交通工程</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本项目标志版面设计采用《道路交通标志和标线(GB 5768-2009)》中相关规定，主线汉字高度取40cm，辅道汉字高度为25cm，其尺寸、版面内容及汉字间距、笔划粗度、最小间距、边距、颜色等均以现行国标为准</w:t>
            </w:r>
            <w:r>
              <w:rPr>
                <w:rFonts w:hint="eastAsia" w:ascii="Times New Roman" w:hAnsi="Times New Roman"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rPr>
              <w:t>指路标志中内容采用中英文对照。</w:t>
            </w:r>
          </w:p>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r>
              <w:rPr>
                <w:rFonts w:hint="eastAsia" w:cs="Times New Roman"/>
                <w:bCs/>
                <w:color w:val="000000"/>
                <w:sz w:val="21"/>
                <w:szCs w:val="21"/>
                <w:highlight w:val="none"/>
                <w:lang w:val="en-US" w:eastAsia="zh-CN"/>
              </w:rPr>
              <w:t>2.6 土石方</w:t>
            </w:r>
          </w:p>
          <w:p>
            <w:pPr>
              <w:spacing w:line="360" w:lineRule="auto"/>
              <w:ind w:firstLine="482"/>
              <w:rPr>
                <w:rFonts w:hint="eastAsia" w:ascii="Times New Roman" w:hAnsi="Times New Roman" w:eastAsia="宋体"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本项目</w:t>
            </w:r>
            <w:r>
              <w:rPr>
                <w:rFonts w:hint="eastAsia" w:ascii="Times New Roman" w:hAnsi="Times New Roman" w:eastAsia="宋体" w:cs="Times New Roman"/>
                <w:color w:val="000000"/>
                <w:sz w:val="21"/>
                <w:szCs w:val="21"/>
                <w:highlight w:val="none"/>
              </w:rPr>
              <w:t>外借土方由渣土管理部门从其它建设项目就近调配。本项目不单独设置取、弃土场。工程挖方主要为旧路改造、路基换填土石方、清理的表土等，除表土外，其余作为弃方清运至城管部门指定的场地消纳。</w:t>
            </w:r>
          </w:p>
          <w:p>
            <w:pPr>
              <w:pStyle w:val="240"/>
              <w:widowControl/>
              <w:spacing w:line="360" w:lineRule="auto"/>
              <w:ind w:firstLine="480"/>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本项目土石方一览表详见下表：</w:t>
            </w:r>
          </w:p>
          <w:p>
            <w:pPr>
              <w:spacing w:line="240" w:lineRule="auto"/>
              <w:jc w:val="center"/>
              <w:rPr>
                <w:rFonts w:hint="default" w:ascii="Times New Roman" w:hAnsi="Times New Roman" w:eastAsia="宋体" w:cs="Times New Roman"/>
                <w:b/>
                <w:bCs/>
                <w:color w:val="000000"/>
                <w:sz w:val="21"/>
                <w:szCs w:val="21"/>
                <w:highlight w:val="none"/>
                <w:u w:val="single"/>
                <w:lang w:val="en-US"/>
              </w:rPr>
            </w:pPr>
            <w:r>
              <w:rPr>
                <w:rFonts w:hint="eastAsia" w:ascii="Times New Roman" w:hAnsi="Times New Roman" w:cs="Times New Roman"/>
                <w:b/>
                <w:bCs/>
                <w:color w:val="000000"/>
                <w:sz w:val="21"/>
                <w:szCs w:val="21"/>
                <w:highlight w:val="none"/>
                <w:u w:val="single"/>
                <w:lang w:val="en-US" w:eastAsia="zh-CN"/>
              </w:rPr>
              <w:t>表2</w:t>
            </w:r>
            <w:r>
              <w:rPr>
                <w:rFonts w:hint="eastAsia" w:cs="Times New Roman"/>
                <w:b/>
                <w:bCs/>
                <w:color w:val="000000"/>
                <w:sz w:val="21"/>
                <w:szCs w:val="21"/>
                <w:highlight w:val="none"/>
                <w:u w:val="single"/>
                <w:lang w:val="en-US" w:eastAsia="zh-CN"/>
              </w:rPr>
              <w:t>-9</w:t>
            </w:r>
            <w:r>
              <w:rPr>
                <w:rFonts w:hint="eastAsia" w:ascii="Times New Roman" w:hAnsi="Times New Roman" w:cs="Times New Roman"/>
                <w:b/>
                <w:bCs/>
                <w:color w:val="000000"/>
                <w:sz w:val="21"/>
                <w:szCs w:val="21"/>
                <w:highlight w:val="none"/>
                <w:u w:val="single"/>
                <w:lang w:val="en-US" w:eastAsia="zh-CN"/>
              </w:rPr>
              <w:t xml:space="preserve"> 萍阳北路延伸段</w:t>
            </w:r>
            <w:r>
              <w:rPr>
                <w:rFonts w:hint="eastAsia" w:cs="Times New Roman"/>
                <w:b/>
                <w:bCs/>
                <w:color w:val="000000"/>
                <w:sz w:val="21"/>
                <w:szCs w:val="21"/>
                <w:highlight w:val="none"/>
                <w:u w:val="single"/>
                <w:lang w:val="en-US" w:eastAsia="zh-CN"/>
              </w:rPr>
              <w:t>项目土石方一览表</w:t>
            </w:r>
          </w:p>
          <w:tbl>
            <w:tblPr>
              <w:tblStyle w:val="41"/>
              <w:tblW w:w="7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405"/>
              <w:gridCol w:w="551"/>
              <w:gridCol w:w="4176"/>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序号</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项目类型</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方量（m</w:t>
                  </w:r>
                  <w:r>
                    <w:rPr>
                      <w:rFonts w:hint="eastAsia" w:cs="Times New Roman"/>
                      <w:color w:val="000000"/>
                      <w:sz w:val="21"/>
                      <w:szCs w:val="21"/>
                      <w:highlight w:val="none"/>
                      <w:u w:val="single"/>
                      <w:vertAlign w:val="superscript"/>
                      <w:lang w:val="en-US" w:eastAsia="zh-CN"/>
                    </w:rPr>
                    <w:t>3</w:t>
                  </w:r>
                  <w:r>
                    <w:rPr>
                      <w:rFonts w:hint="eastAsia" w:cs="Times New Roman"/>
                      <w:color w:val="000000"/>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trPr>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填方清表方量</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10581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2</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挖方清表方量</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3</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清除现状路面</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5664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4</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挖软弱土层</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80979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restart"/>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5</w:t>
                  </w:r>
                </w:p>
              </w:tc>
              <w:tc>
                <w:tcPr>
                  <w:tcW w:w="1405" w:type="dxa"/>
                  <w:vMerge w:val="restart"/>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可利用的挖方量</w:t>
                  </w:r>
                </w:p>
              </w:tc>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A</w:t>
                  </w:r>
                </w:p>
              </w:tc>
              <w:tc>
                <w:tcPr>
                  <w:tcW w:w="4176"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土（90%）</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continue"/>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p>
              </w:tc>
              <w:tc>
                <w:tcPr>
                  <w:tcW w:w="1405" w:type="dxa"/>
                  <w:vMerge w:val="continue"/>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p>
              </w:tc>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B</w:t>
                  </w:r>
                </w:p>
              </w:tc>
              <w:tc>
                <w:tcPr>
                  <w:tcW w:w="4176"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松石（10%）</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Merge w:val="continue"/>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p>
              </w:tc>
              <w:tc>
                <w:tcPr>
                  <w:tcW w:w="1405" w:type="dxa"/>
                  <w:vMerge w:val="continue"/>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p>
              </w:tc>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总计</w:t>
                  </w:r>
                </w:p>
              </w:tc>
              <w:tc>
                <w:tcPr>
                  <w:tcW w:w="4176"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default" w:ascii="Times New Roman" w:hAnsi="Times New Roman" w:cs="Times New Roman"/>
                      <w:color w:val="000000"/>
                      <w:sz w:val="21"/>
                      <w:szCs w:val="21"/>
                      <w:highlight w:val="none"/>
                      <w:u w:val="single"/>
                      <w:vertAlign w:val="baseline"/>
                      <w:lang w:val="en-US" w:eastAsia="zh-CN"/>
                    </w:rPr>
                    <w:t>根据地勘报告仅利用1+240-1+300及1+540-1+680段</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11470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6</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土石方计算表中的填方量</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61723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7</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土石方计算表中的挖方量</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45664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8</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路基挖方=7-3-2</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38686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9</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路基填方=6+4+1</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153283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10</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总借方=9-5</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141814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1"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11</w:t>
                  </w:r>
                </w:p>
              </w:tc>
              <w:tc>
                <w:tcPr>
                  <w:tcW w:w="6132"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总弃方=（1+2+3+4）+（7-5）</w:t>
                  </w:r>
                </w:p>
              </w:tc>
              <w:tc>
                <w:tcPr>
                  <w:tcW w:w="111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132733</w:t>
                  </w:r>
                </w:p>
              </w:tc>
            </w:tr>
          </w:tbl>
          <w:p>
            <w:pPr>
              <w:spacing w:line="240" w:lineRule="auto"/>
              <w:jc w:val="center"/>
              <w:rPr>
                <w:rFonts w:hint="eastAsia" w:cs="Times New Roman"/>
                <w:b/>
                <w:bCs/>
                <w:color w:val="000000"/>
                <w:sz w:val="21"/>
                <w:szCs w:val="21"/>
                <w:highlight w:val="none"/>
                <w:u w:val="single"/>
                <w:lang w:val="en-US" w:eastAsia="zh-CN"/>
              </w:rPr>
            </w:pPr>
            <w:r>
              <w:rPr>
                <w:rFonts w:hint="eastAsia" w:ascii="Times New Roman" w:hAnsi="Times New Roman" w:cs="Times New Roman"/>
                <w:b/>
                <w:bCs/>
                <w:color w:val="000000"/>
                <w:sz w:val="21"/>
                <w:szCs w:val="21"/>
                <w:highlight w:val="none"/>
                <w:u w:val="single"/>
                <w:lang w:val="en-US" w:eastAsia="zh-CN"/>
              </w:rPr>
              <w:t>表2</w:t>
            </w:r>
            <w:r>
              <w:rPr>
                <w:rFonts w:hint="eastAsia" w:cs="Times New Roman"/>
                <w:b/>
                <w:bCs/>
                <w:color w:val="000000"/>
                <w:sz w:val="21"/>
                <w:szCs w:val="21"/>
                <w:highlight w:val="none"/>
                <w:u w:val="single"/>
                <w:lang w:val="en-US" w:eastAsia="zh-CN"/>
              </w:rPr>
              <w:t>-10</w:t>
            </w:r>
            <w:r>
              <w:rPr>
                <w:rFonts w:hint="eastAsia" w:ascii="Times New Roman" w:hAnsi="Times New Roman" w:cs="Times New Roman"/>
                <w:b/>
                <w:bCs/>
                <w:color w:val="000000"/>
                <w:sz w:val="21"/>
                <w:szCs w:val="21"/>
                <w:highlight w:val="none"/>
                <w:u w:val="single"/>
                <w:lang w:val="en-US" w:eastAsia="zh-CN"/>
              </w:rPr>
              <w:t xml:space="preserve"> 萍阳北路延伸段各段挖方</w:t>
            </w:r>
            <w:r>
              <w:rPr>
                <w:rFonts w:hint="eastAsia" w:cs="Times New Roman"/>
                <w:b/>
                <w:bCs/>
                <w:color w:val="000000"/>
                <w:sz w:val="21"/>
                <w:szCs w:val="21"/>
                <w:highlight w:val="none"/>
                <w:u w:val="single"/>
                <w:lang w:val="en-US" w:eastAsia="zh-CN"/>
              </w:rPr>
              <w:t>一览表</w:t>
            </w:r>
          </w:p>
          <w:tbl>
            <w:tblPr>
              <w:tblStyle w:val="267"/>
              <w:tblW w:w="7797"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8"/>
              <w:gridCol w:w="1978"/>
              <w:gridCol w:w="1841"/>
              <w:gridCol w:w="1560"/>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桩号</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填方面积(m</w:t>
                  </w:r>
                  <w:r>
                    <w:rPr>
                      <w:rFonts w:hint="default"/>
                      <w:vertAlign w:val="superscript"/>
                    </w:rPr>
                    <w:t>2</w:t>
                  </w:r>
                  <w:r>
                    <w:rPr>
                      <w:rFonts w:hint="default"/>
                    </w:rPr>
                    <w:t>)</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挖方面积(m</w:t>
                  </w:r>
                  <w:r>
                    <w:rPr>
                      <w:rFonts w:hint="default"/>
                      <w:vertAlign w:val="superscript"/>
                    </w:rPr>
                    <w:t>2</w:t>
                  </w:r>
                  <w:r>
                    <w:rPr>
                      <w:rFonts w:hint="default"/>
                    </w:rPr>
                    <w:t>)</w:t>
                  </w:r>
                </w:p>
              </w:tc>
              <w:tc>
                <w:tcPr>
                  <w:tcW w:w="156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填方量(m</w:t>
                  </w:r>
                  <w:r>
                    <w:rPr>
                      <w:rFonts w:hint="default"/>
                      <w:vertAlign w:val="superscript"/>
                    </w:rPr>
                    <w:t>3</w:t>
                  </w:r>
                  <w:r>
                    <w:rPr>
                      <w:rFonts w:hint="default"/>
                    </w:rPr>
                    <w:t>)</w:t>
                  </w:r>
                </w:p>
              </w:tc>
              <w:tc>
                <w:tcPr>
                  <w:tcW w:w="170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挖方量(m</w:t>
                  </w:r>
                  <w:r>
                    <w:rPr>
                      <w:rFonts w:hint="default"/>
                      <w:vertAlign w:val="superscript"/>
                    </w:rPr>
                    <w:t>3</w:t>
                  </w: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0+280</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0.073</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15.616</w:t>
                  </w: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1.66</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334.503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0+300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0.093</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17.835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3.645</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348.999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0+320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0.271</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17.065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6.083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325.759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0+340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0.337</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15.511</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7.23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296.258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0+360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0.386</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14.115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7.916</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279.015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0+380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0.406</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13.786</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8.409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264.241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0+400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0.435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12.638</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22.061</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228.445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0+420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1.771</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10.207</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26.363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229.581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0+440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0.866</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12.752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22.144</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217.176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0+460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1.349</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8.966</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29.302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184.657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0+480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1.581</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58.659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133.694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0+500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4.285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3.87</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101.196</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115.894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0+520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5.835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7.72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101.883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398.52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0+540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4.353</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32.132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130.479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1157.804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0+560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8.695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83.648</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226.527</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1822.502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0+580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13.958</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98.602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288.434</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2330.64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0+600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14.885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134.462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325.573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2582.899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0+620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17.672</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123.828</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295.699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2421.215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0+640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11.898</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118.293</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197.144</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2664.125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0+660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7.817</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148.119</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78.166</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3216.225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0+680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173.503</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3215.042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0+700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148.001</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2756.55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0+720</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127.654</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桩号</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填方面积(m</w:t>
                  </w:r>
                  <w:r>
                    <w:rPr>
                      <w:rFonts w:hint="default"/>
                      <w:vertAlign w:val="superscript"/>
                    </w:rPr>
                    <w:t>2</w:t>
                  </w:r>
                  <w:r>
                    <w:rPr>
                      <w:rFonts w:hint="default"/>
                    </w:rPr>
                    <w:t>)</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挖方面积(m</w:t>
                  </w:r>
                  <w:r>
                    <w:rPr>
                      <w:rFonts w:hint="default"/>
                      <w:vertAlign w:val="superscript"/>
                    </w:rPr>
                    <w:t>2</w:t>
                  </w:r>
                  <w:r>
                    <w:rPr>
                      <w:rFonts w:hint="default"/>
                    </w:rPr>
                    <w:t>)</w:t>
                  </w:r>
                </w:p>
              </w:tc>
              <w:tc>
                <w:tcPr>
                  <w:tcW w:w="156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填方量(m</w:t>
                  </w:r>
                  <w:r>
                    <w:rPr>
                      <w:rFonts w:hint="default"/>
                      <w:vertAlign w:val="superscript"/>
                    </w:rPr>
                    <w:t>3</w:t>
                  </w:r>
                  <w:r>
                    <w:rPr>
                      <w:rFonts w:hint="default"/>
                    </w:rPr>
                    <w:t>)</w:t>
                  </w:r>
                </w:p>
              </w:tc>
              <w:tc>
                <w:tcPr>
                  <w:tcW w:w="170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挖方量(m</w:t>
                  </w:r>
                  <w:r>
                    <w:rPr>
                      <w:rFonts w:hint="default"/>
                      <w:vertAlign w:val="superscript"/>
                    </w:rPr>
                    <w:t>3</w:t>
                  </w: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0+720</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127.654</w:t>
                  </w: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49.545</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2329.487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0+740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4.954</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105.295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304.193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1786.151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0+760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25.465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73.32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1159.909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750.889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0+780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90.526</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1.768</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1842.546</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34.497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0+800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93.729</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1.681</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2099.393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33.621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0+820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116.211</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1.681</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1935.044</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34.427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0+840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77.294</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1.762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1106.112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35.154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0+860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33.318</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1.753</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656.903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50.484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0+880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32.373</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3.295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671.513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52.466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0+900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34.779</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1.952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546.548</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133.669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0+920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19.876</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11.415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593.303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130.969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0+940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39.454</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1.682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903.358</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34.384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0+960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50.882</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1.757</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1000.252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36.399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0+980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49.143</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1.883</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1023.486</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36.444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53.205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1.761</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1056.862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37.579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52.481</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1.997</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1149.168</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46.769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62.436</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2.68</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1254.572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43.261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63.021</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1.646</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1279.477</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34.243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64.926</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1.779</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1311.766</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35.934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66.25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1.815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1284.728</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62.223</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1.795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1411.624</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35.931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78.94</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1.798</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1794.224</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27.853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1+160</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100.483</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0.987</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桩号</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填方面积(m</w:t>
                  </w:r>
                  <w:r>
                    <w:rPr>
                      <w:rFonts w:hint="default"/>
                      <w:vertAlign w:val="superscript"/>
                    </w:rPr>
                    <w:t>2</w:t>
                  </w:r>
                  <w:r>
                    <w:rPr>
                      <w:rFonts w:hint="default"/>
                    </w:rPr>
                    <w:t>)</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挖方面积(m</w:t>
                  </w:r>
                  <w:r>
                    <w:rPr>
                      <w:rFonts w:hint="default"/>
                      <w:vertAlign w:val="superscript"/>
                    </w:rPr>
                    <w:t>2</w:t>
                  </w:r>
                  <w:r>
                    <w:rPr>
                      <w:rFonts w:hint="default"/>
                    </w:rPr>
                    <w:t>)</w:t>
                  </w:r>
                </w:p>
              </w:tc>
              <w:tc>
                <w:tcPr>
                  <w:tcW w:w="156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填方量(m</w:t>
                  </w:r>
                  <w:r>
                    <w:rPr>
                      <w:rFonts w:hint="default"/>
                      <w:vertAlign w:val="superscript"/>
                    </w:rPr>
                    <w:t>3</w:t>
                  </w:r>
                  <w:r>
                    <w:rPr>
                      <w:rFonts w:hint="default"/>
                    </w:rPr>
                    <w:t>)</w:t>
                  </w:r>
                </w:p>
              </w:tc>
              <w:tc>
                <w:tcPr>
                  <w:tcW w:w="170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挖方量(m</w:t>
                  </w:r>
                  <w:r>
                    <w:rPr>
                      <w:rFonts w:hint="default"/>
                      <w:vertAlign w:val="superscript"/>
                    </w:rPr>
                    <w:t>3</w:t>
                  </w: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1+160</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100.483</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0.987</w:t>
                  </w: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2333.744</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58.236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132.892</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4.836</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2175.765</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71.621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84.685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2.326</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857.892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203.324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1.105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18.007</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11.045</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507.877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32.781</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1113.732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78.592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1628.535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0</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84.261</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161.049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929.103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16.105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8.649</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221.99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173.737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6.094</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8.725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179.762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152.871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11.882</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6.562</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177.793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163.667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5.897</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9.804</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142.866</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8.389</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6.856</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202.203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103.405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11.831</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3.484</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848.589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52.713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73.028</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1.787</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2009.789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73.102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127.951</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5.523</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3321.435</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204.193</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4.499</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2981.267</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66.763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93.934</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2.177</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2023.534</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108.419</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1.739</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1597.717</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126.668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51.352</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10.928</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970.319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429.741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45.68</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32.046</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712.587</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1783.875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25.579</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146.341</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280.569</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2411.36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2.478</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94.795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569.367</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1433.94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1+600</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54.459</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48.599</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桩号</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填方面积(m</w:t>
                  </w:r>
                  <w:r>
                    <w:rPr>
                      <w:rFonts w:hint="default"/>
                      <w:vertAlign w:val="superscript"/>
                    </w:rPr>
                    <w:t>2</w:t>
                  </w:r>
                  <w:r>
                    <w:rPr>
                      <w:rFonts w:hint="default"/>
                    </w:rPr>
                    <w:t>)</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挖方面积(m</w:t>
                  </w:r>
                  <w:r>
                    <w:rPr>
                      <w:rFonts w:hint="default"/>
                      <w:vertAlign w:val="superscript"/>
                    </w:rPr>
                    <w:t>2</w:t>
                  </w:r>
                  <w:r>
                    <w:rPr>
                      <w:rFonts w:hint="default"/>
                    </w:rPr>
                    <w:t>)</w:t>
                  </w:r>
                </w:p>
              </w:tc>
              <w:tc>
                <w:tcPr>
                  <w:tcW w:w="156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填方量(m</w:t>
                  </w:r>
                  <w:r>
                    <w:rPr>
                      <w:rFonts w:hint="default"/>
                      <w:vertAlign w:val="superscript"/>
                    </w:rPr>
                    <w:t>3</w:t>
                  </w:r>
                  <w:r>
                    <w:rPr>
                      <w:rFonts w:hint="default"/>
                    </w:rPr>
                    <w:t>)</w:t>
                  </w:r>
                </w:p>
              </w:tc>
              <w:tc>
                <w:tcPr>
                  <w:tcW w:w="170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ind w:firstLine="0" w:firstLineChars="0"/>
                    <w:textAlignment w:val="auto"/>
                    <w:outlineLvl w:val="9"/>
                    <w:rPr>
                      <w:rFonts w:hint="default"/>
                    </w:rPr>
                  </w:pPr>
                  <w:r>
                    <w:rPr>
                      <w:rFonts w:hint="default"/>
                    </w:rPr>
                    <w:t>挖方量(m</w:t>
                  </w:r>
                  <w:r>
                    <w:rPr>
                      <w:rFonts w:hint="default"/>
                      <w:vertAlign w:val="superscript"/>
                    </w:rPr>
                    <w:t>3</w:t>
                  </w: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1+600</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54.459</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48.599</w:t>
                  </w: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1040.717</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619.677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49.613</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13.369</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941.053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291.138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44.492</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15.745</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651.495</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526.746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20.657</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36.93</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294.547</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539.254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8.798</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16.996</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548.23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192.343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46.025</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2.238</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1091.853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40.555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63.16</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1.817</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1291.83</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39.881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1+740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66.023</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2.171</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1414.67</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84.941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1+760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75.444</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6.323</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1423.982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75.236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1+780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66.954</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1.201</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1427.232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28.998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1+800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75.769</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1.699</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1706.622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49.972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1+820</w:t>
                  </w:r>
                </w:p>
              </w:tc>
              <w:tc>
                <w:tcPr>
                  <w:tcW w:w="1978"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94.893</w:t>
                  </w:r>
                </w:p>
              </w:tc>
              <w:tc>
                <w:tcPr>
                  <w:tcW w:w="1841"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3.298</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71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978"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841"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56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1738.772</w:t>
                  </w:r>
                </w:p>
              </w:tc>
              <w:tc>
                <w:tcPr>
                  <w:tcW w:w="1700"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84.719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71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1+840</w:t>
                  </w:r>
                </w:p>
              </w:tc>
              <w:tc>
                <w:tcPr>
                  <w:tcW w:w="1978"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78.984</w:t>
                  </w:r>
                </w:p>
              </w:tc>
              <w:tc>
                <w:tcPr>
                  <w:tcW w:w="1841"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r>
                    <w:rPr>
                      <w:rFonts w:hint="default"/>
                    </w:rPr>
                    <w:t>5.174</w:t>
                  </w:r>
                </w:p>
              </w:tc>
              <w:tc>
                <w:tcPr>
                  <w:tcW w:w="156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c>
                <w:tcPr>
                  <w:tcW w:w="1700"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4537" w:type="dxa"/>
                  <w:gridSpan w:val="3"/>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eastAsia"/>
                      <w:lang w:val="en-US" w:eastAsia="zh-CN"/>
                    </w:rPr>
                  </w:pPr>
                  <w:r>
                    <w:rPr>
                      <w:rFonts w:hint="eastAsia"/>
                      <w:lang w:val="en-US" w:eastAsia="zh-CN"/>
                    </w:rPr>
                    <w:t>合计</w:t>
                  </w:r>
                </w:p>
              </w:tc>
              <w:tc>
                <w:tcPr>
                  <w:tcW w:w="156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lang w:val="en-US" w:eastAsia="zh-CN"/>
                    </w:rPr>
                  </w:pPr>
                  <w:r>
                    <w:rPr>
                      <w:rFonts w:hint="eastAsia"/>
                      <w:lang w:val="en-US" w:eastAsia="zh-CN"/>
                    </w:rPr>
                    <w:t>61723.385</w:t>
                  </w:r>
                </w:p>
              </w:tc>
              <w:tc>
                <w:tcPr>
                  <w:tcW w:w="170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textAlignment w:val="auto"/>
                    <w:outlineLvl w:val="9"/>
                    <w:rPr>
                      <w:rFonts w:hint="default"/>
                      <w:lang w:val="en-US" w:eastAsia="zh-CN"/>
                    </w:rPr>
                  </w:pPr>
                  <w:r>
                    <w:rPr>
                      <w:rFonts w:hint="eastAsia"/>
                      <w:lang w:val="en-US" w:eastAsia="zh-CN"/>
                    </w:rPr>
                    <w:t>45664.178</w:t>
                  </w:r>
                </w:p>
              </w:tc>
            </w:tr>
          </w:tbl>
          <w:p>
            <w:pPr>
              <w:pStyle w:val="240"/>
              <w:widowControl/>
              <w:spacing w:line="240" w:lineRule="auto"/>
              <w:ind w:left="0" w:leftChars="0" w:firstLine="0" w:firstLineChars="0"/>
              <w:jc w:val="center"/>
              <w:rPr>
                <w:rFonts w:hint="default" w:ascii="Times New Roman" w:hAnsi="Times New Roman" w:cs="Times New Roman"/>
                <w:color w:val="000000"/>
                <w:sz w:val="21"/>
                <w:szCs w:val="21"/>
                <w:highlight w:val="none"/>
                <w:u w:val="single"/>
                <w:lang w:val="en-US" w:eastAsia="zh-CN"/>
              </w:rPr>
            </w:pPr>
            <w:r>
              <w:rPr>
                <w:rFonts w:hint="eastAsia" w:ascii="Times New Roman" w:hAnsi="Times New Roman" w:cs="Times New Roman"/>
                <w:b/>
                <w:bCs/>
                <w:color w:val="000000"/>
                <w:sz w:val="21"/>
                <w:szCs w:val="21"/>
                <w:highlight w:val="none"/>
                <w:u w:val="single"/>
                <w:lang w:val="en-US" w:eastAsia="zh-CN"/>
              </w:rPr>
              <w:t>表2</w:t>
            </w:r>
            <w:r>
              <w:rPr>
                <w:rFonts w:hint="eastAsia" w:cs="Times New Roman"/>
                <w:b/>
                <w:bCs/>
                <w:color w:val="000000"/>
                <w:sz w:val="21"/>
                <w:szCs w:val="21"/>
                <w:highlight w:val="none"/>
                <w:u w:val="single"/>
                <w:lang w:val="en-US" w:eastAsia="zh-CN"/>
              </w:rPr>
              <w:t>-11</w:t>
            </w:r>
            <w:r>
              <w:rPr>
                <w:rFonts w:hint="eastAsia" w:ascii="Times New Roman" w:hAnsi="Times New Roman" w:cs="Times New Roman"/>
                <w:b/>
                <w:bCs/>
                <w:color w:val="000000"/>
                <w:sz w:val="21"/>
                <w:szCs w:val="21"/>
                <w:highlight w:val="none"/>
                <w:u w:val="single"/>
                <w:lang w:val="en-US" w:eastAsia="zh-CN"/>
              </w:rPr>
              <w:t xml:space="preserve"> 萍州大桥西匝道</w:t>
            </w:r>
            <w:r>
              <w:rPr>
                <w:rFonts w:hint="eastAsia" w:cs="Times New Roman"/>
                <w:b/>
                <w:bCs/>
                <w:color w:val="000000"/>
                <w:sz w:val="21"/>
                <w:szCs w:val="21"/>
                <w:highlight w:val="none"/>
                <w:u w:val="single"/>
                <w:lang w:val="en-US" w:eastAsia="zh-CN"/>
              </w:rPr>
              <w:t>项目土石方一览表</w:t>
            </w:r>
          </w:p>
          <w:tbl>
            <w:tblPr>
              <w:tblStyle w:val="41"/>
              <w:tblW w:w="7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312"/>
              <w:gridCol w:w="870"/>
              <w:gridCol w:w="1978"/>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序号</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项目类型</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方量（m</w:t>
                  </w:r>
                  <w:r>
                    <w:rPr>
                      <w:rFonts w:hint="eastAsia" w:cs="Times New Roman"/>
                      <w:color w:val="000000"/>
                      <w:sz w:val="21"/>
                      <w:szCs w:val="21"/>
                      <w:highlight w:val="none"/>
                      <w:u w:val="single"/>
                      <w:vertAlign w:val="superscript"/>
                      <w:lang w:val="en-US" w:eastAsia="zh-CN"/>
                    </w:rPr>
                    <w:t>3</w:t>
                  </w:r>
                  <w:r>
                    <w:rPr>
                      <w:rFonts w:hint="eastAsia" w:cs="Times New Roman"/>
                      <w:color w:val="000000"/>
                      <w:sz w:val="21"/>
                      <w:szCs w:val="21"/>
                      <w:highlight w:val="none"/>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trPr>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填方清表方量</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1014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2</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挖方清表方量</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3</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清除现状路面</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4</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挖软弱土层</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6928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Merge w:val="restart"/>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5</w:t>
                  </w:r>
                </w:p>
              </w:tc>
              <w:tc>
                <w:tcPr>
                  <w:tcW w:w="2312" w:type="dxa"/>
                  <w:vMerge w:val="restart"/>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可利用的挖方量</w:t>
                  </w:r>
                </w:p>
              </w:tc>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A</w:t>
                  </w:r>
                </w:p>
              </w:tc>
              <w:tc>
                <w:tcPr>
                  <w:tcW w:w="1978"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土（90%）</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13692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Merge w:val="continue"/>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p>
              </w:tc>
              <w:tc>
                <w:tcPr>
                  <w:tcW w:w="2312" w:type="dxa"/>
                  <w:vMerge w:val="continue"/>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p>
              </w:tc>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B</w:t>
                  </w:r>
                </w:p>
              </w:tc>
              <w:tc>
                <w:tcPr>
                  <w:tcW w:w="1978"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松石（10%）</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1521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Merge w:val="continue"/>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p>
              </w:tc>
              <w:tc>
                <w:tcPr>
                  <w:tcW w:w="2312" w:type="dxa"/>
                  <w:vMerge w:val="continue"/>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p>
              </w:tc>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总计</w:t>
                  </w:r>
                </w:p>
              </w:tc>
              <w:tc>
                <w:tcPr>
                  <w:tcW w:w="1978"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15213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6</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土石方计算表中的填方量</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10591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7</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土石方计算表中的挖方量</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17758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8</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路基挖方=7-3-2</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15123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9</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路基填方=6+4+1</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18533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10</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总借方=9-5</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3320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0"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11</w:t>
                  </w:r>
                </w:p>
              </w:tc>
              <w:tc>
                <w:tcPr>
                  <w:tcW w:w="5160" w:type="dxa"/>
                  <w:gridSpan w:val="3"/>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总弃方=（1+2+3+4）+（7-5）</w:t>
                  </w:r>
                </w:p>
              </w:tc>
              <w:tc>
                <w:tcPr>
                  <w:tcW w:w="1767" w:type="dxa"/>
                  <w:vAlign w:val="center"/>
                </w:tcPr>
                <w:p>
                  <w:pPr>
                    <w:pStyle w:val="240"/>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000000"/>
                      <w:sz w:val="21"/>
                      <w:szCs w:val="21"/>
                      <w:highlight w:val="none"/>
                      <w:u w:val="single"/>
                      <w:vertAlign w:val="baseline"/>
                      <w:lang w:val="en-US" w:eastAsia="zh-CN"/>
                    </w:rPr>
                  </w:pPr>
                  <w:r>
                    <w:rPr>
                      <w:rFonts w:hint="eastAsia" w:ascii="Times New Roman" w:hAnsi="Times New Roman" w:cs="Times New Roman"/>
                      <w:color w:val="000000"/>
                      <w:sz w:val="21"/>
                      <w:szCs w:val="21"/>
                      <w:highlight w:val="none"/>
                      <w:u w:val="single"/>
                      <w:vertAlign w:val="baseline"/>
                      <w:lang w:val="en-US" w:eastAsia="zh-CN"/>
                    </w:rPr>
                    <w:t>13122</w:t>
                  </w:r>
                </w:p>
              </w:tc>
            </w:tr>
          </w:tbl>
          <w:p>
            <w:pPr>
              <w:pStyle w:val="240"/>
              <w:widowControl/>
              <w:spacing w:line="240" w:lineRule="auto"/>
              <w:ind w:left="0" w:leftChars="0" w:firstLine="0" w:firstLineChars="0"/>
              <w:jc w:val="center"/>
              <w:rPr>
                <w:rFonts w:hint="default" w:ascii="Times New Roman" w:hAnsi="Times New Roman" w:cs="Times New Roman"/>
                <w:color w:val="000000"/>
                <w:sz w:val="21"/>
                <w:szCs w:val="21"/>
                <w:highlight w:val="none"/>
                <w:u w:val="single"/>
                <w:lang w:val="en-US" w:eastAsia="zh-CN"/>
              </w:rPr>
            </w:pPr>
            <w:r>
              <w:rPr>
                <w:rFonts w:hint="eastAsia" w:ascii="Times New Roman" w:hAnsi="Times New Roman" w:cs="Times New Roman"/>
                <w:b/>
                <w:bCs/>
                <w:color w:val="000000"/>
                <w:sz w:val="21"/>
                <w:szCs w:val="21"/>
                <w:highlight w:val="none"/>
                <w:u w:val="single"/>
                <w:lang w:val="en-US" w:eastAsia="zh-CN"/>
              </w:rPr>
              <w:t>表2</w:t>
            </w:r>
            <w:r>
              <w:rPr>
                <w:rFonts w:hint="eastAsia" w:cs="Times New Roman"/>
                <w:b/>
                <w:bCs/>
                <w:color w:val="000000"/>
                <w:sz w:val="21"/>
                <w:szCs w:val="21"/>
                <w:highlight w:val="none"/>
                <w:u w:val="single"/>
                <w:lang w:val="en-US" w:eastAsia="zh-CN"/>
              </w:rPr>
              <w:t>-12</w:t>
            </w:r>
            <w:r>
              <w:rPr>
                <w:rFonts w:hint="eastAsia" w:ascii="Times New Roman" w:hAnsi="Times New Roman" w:cs="Times New Roman"/>
                <w:b/>
                <w:bCs/>
                <w:color w:val="000000"/>
                <w:sz w:val="21"/>
                <w:szCs w:val="21"/>
                <w:highlight w:val="none"/>
                <w:u w:val="single"/>
                <w:lang w:val="en-US" w:eastAsia="zh-CN"/>
              </w:rPr>
              <w:t xml:space="preserve"> 萍州大桥西匝道各段挖方</w:t>
            </w:r>
            <w:r>
              <w:rPr>
                <w:rFonts w:hint="eastAsia" w:cs="Times New Roman"/>
                <w:b/>
                <w:bCs/>
                <w:color w:val="000000"/>
                <w:sz w:val="21"/>
                <w:szCs w:val="21"/>
                <w:highlight w:val="none"/>
                <w:u w:val="single"/>
                <w:lang w:val="en-US" w:eastAsia="zh-CN"/>
              </w:rPr>
              <w:t>一览表</w:t>
            </w:r>
          </w:p>
          <w:tbl>
            <w:tblPr>
              <w:tblStyle w:val="267"/>
              <w:tblW w:w="77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4"/>
              <w:gridCol w:w="1903"/>
              <w:gridCol w:w="1830"/>
              <w:gridCol w:w="1539"/>
              <w:gridCol w:w="16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4" w:hRule="atLeast"/>
              </w:trPr>
              <w:tc>
                <w:tcPr>
                  <w:tcW w:w="914" w:type="dxa"/>
                  <w:vAlign w:val="center"/>
                </w:tcPr>
                <w:p>
                  <w:pPr>
                    <w:pStyle w:val="255"/>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textAlignment w:val="auto"/>
                    <w:rPr>
                      <w:u w:val="single"/>
                    </w:rPr>
                  </w:pPr>
                  <w:r>
                    <w:rPr>
                      <w:rFonts w:hint="default" w:ascii="Times New Roman" w:hAnsi="Times New Roman" w:eastAsia="宋体" w:cs="Times New Roman"/>
                      <w:sz w:val="21"/>
                      <w:szCs w:val="21"/>
                      <w:u w:val="single"/>
                    </w:rPr>
                    <w:t>桩号</w:t>
                  </w:r>
                </w:p>
              </w:tc>
              <w:tc>
                <w:tcPr>
                  <w:tcW w:w="1903" w:type="dxa"/>
                  <w:vAlign w:val="center"/>
                </w:tcPr>
                <w:p>
                  <w:pPr>
                    <w:pStyle w:val="255"/>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textAlignment w:val="auto"/>
                    <w:rPr>
                      <w:u w:val="single"/>
                    </w:rPr>
                  </w:pPr>
                  <w:r>
                    <w:rPr>
                      <w:rFonts w:hint="default" w:ascii="Times New Roman" w:hAnsi="Times New Roman" w:eastAsia="宋体" w:cs="Times New Roman"/>
                      <w:sz w:val="21"/>
                      <w:szCs w:val="21"/>
                      <w:u w:val="single"/>
                    </w:rPr>
                    <w:t>填方面积(m</w:t>
                  </w:r>
                  <w:r>
                    <w:rPr>
                      <w:rFonts w:hint="default" w:ascii="Times New Roman" w:hAnsi="Times New Roman" w:eastAsia="宋体" w:cs="Times New Roman"/>
                      <w:sz w:val="21"/>
                      <w:szCs w:val="21"/>
                      <w:u w:val="single"/>
                      <w:vertAlign w:val="superscript"/>
                    </w:rPr>
                    <w:t>2</w:t>
                  </w:r>
                  <w:r>
                    <w:rPr>
                      <w:rFonts w:hint="default" w:ascii="Times New Roman" w:hAnsi="Times New Roman" w:eastAsia="宋体" w:cs="Times New Roman"/>
                      <w:sz w:val="21"/>
                      <w:szCs w:val="21"/>
                      <w:u w:val="single"/>
                    </w:rPr>
                    <w:t>)</w:t>
                  </w:r>
                </w:p>
              </w:tc>
              <w:tc>
                <w:tcPr>
                  <w:tcW w:w="1830" w:type="dxa"/>
                  <w:vAlign w:val="center"/>
                </w:tcPr>
                <w:p>
                  <w:pPr>
                    <w:pStyle w:val="255"/>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textAlignment w:val="auto"/>
                    <w:rPr>
                      <w:u w:val="single"/>
                    </w:rPr>
                  </w:pPr>
                  <w:r>
                    <w:rPr>
                      <w:rFonts w:hint="default" w:ascii="Times New Roman" w:hAnsi="Times New Roman" w:eastAsia="宋体" w:cs="Times New Roman"/>
                      <w:sz w:val="21"/>
                      <w:szCs w:val="21"/>
                      <w:u w:val="single"/>
                    </w:rPr>
                    <w:t>挖方面积(m</w:t>
                  </w:r>
                  <w:r>
                    <w:rPr>
                      <w:rFonts w:hint="default" w:ascii="Times New Roman" w:hAnsi="Times New Roman" w:eastAsia="宋体" w:cs="Times New Roman"/>
                      <w:sz w:val="21"/>
                      <w:szCs w:val="21"/>
                      <w:u w:val="single"/>
                      <w:vertAlign w:val="superscript"/>
                    </w:rPr>
                    <w:t>2</w:t>
                  </w:r>
                  <w:r>
                    <w:rPr>
                      <w:rFonts w:hint="default" w:ascii="Times New Roman" w:hAnsi="Times New Roman" w:eastAsia="宋体" w:cs="Times New Roman"/>
                      <w:sz w:val="21"/>
                      <w:szCs w:val="21"/>
                      <w:u w:val="single"/>
                    </w:rPr>
                    <w:t>)</w:t>
                  </w:r>
                </w:p>
              </w:tc>
              <w:tc>
                <w:tcPr>
                  <w:tcW w:w="1539" w:type="dxa"/>
                  <w:vAlign w:val="center"/>
                </w:tcPr>
                <w:p>
                  <w:pPr>
                    <w:pStyle w:val="255"/>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textAlignment w:val="auto"/>
                    <w:rPr>
                      <w:u w:val="single"/>
                    </w:rPr>
                  </w:pPr>
                  <w:r>
                    <w:rPr>
                      <w:rFonts w:hint="default" w:ascii="Times New Roman" w:hAnsi="Times New Roman" w:eastAsia="宋体" w:cs="Times New Roman"/>
                      <w:sz w:val="21"/>
                      <w:szCs w:val="21"/>
                      <w:u w:val="single"/>
                    </w:rPr>
                    <w:t>填方量(m</w:t>
                  </w:r>
                  <w:r>
                    <w:rPr>
                      <w:rFonts w:hint="default" w:ascii="Times New Roman" w:hAnsi="Times New Roman" w:eastAsia="宋体" w:cs="Times New Roman"/>
                      <w:sz w:val="21"/>
                      <w:szCs w:val="21"/>
                      <w:u w:val="single"/>
                      <w:vertAlign w:val="superscript"/>
                    </w:rPr>
                    <w:t>3</w:t>
                  </w:r>
                  <w:r>
                    <w:rPr>
                      <w:rFonts w:hint="default" w:ascii="Times New Roman" w:hAnsi="Times New Roman" w:eastAsia="宋体" w:cs="Times New Roman"/>
                      <w:sz w:val="21"/>
                      <w:szCs w:val="21"/>
                      <w:u w:val="single"/>
                    </w:rPr>
                    <w:t>)</w:t>
                  </w:r>
                </w:p>
              </w:tc>
              <w:tc>
                <w:tcPr>
                  <w:tcW w:w="1613" w:type="dxa"/>
                  <w:vAlign w:val="center"/>
                </w:tcPr>
                <w:p>
                  <w:pPr>
                    <w:pStyle w:val="255"/>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textAlignment w:val="auto"/>
                    <w:rPr>
                      <w:u w:val="single"/>
                    </w:rPr>
                  </w:pPr>
                  <w:r>
                    <w:rPr>
                      <w:rFonts w:hint="default" w:ascii="Times New Roman" w:hAnsi="Times New Roman" w:eastAsia="宋体" w:cs="Times New Roman"/>
                      <w:sz w:val="21"/>
                      <w:szCs w:val="21"/>
                      <w:u w:val="single"/>
                    </w:rPr>
                    <w:t>挖方量(m</w:t>
                  </w:r>
                  <w:r>
                    <w:rPr>
                      <w:rFonts w:hint="default" w:ascii="Times New Roman" w:hAnsi="Times New Roman" w:eastAsia="宋体" w:cs="Times New Roman"/>
                      <w:sz w:val="21"/>
                      <w:szCs w:val="21"/>
                      <w:u w:val="single"/>
                      <w:vertAlign w:val="superscript"/>
                    </w:rPr>
                    <w:t>3</w:t>
                  </w:r>
                  <w:r>
                    <w:rPr>
                      <w:rFonts w:hint="default" w:ascii="Times New Roman" w:hAnsi="Times New Roman" w:eastAsia="宋体" w:cs="Times New Roman"/>
                      <w:sz w:val="21"/>
                      <w:szCs w:val="21"/>
                      <w:u w:val="singl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9" w:hRule="atLeast"/>
              </w:trPr>
              <w:tc>
                <w:tcPr>
                  <w:tcW w:w="914" w:type="dxa"/>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0+000</w:t>
                  </w:r>
                </w:p>
              </w:tc>
              <w:tc>
                <w:tcPr>
                  <w:tcW w:w="1903" w:type="dxa"/>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14.549</w:t>
                  </w:r>
                </w:p>
              </w:tc>
              <w:tc>
                <w:tcPr>
                  <w:tcW w:w="183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7.05</w:t>
                  </w: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145.495</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1190.141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5"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0+020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111.965</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2651.43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0+040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153.178</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3165.82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0+060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163.404</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2259.567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0+080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62.553</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30.651</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897.612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0+100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3.065</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27.208</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5"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280.119</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290.858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0+120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24.947</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1.878</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823.047</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36.756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0+140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57.358</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1.798</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1446.266</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37.981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0+160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87.269</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1372.894</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37.027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0+180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50.021</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1.702</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5"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713.093</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32.031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0+200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21.288</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1.501</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223.005</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123.579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5"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0+220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1.012</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10.857</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10.846</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196.947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0+240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0.073</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8.838</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1.312</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179.095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0+260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0.059</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9.072</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0.919</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175.147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0+280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0.033</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8.443</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210.29</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101.664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0+300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20.996</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1.724</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983.156</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131.712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0+320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77.32</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11.447</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5"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1324.595</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258.739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0+340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55.14</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14.426</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831.013</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247.853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0+360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27.962</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10.359</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280.004</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234.904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0+380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0.039</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13.132</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0.388</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524.365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0+400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39.305</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1219.11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4"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0+420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82.606</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2141.103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6" w:hRule="atLeast"/>
              </w:trPr>
              <w:tc>
                <w:tcPr>
                  <w:tcW w:w="914" w:type="dxa"/>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0+440</w:t>
                  </w:r>
                </w:p>
              </w:tc>
              <w:tc>
                <w:tcPr>
                  <w:tcW w:w="1903" w:type="dxa"/>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0</w:t>
                  </w:r>
                </w:p>
              </w:tc>
              <w:tc>
                <w:tcPr>
                  <w:tcW w:w="183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131.504</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4" w:hRule="atLeast"/>
              </w:trPr>
              <w:tc>
                <w:tcPr>
                  <w:tcW w:w="914" w:type="dxa"/>
                  <w:vAlign w:val="center"/>
                </w:tcPr>
                <w:p>
                  <w:pPr>
                    <w:pStyle w:val="255"/>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textAlignment w:val="auto"/>
                    <w:rPr>
                      <w:u w:val="single"/>
                    </w:rPr>
                  </w:pPr>
                  <w:r>
                    <w:rPr>
                      <w:rFonts w:hint="default" w:ascii="Times New Roman" w:hAnsi="Times New Roman" w:eastAsia="宋体" w:cs="Times New Roman"/>
                      <w:sz w:val="21"/>
                      <w:szCs w:val="21"/>
                      <w:u w:val="single"/>
                    </w:rPr>
                    <w:t>桩号</w:t>
                  </w:r>
                </w:p>
              </w:tc>
              <w:tc>
                <w:tcPr>
                  <w:tcW w:w="1903" w:type="dxa"/>
                  <w:vAlign w:val="center"/>
                </w:tcPr>
                <w:p>
                  <w:pPr>
                    <w:pStyle w:val="255"/>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textAlignment w:val="auto"/>
                    <w:rPr>
                      <w:u w:val="single"/>
                    </w:rPr>
                  </w:pPr>
                  <w:r>
                    <w:rPr>
                      <w:rFonts w:hint="default" w:ascii="Times New Roman" w:hAnsi="Times New Roman" w:eastAsia="宋体" w:cs="Times New Roman"/>
                      <w:sz w:val="21"/>
                      <w:szCs w:val="21"/>
                      <w:u w:val="single"/>
                    </w:rPr>
                    <w:t>填方面积(m</w:t>
                  </w:r>
                  <w:r>
                    <w:rPr>
                      <w:rFonts w:hint="default" w:ascii="Times New Roman" w:hAnsi="Times New Roman" w:eastAsia="宋体" w:cs="Times New Roman"/>
                      <w:sz w:val="21"/>
                      <w:szCs w:val="21"/>
                      <w:u w:val="single"/>
                      <w:vertAlign w:val="superscript"/>
                    </w:rPr>
                    <w:t>2</w:t>
                  </w:r>
                  <w:r>
                    <w:rPr>
                      <w:rFonts w:hint="default" w:ascii="Times New Roman" w:hAnsi="Times New Roman" w:eastAsia="宋体" w:cs="Times New Roman"/>
                      <w:sz w:val="21"/>
                      <w:szCs w:val="21"/>
                      <w:u w:val="single"/>
                    </w:rPr>
                    <w:t>)</w:t>
                  </w:r>
                </w:p>
              </w:tc>
              <w:tc>
                <w:tcPr>
                  <w:tcW w:w="1830" w:type="dxa"/>
                  <w:vAlign w:val="center"/>
                </w:tcPr>
                <w:p>
                  <w:pPr>
                    <w:pStyle w:val="255"/>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textAlignment w:val="auto"/>
                    <w:rPr>
                      <w:u w:val="single"/>
                    </w:rPr>
                  </w:pPr>
                  <w:r>
                    <w:rPr>
                      <w:rFonts w:hint="default" w:ascii="Times New Roman" w:hAnsi="Times New Roman" w:eastAsia="宋体" w:cs="Times New Roman"/>
                      <w:sz w:val="21"/>
                      <w:szCs w:val="21"/>
                      <w:u w:val="single"/>
                    </w:rPr>
                    <w:t>挖方面积(m</w:t>
                  </w:r>
                  <w:r>
                    <w:rPr>
                      <w:rFonts w:hint="default" w:ascii="Times New Roman" w:hAnsi="Times New Roman" w:eastAsia="宋体" w:cs="Times New Roman"/>
                      <w:sz w:val="21"/>
                      <w:szCs w:val="21"/>
                      <w:u w:val="single"/>
                      <w:vertAlign w:val="superscript"/>
                    </w:rPr>
                    <w:t>2</w:t>
                  </w:r>
                  <w:r>
                    <w:rPr>
                      <w:rFonts w:hint="default" w:ascii="Times New Roman" w:hAnsi="Times New Roman" w:eastAsia="宋体" w:cs="Times New Roman"/>
                      <w:sz w:val="21"/>
                      <w:szCs w:val="21"/>
                      <w:u w:val="single"/>
                    </w:rPr>
                    <w:t>)</w:t>
                  </w:r>
                </w:p>
              </w:tc>
              <w:tc>
                <w:tcPr>
                  <w:tcW w:w="1539" w:type="dxa"/>
                  <w:vAlign w:val="center"/>
                </w:tcPr>
                <w:p>
                  <w:pPr>
                    <w:pStyle w:val="255"/>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textAlignment w:val="auto"/>
                    <w:rPr>
                      <w:u w:val="single"/>
                    </w:rPr>
                  </w:pPr>
                  <w:r>
                    <w:rPr>
                      <w:rFonts w:hint="default" w:ascii="Times New Roman" w:hAnsi="Times New Roman" w:eastAsia="宋体" w:cs="Times New Roman"/>
                      <w:sz w:val="21"/>
                      <w:szCs w:val="21"/>
                      <w:u w:val="single"/>
                    </w:rPr>
                    <w:t>填方量(m</w:t>
                  </w:r>
                  <w:r>
                    <w:rPr>
                      <w:rFonts w:hint="default" w:ascii="Times New Roman" w:hAnsi="Times New Roman" w:eastAsia="宋体" w:cs="Times New Roman"/>
                      <w:sz w:val="21"/>
                      <w:szCs w:val="21"/>
                      <w:u w:val="single"/>
                      <w:vertAlign w:val="superscript"/>
                    </w:rPr>
                    <w:t>3</w:t>
                  </w:r>
                  <w:r>
                    <w:rPr>
                      <w:rFonts w:hint="default" w:ascii="Times New Roman" w:hAnsi="Times New Roman" w:eastAsia="宋体" w:cs="Times New Roman"/>
                      <w:sz w:val="21"/>
                      <w:szCs w:val="21"/>
                      <w:u w:val="single"/>
                    </w:rPr>
                    <w:t>)</w:t>
                  </w:r>
                </w:p>
              </w:tc>
              <w:tc>
                <w:tcPr>
                  <w:tcW w:w="1613" w:type="dxa"/>
                  <w:vAlign w:val="center"/>
                </w:tcPr>
                <w:p>
                  <w:pPr>
                    <w:pStyle w:val="255"/>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textAlignment w:val="auto"/>
                    <w:rPr>
                      <w:u w:val="single"/>
                    </w:rPr>
                  </w:pPr>
                  <w:r>
                    <w:rPr>
                      <w:rFonts w:hint="default" w:ascii="Times New Roman" w:hAnsi="Times New Roman" w:eastAsia="宋体" w:cs="Times New Roman"/>
                      <w:sz w:val="21"/>
                      <w:szCs w:val="21"/>
                      <w:u w:val="single"/>
                    </w:rPr>
                    <w:t>挖方量(m</w:t>
                  </w:r>
                  <w:r>
                    <w:rPr>
                      <w:rFonts w:hint="default" w:ascii="Times New Roman" w:hAnsi="Times New Roman" w:eastAsia="宋体" w:cs="Times New Roman"/>
                      <w:sz w:val="21"/>
                      <w:szCs w:val="21"/>
                      <w:u w:val="single"/>
                      <w:vertAlign w:val="superscript"/>
                    </w:rPr>
                    <w:t>3</w:t>
                  </w:r>
                  <w:r>
                    <w:rPr>
                      <w:rFonts w:hint="default" w:ascii="Times New Roman" w:hAnsi="Times New Roman" w:eastAsia="宋体" w:cs="Times New Roman"/>
                      <w:sz w:val="21"/>
                      <w:szCs w:val="21"/>
                      <w:u w:val="singl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9" w:hRule="atLeast"/>
              </w:trPr>
              <w:tc>
                <w:tcPr>
                  <w:tcW w:w="914" w:type="dxa"/>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0+440</w:t>
                  </w:r>
                </w:p>
              </w:tc>
              <w:tc>
                <w:tcPr>
                  <w:tcW w:w="1903" w:type="dxa"/>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0</w:t>
                  </w:r>
                </w:p>
              </w:tc>
              <w:tc>
                <w:tcPr>
                  <w:tcW w:w="1830" w:type="dxa"/>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131.504</w:t>
                  </w: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85.934</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1437.076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5"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0+460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8.593</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12.203</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p>
              </w:tc>
              <w:tc>
                <w:tcPr>
                  <w:tcW w:w="190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p>
              </w:tc>
              <w:tc>
                <w:tcPr>
                  <w:tcW w:w="1830"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p>
              </w:tc>
              <w:tc>
                <w:tcPr>
                  <w:tcW w:w="1539"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608.916</w:t>
                  </w:r>
                </w:p>
              </w:tc>
              <w:tc>
                <w:tcPr>
                  <w:tcW w:w="161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140.142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 w:hRule="atLeast"/>
              </w:trPr>
              <w:tc>
                <w:tcPr>
                  <w:tcW w:w="914"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0+480</w:t>
                  </w:r>
                </w:p>
              </w:tc>
              <w:tc>
                <w:tcPr>
                  <w:tcW w:w="1903"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52.298</w:t>
                  </w:r>
                </w:p>
              </w:tc>
              <w:tc>
                <w:tcPr>
                  <w:tcW w:w="1830" w:type="dxa"/>
                  <w:vMerge w:val="restart"/>
                  <w:tcBorders>
                    <w:bottom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1.811</w:t>
                  </w:r>
                </w:p>
              </w:tc>
              <w:tc>
                <w:tcPr>
                  <w:tcW w:w="1539"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tcBorders>
                    <w:top w:val="nil"/>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914" w:type="dxa"/>
                  <w:vMerge w:val="continue"/>
                  <w:tcBorders>
                    <w:top w:val="nil"/>
                    <w:bottom w:val="single" w:color="auto" w:sz="4" w:space="0"/>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p>
              </w:tc>
              <w:tc>
                <w:tcPr>
                  <w:tcW w:w="1903" w:type="dxa"/>
                  <w:vMerge w:val="continue"/>
                  <w:tcBorders>
                    <w:top w:val="nil"/>
                    <w:bottom w:val="single" w:color="auto" w:sz="4" w:space="0"/>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p>
              </w:tc>
              <w:tc>
                <w:tcPr>
                  <w:tcW w:w="1830" w:type="dxa"/>
                  <w:vMerge w:val="continue"/>
                  <w:tcBorders>
                    <w:top w:val="nil"/>
                    <w:bottom w:val="single" w:color="auto" w:sz="4" w:space="0"/>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p>
              </w:tc>
              <w:tc>
                <w:tcPr>
                  <w:tcW w:w="1539"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1219.425</w:t>
                  </w:r>
                </w:p>
              </w:tc>
              <w:tc>
                <w:tcPr>
                  <w:tcW w:w="1613" w:type="dxa"/>
                  <w:vMerge w:val="restart"/>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r>
                    <w:rPr>
                      <w:u w:val="single"/>
                    </w:rPr>
                    <w:t>48.135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914" w:type="dxa"/>
                  <w:tcBorders>
                    <w:top w:val="single" w:color="auto" w:sz="4" w:space="0"/>
                    <w:left w:val="single" w:color="auto" w:sz="4" w:space="0"/>
                    <w:bottom w:val="single" w:color="auto" w:sz="4" w:space="0"/>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0+506.307</w:t>
                  </w:r>
                </w:p>
              </w:tc>
              <w:tc>
                <w:tcPr>
                  <w:tcW w:w="1903" w:type="dxa"/>
                  <w:tcBorders>
                    <w:top w:val="single" w:color="auto" w:sz="4" w:space="0"/>
                    <w:bottom w:val="single" w:color="auto" w:sz="4" w:space="0"/>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40.409</w:t>
                  </w:r>
                </w:p>
              </w:tc>
              <w:tc>
                <w:tcPr>
                  <w:tcW w:w="1830" w:type="dxa"/>
                  <w:tcBorders>
                    <w:top w:val="single" w:color="auto" w:sz="4" w:space="0"/>
                    <w:bottom w:val="single" w:color="auto" w:sz="4" w:space="0"/>
                    <w:right w:val="single" w:color="auto" w:sz="4" w:space="0"/>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u w:val="single"/>
                    </w:rPr>
                  </w:pPr>
                  <w:r>
                    <w:rPr>
                      <w:rFonts w:hint="default"/>
                      <w:u w:val="single"/>
                    </w:rPr>
                    <w:t>1.849</w:t>
                  </w:r>
                </w:p>
              </w:tc>
              <w:tc>
                <w:tcPr>
                  <w:tcW w:w="1539" w:type="dxa"/>
                  <w:vMerge w:val="continue"/>
                  <w:tcBorders>
                    <w:left w:val="single" w:color="auto" w:sz="4" w:space="0"/>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c>
                <w:tcPr>
                  <w:tcW w:w="1613" w:type="dxa"/>
                  <w:vMerge w:val="continue"/>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u w:val="singl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4647" w:type="dxa"/>
                  <w:gridSpan w:val="3"/>
                  <w:tcBorders>
                    <w:top w:val="single" w:color="auto" w:sz="4" w:space="0"/>
                    <w:left w:val="single" w:color="auto" w:sz="4" w:space="0"/>
                    <w:bottom w:val="single" w:color="auto" w:sz="4" w:space="0"/>
                    <w:right w:val="single" w:color="auto" w:sz="4" w:space="0"/>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eastAsia="宋体"/>
                      <w:u w:val="single"/>
                      <w:lang w:val="en-US" w:eastAsia="zh-CN"/>
                    </w:rPr>
                  </w:pPr>
                  <w:r>
                    <w:rPr>
                      <w:rFonts w:hint="eastAsia"/>
                      <w:u w:val="single"/>
                      <w:lang w:val="en-US" w:eastAsia="zh-CN"/>
                    </w:rPr>
                    <w:t>合计</w:t>
                  </w:r>
                </w:p>
              </w:tc>
              <w:tc>
                <w:tcPr>
                  <w:tcW w:w="1539" w:type="dxa"/>
                  <w:tcBorders>
                    <w:left w:val="single" w:color="auto" w:sz="4" w:space="0"/>
                  </w:tcBorders>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eastAsia="宋体"/>
                      <w:u w:val="single"/>
                      <w:lang w:val="en-US" w:eastAsia="zh-CN"/>
                    </w:rPr>
                  </w:pPr>
                  <w:r>
                    <w:rPr>
                      <w:rFonts w:hint="eastAsia"/>
                      <w:u w:val="single"/>
                      <w:lang w:val="en-US" w:eastAsia="zh-CN"/>
                    </w:rPr>
                    <w:t>10591.368</w:t>
                  </w:r>
                </w:p>
              </w:tc>
              <w:tc>
                <w:tcPr>
                  <w:tcW w:w="1613" w:type="dxa"/>
                  <w:vAlign w:val="center"/>
                </w:tcPr>
                <w:p>
                  <w:pPr>
                    <w:pStyle w:val="228"/>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eastAsia="宋体"/>
                      <w:u w:val="single"/>
                      <w:lang w:val="en-US" w:eastAsia="zh-CN"/>
                    </w:rPr>
                  </w:pPr>
                  <w:r>
                    <w:rPr>
                      <w:rFonts w:hint="eastAsia"/>
                      <w:u w:val="single"/>
                      <w:lang w:val="en-US" w:eastAsia="zh-CN"/>
                    </w:rPr>
                    <w:t>17758.793</w:t>
                  </w:r>
                </w:p>
              </w:tc>
            </w:tr>
          </w:tbl>
          <w:p>
            <w:pPr>
              <w:pStyle w:val="192"/>
              <w:keepNext/>
              <w:keepLines/>
              <w:pageBreakBefore w:val="0"/>
              <w:widowControl w:val="0"/>
              <w:kinsoku/>
              <w:wordWrap/>
              <w:overflowPunct/>
              <w:topLinePunct w:val="0"/>
              <w:autoSpaceDE/>
              <w:autoSpaceDN/>
              <w:bidi w:val="0"/>
              <w:adjustRightInd w:val="0"/>
              <w:snapToGrid w:val="0"/>
              <w:spacing w:before="0" w:after="0" w:line="360" w:lineRule="auto"/>
              <w:ind w:firstLine="420" w:firstLineChars="200"/>
              <w:textAlignment w:val="auto"/>
              <w:outlineLvl w:val="2"/>
              <w:rPr>
                <w:rFonts w:hint="default" w:ascii="Times New Roman" w:hAnsi="Times New Roman" w:eastAsia="宋体" w:cs="Times New Roman"/>
                <w:b w:val="0"/>
                <w:color w:val="000000"/>
                <w:sz w:val="21"/>
                <w:szCs w:val="21"/>
                <w:highlight w:val="none"/>
                <w:u w:val="single"/>
                <w:vertAlign w:val="baseline"/>
                <w:lang w:val="en-US" w:eastAsia="zh-CN" w:bidi="ar"/>
              </w:rPr>
            </w:pPr>
            <w:r>
              <w:rPr>
                <w:rFonts w:hint="eastAsia" w:ascii="Times New Roman" w:hAnsi="Times New Roman" w:eastAsia="宋体" w:cs="Times New Roman"/>
                <w:b w:val="0"/>
                <w:color w:val="000000"/>
                <w:sz w:val="21"/>
                <w:szCs w:val="21"/>
                <w:highlight w:val="none"/>
                <w:u w:val="single"/>
                <w:vertAlign w:val="baseline"/>
                <w:lang w:val="en-US" w:eastAsia="zh-CN" w:bidi="ar"/>
              </w:rPr>
              <w:t>注：</w:t>
            </w:r>
            <w:r>
              <w:rPr>
                <w:rFonts w:hint="eastAsia" w:cs="Times New Roman"/>
                <w:b w:val="0"/>
                <w:color w:val="000000"/>
                <w:sz w:val="21"/>
                <w:szCs w:val="21"/>
                <w:highlight w:val="none"/>
                <w:u w:val="single"/>
                <w:vertAlign w:val="baseline"/>
                <w:lang w:val="en-US" w:eastAsia="zh-CN" w:bidi="ar"/>
              </w:rPr>
              <w:t>本项目</w:t>
            </w:r>
            <w:r>
              <w:rPr>
                <w:rFonts w:hint="eastAsia" w:ascii="Times New Roman" w:hAnsi="Times New Roman" w:eastAsia="宋体" w:cs="Times New Roman"/>
                <w:b w:val="0"/>
                <w:color w:val="000000"/>
                <w:sz w:val="21"/>
                <w:szCs w:val="21"/>
                <w:highlight w:val="none"/>
                <w:u w:val="single"/>
                <w:vertAlign w:val="baseline"/>
                <w:lang w:val="en-US" w:eastAsia="zh-CN" w:bidi="ar"/>
              </w:rPr>
              <w:t>外借土方由城管部门从其它建设项目就近调配</w:t>
            </w:r>
            <w:r>
              <w:rPr>
                <w:rFonts w:hint="eastAsia" w:cs="Times New Roman"/>
                <w:b w:val="0"/>
                <w:color w:val="000000"/>
                <w:sz w:val="21"/>
                <w:szCs w:val="21"/>
                <w:highlight w:val="none"/>
                <w:u w:val="single"/>
                <w:vertAlign w:val="baseline"/>
                <w:lang w:val="en-US" w:eastAsia="zh-CN" w:bidi="ar"/>
              </w:rPr>
              <w:t>，本次评价要求土壤来源合规、合法，不含有毒有害物质</w:t>
            </w:r>
            <w:r>
              <w:rPr>
                <w:rFonts w:hint="eastAsia" w:ascii="Times New Roman" w:hAnsi="Times New Roman" w:eastAsia="宋体" w:cs="Times New Roman"/>
                <w:b w:val="0"/>
                <w:color w:val="000000"/>
                <w:sz w:val="21"/>
                <w:szCs w:val="21"/>
                <w:highlight w:val="none"/>
                <w:u w:val="single"/>
                <w:vertAlign w:val="baseline"/>
                <w:lang w:val="en-US" w:eastAsia="zh-CN" w:bidi="ar"/>
              </w:rPr>
              <w:t>。</w:t>
            </w:r>
          </w:p>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default" w:ascii="Times New Roman" w:hAnsi="Times New Roman" w:eastAsia="宋体" w:cs="Times New Roman"/>
                <w:bCs/>
                <w:color w:val="000000"/>
                <w:sz w:val="21"/>
                <w:szCs w:val="21"/>
                <w:highlight w:val="none"/>
                <w:lang w:val="en-US"/>
              </w:rPr>
            </w:pPr>
            <w:r>
              <w:rPr>
                <w:rFonts w:hint="eastAsia" w:cs="Times New Roman"/>
                <w:bCs/>
                <w:color w:val="000000"/>
                <w:sz w:val="21"/>
                <w:szCs w:val="21"/>
                <w:highlight w:val="none"/>
                <w:lang w:val="en-US" w:eastAsia="zh-CN"/>
              </w:rPr>
              <w:t>2.7 工程征地拆迁</w:t>
            </w:r>
          </w:p>
          <w:p>
            <w:pPr>
              <w:pStyle w:val="240"/>
              <w:keepNext w:val="0"/>
              <w:keepLines w:val="0"/>
              <w:pageBreakBefore w:val="0"/>
              <w:widowControl/>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u w:val="single"/>
                <w:lang w:val="en-US" w:eastAsia="zh-CN"/>
              </w:rPr>
              <w:t>本项目占地范围</w:t>
            </w:r>
            <w:r>
              <w:rPr>
                <w:rFonts w:hint="eastAsia" w:cs="Times New Roman"/>
                <w:color w:val="000000"/>
                <w:sz w:val="21"/>
                <w:szCs w:val="21"/>
                <w:highlight w:val="none"/>
                <w:u w:val="single"/>
                <w:lang w:val="en-US" w:eastAsia="zh-CN"/>
              </w:rPr>
              <w:t>涉及</w:t>
            </w:r>
            <w:r>
              <w:rPr>
                <w:rFonts w:hint="default" w:ascii="Times New Roman" w:hAnsi="Times New Roman" w:cs="Times New Roman"/>
                <w:color w:val="000000"/>
                <w:sz w:val="21"/>
                <w:szCs w:val="21"/>
                <w:highlight w:val="none"/>
                <w:u w:val="single"/>
                <w:lang w:val="en-US" w:eastAsia="zh-CN"/>
              </w:rPr>
              <w:t>部分拆迁房屋</w:t>
            </w:r>
            <w:r>
              <w:rPr>
                <w:rFonts w:hint="eastAsia" w:cs="Times New Roman"/>
                <w:color w:val="000000"/>
                <w:sz w:val="21"/>
                <w:szCs w:val="21"/>
                <w:highlight w:val="none"/>
                <w:u w:val="single"/>
                <w:lang w:val="en-US" w:eastAsia="zh-CN"/>
              </w:rPr>
              <w:t>。主要为朝阳街道老渡口社区8组、东岳宫社区7组范围内，总面积6.0369公顷，土地位置详见勘测定界图（详见附件6）</w:t>
            </w:r>
            <w:r>
              <w:rPr>
                <w:rFonts w:hint="default" w:ascii="Times New Roman" w:hAnsi="Times New Roman" w:cs="Times New Roman"/>
                <w:color w:val="000000"/>
                <w:sz w:val="21"/>
                <w:szCs w:val="21"/>
                <w:highlight w:val="none"/>
                <w:u w:val="single"/>
                <w:lang w:val="en-US" w:eastAsia="zh-CN"/>
              </w:rPr>
              <w:t>，拆迁工作由当地政府组织实施，本项目不涉及</w:t>
            </w:r>
            <w:r>
              <w:rPr>
                <w:rFonts w:hint="default" w:ascii="Times New Roman" w:hAnsi="Times New Roman" w:cs="Times New Roman"/>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504" w:hRule="atLeast"/>
          <w:jc w:val="center"/>
        </w:trPr>
        <w:tc>
          <w:tcPr>
            <w:tcW w:w="494" w:type="dxa"/>
            <w:noWrap w:val="0"/>
            <w:vAlign w:val="center"/>
          </w:tcPr>
          <w:p>
            <w:pPr>
              <w:spacing w:line="360" w:lineRule="auto"/>
              <w:jc w:val="center"/>
              <w:rPr>
                <w:rFonts w:ascii="宋体" w:hAnsi="宋体" w:cs="宋体"/>
                <w:color w:val="000000"/>
                <w:sz w:val="21"/>
                <w:szCs w:val="21"/>
                <w:highlight w:val="none"/>
              </w:rPr>
            </w:pPr>
            <w:r>
              <w:rPr>
                <w:rFonts w:hint="eastAsia" w:ascii="宋体" w:hAnsi="宋体" w:cs="宋体"/>
                <w:color w:val="000000"/>
                <w:sz w:val="21"/>
                <w:szCs w:val="21"/>
                <w:highlight w:val="none"/>
              </w:rPr>
              <w:t>总平面及现场布置</w:t>
            </w:r>
          </w:p>
        </w:tc>
        <w:tc>
          <w:tcPr>
            <w:tcW w:w="8026" w:type="dxa"/>
            <w:noWrap w:val="0"/>
            <w:vAlign w:val="center"/>
          </w:tcPr>
          <w:p>
            <w:pPr>
              <w:pStyle w:val="191"/>
              <w:keepNext w:val="0"/>
              <w:keepLines w:val="0"/>
              <w:spacing w:before="0" w:after="0" w:line="360" w:lineRule="auto"/>
              <w:outlineLvl w:val="1"/>
              <w:rPr>
                <w:rFonts w:hint="default" w:ascii="Times New Roman" w:hAnsi="Times New Roman" w:eastAsia="宋体" w:cs="Times New Roman"/>
                <w:bCs/>
                <w:color w:val="000000"/>
                <w:sz w:val="21"/>
                <w:szCs w:val="21"/>
                <w:highlight w:val="none"/>
                <w:lang w:val="en-US" w:eastAsia="zh-CN" w:bidi="ar"/>
              </w:rPr>
            </w:pPr>
            <w:bookmarkStart w:id="13" w:name="_Toc18350"/>
            <w:r>
              <w:rPr>
                <w:rFonts w:hint="eastAsia" w:ascii="Times New Roman" w:hAnsi="Times New Roman" w:eastAsia="宋体" w:cs="Times New Roman"/>
                <w:bCs/>
                <w:color w:val="000000"/>
                <w:sz w:val="21"/>
                <w:szCs w:val="21"/>
                <w:highlight w:val="none"/>
                <w:lang w:val="en-US" w:eastAsia="zh-CN" w:bidi="ar"/>
              </w:rPr>
              <w:t>2. 8 总平面布置</w:t>
            </w:r>
          </w:p>
          <w:p>
            <w:pPr>
              <w:keepNext w:val="0"/>
              <w:keepLines w:val="0"/>
              <w:pageBreakBefore w:val="0"/>
              <w:widowControl w:val="0"/>
              <w:spacing w:line="360" w:lineRule="auto"/>
              <w:ind w:firstLine="480"/>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萍阳北路延伸段及萍洲大桥西岸匝道建设项目位于湖南省永州市零陵区萍阳北路，路线起点接现状萍阳北路南侧，连接至萍阳北路北至萍州大桥西匝道，与其相交的道路有：石渠路、广丰路、萍州大桥西匝道；萍洲大桥西岸匝道起终点均与萍阳北路相交，中部与萍州路相交，工程平面布置详见附图2</w:t>
            </w:r>
            <w:r>
              <w:rPr>
                <w:rFonts w:hint="eastAsia" w:ascii="Times New Roman" w:hAnsi="Times New Roman" w:eastAsia="宋体" w:cs="Times New Roman"/>
                <w:color w:val="000000"/>
                <w:sz w:val="21"/>
                <w:szCs w:val="21"/>
                <w:highlight w:val="none"/>
                <w:lang w:val="en-US" w:eastAsia="zh-CN"/>
              </w:rPr>
              <w:t>。</w:t>
            </w:r>
          </w:p>
          <w:p>
            <w:pPr>
              <w:pStyle w:val="191"/>
              <w:keepNext w:val="0"/>
              <w:keepLines w:val="0"/>
              <w:spacing w:before="0" w:after="0" w:line="360" w:lineRule="auto"/>
              <w:outlineLvl w:val="1"/>
              <w:rPr>
                <w:rFonts w:hint="default" w:ascii="Times New Roman" w:hAnsi="Times New Roman" w:eastAsia="宋体" w:cs="Times New Roman"/>
                <w:bCs/>
                <w:color w:val="000000"/>
                <w:sz w:val="21"/>
                <w:szCs w:val="21"/>
                <w:highlight w:val="none"/>
                <w:lang w:val="en-US" w:eastAsia="zh-CN" w:bidi="ar"/>
              </w:rPr>
            </w:pPr>
            <w:r>
              <w:rPr>
                <w:rFonts w:hint="eastAsia" w:ascii="Times New Roman" w:hAnsi="Times New Roman" w:eastAsia="宋体" w:cs="Times New Roman"/>
                <w:bCs/>
                <w:color w:val="000000"/>
                <w:sz w:val="21"/>
                <w:szCs w:val="21"/>
                <w:highlight w:val="none"/>
                <w:lang w:val="en-US" w:eastAsia="zh-CN" w:bidi="ar"/>
              </w:rPr>
              <w:t>2.</w:t>
            </w:r>
            <w:bookmarkEnd w:id="13"/>
            <w:r>
              <w:rPr>
                <w:rFonts w:hint="eastAsia" w:ascii="Times New Roman" w:hAnsi="Times New Roman" w:eastAsia="宋体" w:cs="Times New Roman"/>
                <w:bCs/>
                <w:color w:val="000000"/>
                <w:sz w:val="21"/>
                <w:szCs w:val="21"/>
                <w:highlight w:val="none"/>
                <w:lang w:val="en-US" w:eastAsia="zh-CN" w:bidi="ar"/>
              </w:rPr>
              <w:t>9 施工临时布置</w:t>
            </w:r>
          </w:p>
          <w:p>
            <w:pPr>
              <w:pStyle w:val="199"/>
              <w:keepNext w:val="0"/>
              <w:keepLines w:val="0"/>
              <w:pageBreakBefore w:val="0"/>
              <w:widowControl/>
              <w:spacing w:before="0" w:after="0" w:line="360" w:lineRule="auto"/>
              <w:ind w:right="113" w:firstLine="360"/>
              <w:jc w:val="both"/>
              <w:rPr>
                <w:rFonts w:hint="eastAsia" w:ascii="宋体" w:hAnsi="宋体" w:cs="宋体"/>
                <w:color w:val="000000"/>
                <w:sz w:val="21"/>
                <w:szCs w:val="21"/>
                <w:highlight w:val="none"/>
              </w:rPr>
            </w:pPr>
            <w:r>
              <w:rPr>
                <w:rFonts w:hint="eastAsia" w:ascii="宋体" w:hAnsi="宋体" w:cs="宋体"/>
                <w:color w:val="000000"/>
                <w:sz w:val="21"/>
                <w:szCs w:val="21"/>
                <w:highlight w:val="none"/>
              </w:rPr>
              <w:t>施工场地、表土堆场结合当阶段施工路段交通组织方案，利用现有道路红线内空间进行施工机械、材料及表土堆放，不新设临时施工场地和表土堆场；利用道路红线内的占地及项目周边现有道路作为施工便道，无需新建便道。</w:t>
            </w:r>
          </w:p>
          <w:p>
            <w:pPr>
              <w:pStyle w:val="199"/>
              <w:keepNext w:val="0"/>
              <w:keepLines w:val="0"/>
              <w:pageBreakBefore w:val="0"/>
              <w:widowControl/>
              <w:spacing w:before="0" w:after="0" w:line="360" w:lineRule="auto"/>
              <w:ind w:right="113" w:firstLine="360"/>
              <w:jc w:val="both"/>
              <w:rPr>
                <w:rFonts w:ascii="宋体" w:hAnsi="宋体" w:cs="宋体"/>
                <w:color w:val="000000"/>
                <w:sz w:val="21"/>
                <w:szCs w:val="21"/>
                <w:highlight w:val="none"/>
              </w:rPr>
            </w:pPr>
            <w:r>
              <w:rPr>
                <w:rFonts w:hint="eastAsia" w:ascii="宋体" w:hAnsi="宋体" w:cs="宋体"/>
                <w:color w:val="000000"/>
                <w:sz w:val="21"/>
                <w:szCs w:val="21"/>
                <w:highlight w:val="none"/>
              </w:rPr>
              <w:t>项目沿线分布有大量民房，可满足本项目施工人员租住生活，项目不设施工营地。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2017" w:hRule="atLeast"/>
          <w:jc w:val="center"/>
        </w:trPr>
        <w:tc>
          <w:tcPr>
            <w:tcW w:w="494" w:type="dxa"/>
            <w:noWrap w:val="0"/>
            <w:vAlign w:val="center"/>
          </w:tcPr>
          <w:p>
            <w:pPr>
              <w:spacing w:line="360" w:lineRule="auto"/>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施工</w:t>
            </w:r>
          </w:p>
          <w:p>
            <w:pPr>
              <w:spacing w:line="360" w:lineRule="auto"/>
              <w:jc w:val="center"/>
              <w:rPr>
                <w:rFonts w:ascii="宋体" w:hAnsi="宋体" w:cs="宋体"/>
                <w:color w:val="000000"/>
                <w:sz w:val="21"/>
                <w:szCs w:val="21"/>
                <w:highlight w:val="none"/>
              </w:rPr>
            </w:pPr>
            <w:r>
              <w:rPr>
                <w:rFonts w:hint="eastAsia" w:ascii="宋体" w:hAnsi="宋体" w:cs="宋体"/>
                <w:color w:val="000000"/>
                <w:sz w:val="21"/>
                <w:szCs w:val="21"/>
                <w:highlight w:val="none"/>
              </w:rPr>
              <w:t>方案</w:t>
            </w:r>
          </w:p>
        </w:tc>
        <w:tc>
          <w:tcPr>
            <w:tcW w:w="8026" w:type="dxa"/>
            <w:noWrap w:val="0"/>
            <w:vAlign w:val="center"/>
          </w:tcPr>
          <w:p>
            <w:pPr>
              <w:pStyle w:val="192"/>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rFonts w:hint="eastAsia"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2.10</w:t>
            </w:r>
            <w:r>
              <w:rPr>
                <w:rFonts w:hint="eastAsia" w:cs="Times New Roman"/>
                <w:bCs/>
                <w:color w:val="000000"/>
                <w:sz w:val="21"/>
                <w:szCs w:val="21"/>
                <w:highlight w:val="none"/>
                <w:lang w:val="en-US" w:eastAsia="zh-CN"/>
              </w:rPr>
              <w:t xml:space="preserve"> </w:t>
            </w:r>
            <w:r>
              <w:rPr>
                <w:rFonts w:hint="eastAsia" w:ascii="Times New Roman" w:hAnsi="Times New Roman" w:cs="Times New Roman"/>
                <w:bCs/>
                <w:color w:val="000000"/>
                <w:sz w:val="21"/>
                <w:szCs w:val="21"/>
                <w:highlight w:val="none"/>
                <w:lang w:val="en-US" w:eastAsia="zh-CN"/>
              </w:rPr>
              <w:t>施工方案</w:t>
            </w:r>
          </w:p>
          <w:p>
            <w:pPr>
              <w:pStyle w:val="199"/>
              <w:jc w:val="center"/>
              <w:rPr>
                <w:rFonts w:hint="eastAsia" w:eastAsia="宋体"/>
                <w:color w:val="000000"/>
                <w:sz w:val="21"/>
                <w:szCs w:val="21"/>
                <w:highlight w:val="none"/>
                <w:lang w:eastAsia="zh-CN"/>
              </w:rPr>
            </w:pPr>
            <w:r>
              <w:rPr>
                <w:rFonts w:hint="eastAsia" w:eastAsia="宋体"/>
                <w:color w:val="000000"/>
                <w:sz w:val="21"/>
                <w:szCs w:val="21"/>
                <w:highlight w:val="none"/>
                <w:lang w:eastAsia="zh-CN"/>
              </w:rPr>
              <w:object>
                <v:shape id="_x0000_i1025" o:spt="75" type="#_x0000_t75" style="height:102.75pt;width:265.5pt;" o:ole="t" filled="f" o:preferrelative="t" stroked="f" coordsize="21600,21600">
                  <v:path/>
                  <v:fill on="f" focussize="0,0"/>
                  <v:stroke on="f"/>
                  <v:imagedata r:id="rId30" o:title=""/>
                  <o:lock v:ext="edit" aspectratio="t"/>
                  <w10:wrap type="none"/>
                  <w10:anchorlock/>
                </v:shape>
                <o:OLEObject Type="Embed" ProgID="Visio.Drawing.11" ShapeID="_x0000_i1025" DrawAspect="Content" ObjectID="_1468075725" r:id="rId29">
                  <o:LockedField>false</o:LockedField>
                </o:OLEObject>
              </w:object>
            </w:r>
          </w:p>
          <w:p>
            <w:pPr>
              <w:pStyle w:val="199"/>
              <w:jc w:val="center"/>
              <w:rPr>
                <w:rFonts w:ascii="Times New Roman" w:hAnsi="Times New Roman" w:cs="Times New Roman"/>
                <w:b/>
                <w:bCs/>
                <w:color w:val="000000"/>
                <w:sz w:val="21"/>
                <w:szCs w:val="21"/>
                <w:highlight w:val="none"/>
              </w:rPr>
            </w:pPr>
            <w:r>
              <w:rPr>
                <w:rFonts w:ascii="Times New Roman" w:hAnsi="Times New Roman" w:cs="Times New Roman"/>
                <w:b/>
                <w:bCs/>
                <w:color w:val="000000"/>
                <w:sz w:val="21"/>
                <w:szCs w:val="21"/>
                <w:highlight w:val="none"/>
              </w:rPr>
              <w:t>图</w:t>
            </w:r>
            <w:r>
              <w:rPr>
                <w:rFonts w:ascii="Times New Roman" w:hAnsi="Times New Roman" w:cs="Times New Roman"/>
                <w:b/>
                <w:bCs/>
                <w:color w:val="000000"/>
                <w:sz w:val="21"/>
                <w:szCs w:val="21"/>
                <w:highlight w:val="none"/>
                <w:lang w:val="en-US" w:eastAsia="zh-CN"/>
              </w:rPr>
              <w:t>2</w:t>
            </w:r>
            <w:r>
              <w:rPr>
                <w:rFonts w:hint="eastAsia" w:cs="Times New Roman"/>
                <w:b/>
                <w:bCs/>
                <w:color w:val="000000"/>
                <w:sz w:val="21"/>
                <w:szCs w:val="21"/>
                <w:highlight w:val="none"/>
                <w:lang w:val="en-US" w:eastAsia="zh-CN"/>
              </w:rPr>
              <w:t>-4</w:t>
            </w:r>
            <w:r>
              <w:rPr>
                <w:rFonts w:ascii="Times New Roman" w:hAnsi="Times New Roman" w:cs="Times New Roman"/>
                <w:b/>
                <w:bCs/>
                <w:color w:val="000000"/>
                <w:sz w:val="21"/>
                <w:szCs w:val="21"/>
                <w:highlight w:val="none"/>
              </w:rPr>
              <w:t xml:space="preserve"> </w:t>
            </w:r>
            <w:r>
              <w:rPr>
                <w:rFonts w:hint="eastAsia" w:cs="Times New Roman"/>
                <w:b/>
                <w:bCs/>
                <w:color w:val="000000"/>
                <w:sz w:val="21"/>
                <w:szCs w:val="21"/>
                <w:highlight w:val="none"/>
                <w:lang w:val="en-US" w:eastAsia="zh-CN"/>
              </w:rPr>
              <w:t>道路</w:t>
            </w:r>
            <w:r>
              <w:rPr>
                <w:rFonts w:ascii="Times New Roman" w:hAnsi="Times New Roman" w:cs="Times New Roman"/>
                <w:b/>
                <w:bCs/>
                <w:color w:val="000000"/>
                <w:sz w:val="21"/>
                <w:szCs w:val="21"/>
                <w:highlight w:val="none"/>
              </w:rPr>
              <w:t>施工工艺流程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道路施工工艺流程：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①施工顺序</w:t>
            </w:r>
          </w:p>
          <w:p>
            <w:pPr>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bidi="ar-SA"/>
              </w:rPr>
              <w:t>现有</w:t>
            </w:r>
            <w:r>
              <w:rPr>
                <w:rFonts w:hint="eastAsia" w:ascii="Times New Roman" w:hAnsi="Times New Roman" w:eastAsia="宋体" w:cs="Times New Roman"/>
                <w:color w:val="000000"/>
                <w:sz w:val="21"/>
                <w:szCs w:val="21"/>
                <w:highlight w:val="none"/>
                <w:lang w:val="en-US" w:eastAsia="zh-CN" w:bidi="ar-SA"/>
              </w:rPr>
              <w:t>旧路改造</w:t>
            </w:r>
            <w:r>
              <w:rPr>
                <w:rFonts w:hint="default" w:ascii="Times New Roman" w:hAnsi="Times New Roman" w:eastAsia="宋体" w:cs="Times New Roman"/>
                <w:color w:val="000000"/>
                <w:sz w:val="21"/>
                <w:szCs w:val="21"/>
                <w:highlight w:val="none"/>
                <w:lang w:val="en-US" w:eastAsia="zh-CN" w:bidi="ar-SA"/>
              </w:rPr>
              <w:t>：</w:t>
            </w:r>
            <w:r>
              <w:rPr>
                <w:rFonts w:hint="default" w:ascii="Times New Roman" w:hAnsi="Times New Roman" w:eastAsia="宋体" w:cs="Times New Roman"/>
                <w:color w:val="000000"/>
                <w:sz w:val="21"/>
                <w:szCs w:val="21"/>
                <w:highlight w:val="none"/>
                <w:lang w:val="en-US" w:eastAsia="zh-CN"/>
              </w:rPr>
              <w:t>本次设计萍阳北路桩号（0+000至0+520）段为旧路改造工程</w:t>
            </w:r>
            <w:r>
              <w:rPr>
                <w:rFonts w:hint="eastAsia" w:ascii="Times New Roman" w:hAnsi="Times New Roman"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现状道路实施有一定年限，部分道路为水泥板块，部分为沥青面层。根据现场查勘发现现状路面存在大部分病害板块，道路宽度各不相同平面也与本次设计有一定偏差采用修补方式对新建道路质量产生较大影响。新设计纵断面将比原道路稍高出20-80cm，采用加铺方式不适合本道路实际情况，因此本次设计将原旧路段路面结构进行挖除改造。</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延伸段道路</w:t>
            </w:r>
            <w:r>
              <w:rPr>
                <w:rFonts w:hint="eastAsia" w:ascii="Times New Roman" w:hAnsi="Times New Roman" w:eastAsia="宋体" w:cs="Times New Roman"/>
                <w:color w:val="000000"/>
                <w:sz w:val="21"/>
                <w:szCs w:val="21"/>
                <w:highlight w:val="none"/>
                <w:lang w:val="en-US" w:eastAsia="zh-CN" w:bidi="ar-SA"/>
              </w:rPr>
              <w:t>、匝道</w:t>
            </w:r>
            <w:r>
              <w:rPr>
                <w:rFonts w:hint="default" w:ascii="Times New Roman" w:hAnsi="Times New Roman" w:eastAsia="宋体" w:cs="Times New Roman"/>
                <w:color w:val="000000"/>
                <w:sz w:val="21"/>
                <w:szCs w:val="21"/>
                <w:highlight w:val="none"/>
                <w:lang w:val="en-US" w:eastAsia="zh-CN" w:bidi="ar-SA"/>
              </w:rPr>
              <w:t>：清除表土或软基处理－填筑路基－摊铺基层－砌筑路缘石－基层顶面喷洒乳化沥青透层—摊铺底面层－乳化沥青粘层－摊铺上面层。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②路基施工方案</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路基施工采用机械化，大型机械作业。施工过程中，过湿土均在取土场采用翻松晾晒或在路基上摊铺晾晒，待达到要求的含水量后碾压。碾压工作要及时快速，确保达到密实度要求。路基填筑，在路基全宽范围内分层填筑，分层碾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根据不同的填料选择机械类型，并修筑试验段，取得合理的试验参数后，再在全合同段按标准程序化进行。路基填筑施工工艺见下图</w:t>
            </w:r>
            <w:r>
              <w:rPr>
                <w:rFonts w:hint="eastAsia" w:ascii="Times New Roman" w:hAnsi="Times New Roman" w:eastAsia="宋体" w:cs="Times New Roman"/>
                <w:color w:val="000000"/>
                <w:sz w:val="21"/>
                <w:szCs w:val="21"/>
                <w:highlight w:val="none"/>
                <w:lang w:val="en-US" w:eastAsia="zh-CN" w:bidi="ar-SA"/>
              </w:rPr>
              <w:t>。</w:t>
            </w:r>
          </w:p>
          <w:p>
            <w:pPr>
              <w:bidi w:val="0"/>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bidi="ar-SA"/>
              </w:rPr>
              <w:object>
                <v:shape id="_x0000_i1026" o:spt="75" type="#_x0000_t75" style="height:280.15pt;width:281.75pt;" o:ole="t" filled="f" o:preferrelative="t" stroked="f" coordsize="21600,21600">
                  <v:path/>
                  <v:fill on="f" focussize="0,0"/>
                  <v:stroke on="f"/>
                  <v:imagedata r:id="rId32" o:title=""/>
                  <o:lock v:ext="edit" aspectratio="t"/>
                  <w10:wrap type="none"/>
                  <w10:anchorlock/>
                </v:shape>
                <o:OLEObject Type="Embed" ProgID="Visio.Drawing.11" ShapeID="_x0000_i1026" DrawAspect="Content" ObjectID="_1468075726" r:id="rId31">
                  <o:LockedField>false</o:LockedField>
                </o:OLEObject>
              </w:object>
            </w:r>
          </w:p>
          <w:p>
            <w:pPr>
              <w:pStyle w:val="199"/>
              <w:jc w:val="center"/>
              <w:rPr>
                <w:rFonts w:ascii="Times New Roman" w:hAnsi="Times New Roman" w:cs="Times New Roman"/>
                <w:b/>
                <w:bCs/>
                <w:color w:val="000000"/>
                <w:sz w:val="21"/>
                <w:szCs w:val="21"/>
                <w:highlight w:val="none"/>
              </w:rPr>
            </w:pPr>
            <w:r>
              <w:rPr>
                <w:rFonts w:ascii="Times New Roman" w:hAnsi="Times New Roman" w:cs="Times New Roman"/>
                <w:b/>
                <w:bCs/>
                <w:color w:val="000000"/>
                <w:sz w:val="21"/>
                <w:szCs w:val="21"/>
                <w:highlight w:val="none"/>
              </w:rPr>
              <w:t>图</w:t>
            </w:r>
            <w:r>
              <w:rPr>
                <w:rFonts w:ascii="Times New Roman" w:hAnsi="Times New Roman" w:cs="Times New Roman"/>
                <w:b/>
                <w:bCs/>
                <w:color w:val="000000"/>
                <w:sz w:val="21"/>
                <w:szCs w:val="21"/>
                <w:highlight w:val="none"/>
                <w:lang w:val="en-US" w:eastAsia="zh-CN"/>
              </w:rPr>
              <w:t>2</w:t>
            </w:r>
            <w:r>
              <w:rPr>
                <w:rFonts w:hint="eastAsia" w:cs="Times New Roman"/>
                <w:b/>
                <w:bCs/>
                <w:color w:val="000000"/>
                <w:sz w:val="21"/>
                <w:szCs w:val="21"/>
                <w:highlight w:val="none"/>
                <w:lang w:val="en-US" w:eastAsia="zh-CN"/>
              </w:rPr>
              <w:t>-5</w:t>
            </w:r>
            <w:r>
              <w:rPr>
                <w:rFonts w:ascii="Times New Roman" w:hAnsi="Times New Roman" w:cs="Times New Roman"/>
                <w:b/>
                <w:bCs/>
                <w:color w:val="000000"/>
                <w:sz w:val="21"/>
                <w:szCs w:val="21"/>
                <w:highlight w:val="none"/>
              </w:rPr>
              <w:t xml:space="preserve"> </w:t>
            </w:r>
            <w:r>
              <w:rPr>
                <w:rFonts w:hint="eastAsia" w:cs="Times New Roman"/>
                <w:b/>
                <w:bCs/>
                <w:color w:val="000000"/>
                <w:sz w:val="21"/>
                <w:szCs w:val="21"/>
                <w:highlight w:val="none"/>
                <w:lang w:val="en-US" w:eastAsia="zh-CN"/>
              </w:rPr>
              <w:t>路基工程</w:t>
            </w:r>
            <w:r>
              <w:rPr>
                <w:rFonts w:ascii="Times New Roman" w:hAnsi="Times New Roman" w:cs="Times New Roman"/>
                <w:b/>
                <w:bCs/>
                <w:color w:val="000000"/>
                <w:sz w:val="21"/>
                <w:szCs w:val="21"/>
                <w:highlight w:val="none"/>
              </w:rPr>
              <w:t>施工工艺流程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③路面施工方案</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本项目采用沥青混凝土面层，现有主路改建施工顺序如下：铣刨1层面层－乳化沥青粘层－摊铺上面层；扩建道路路面面层施工顺序如下：清扫下底层－摊铺底基层－砌筑路缘石－基层喷洒乳化沥青－摊铺下面层－乳化沥青粘层－摊铺上面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④管线工程施工方案</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管线工程施工期工艺流程为清理施工现场、管沟开挖、管沟组装焊接、下管、管道试压、覆土回填、恢复地貌以及设置明显标志等建设工序，施工流程如下图所示。</w:t>
            </w:r>
          </w:p>
          <w:p>
            <w:pPr>
              <w:bidi w:val="0"/>
              <w:jc w:val="center"/>
              <w:rPr>
                <w:rFonts w:hint="eastAsia" w:ascii="宋体" w:hAnsi="宋体" w:eastAsia="宋体" w:cs="宋体"/>
                <w:color w:val="000000"/>
                <w:sz w:val="21"/>
                <w:szCs w:val="21"/>
                <w:highlight w:val="none"/>
                <w:lang w:val="en-US" w:eastAsia="zh-CN" w:bidi="ar-SA"/>
              </w:rPr>
            </w:pPr>
            <w:r>
              <w:rPr>
                <w:rFonts w:hint="eastAsia" w:ascii="宋体" w:hAnsi="宋体" w:eastAsia="宋体" w:cs="宋体"/>
                <w:color w:val="000000"/>
                <w:sz w:val="21"/>
                <w:szCs w:val="21"/>
                <w:highlight w:val="none"/>
                <w:lang w:val="en-US" w:eastAsia="zh-CN" w:bidi="ar-SA"/>
              </w:rPr>
              <w:object>
                <v:shape id="_x0000_i1027" o:spt="75" type="#_x0000_t75" style="height:220.8pt;width:186.3pt;" o:ole="t" filled="f" o:preferrelative="t" stroked="f" coordsize="21600,21600">
                  <v:path/>
                  <v:fill on="f" focussize="0,0"/>
                  <v:stroke on="f"/>
                  <v:imagedata r:id="rId34" o:title=""/>
                  <o:lock v:ext="edit" aspectratio="t"/>
                  <w10:wrap type="none"/>
                  <w10:anchorlock/>
                </v:shape>
                <o:OLEObject Type="Embed" ProgID="Visio.Drawing.11" ShapeID="_x0000_i1027" DrawAspect="Content" ObjectID="_1468075727" r:id="rId33">
                  <o:LockedField>false</o:LockedField>
                </o:OLEObject>
              </w:object>
            </w:r>
          </w:p>
          <w:p>
            <w:pPr>
              <w:pStyle w:val="199"/>
              <w:jc w:val="center"/>
              <w:rPr>
                <w:rFonts w:ascii="Times New Roman" w:hAnsi="Times New Roman" w:cs="Times New Roman"/>
                <w:b/>
                <w:bCs/>
                <w:color w:val="000000"/>
                <w:sz w:val="21"/>
                <w:szCs w:val="21"/>
                <w:highlight w:val="none"/>
              </w:rPr>
            </w:pPr>
            <w:r>
              <w:rPr>
                <w:rFonts w:ascii="Times New Roman" w:hAnsi="Times New Roman" w:cs="Times New Roman"/>
                <w:b/>
                <w:bCs/>
                <w:color w:val="000000"/>
                <w:sz w:val="21"/>
                <w:szCs w:val="21"/>
                <w:highlight w:val="none"/>
              </w:rPr>
              <w:t>图</w:t>
            </w:r>
            <w:r>
              <w:rPr>
                <w:rFonts w:ascii="Times New Roman" w:hAnsi="Times New Roman" w:cs="Times New Roman"/>
                <w:b/>
                <w:bCs/>
                <w:color w:val="000000"/>
                <w:sz w:val="21"/>
                <w:szCs w:val="21"/>
                <w:highlight w:val="none"/>
                <w:lang w:val="en-US" w:eastAsia="zh-CN"/>
              </w:rPr>
              <w:t>2</w:t>
            </w:r>
            <w:r>
              <w:rPr>
                <w:rFonts w:hint="eastAsia" w:cs="Times New Roman"/>
                <w:b/>
                <w:bCs/>
                <w:color w:val="000000"/>
                <w:sz w:val="21"/>
                <w:szCs w:val="21"/>
                <w:highlight w:val="none"/>
                <w:lang w:val="en-US" w:eastAsia="zh-CN"/>
              </w:rPr>
              <w:t>-6</w:t>
            </w:r>
            <w:r>
              <w:rPr>
                <w:rFonts w:ascii="Times New Roman" w:hAnsi="Times New Roman" w:cs="Times New Roman"/>
                <w:b/>
                <w:bCs/>
                <w:color w:val="000000"/>
                <w:sz w:val="21"/>
                <w:szCs w:val="21"/>
                <w:highlight w:val="none"/>
              </w:rPr>
              <w:t xml:space="preserve"> </w:t>
            </w:r>
            <w:r>
              <w:rPr>
                <w:rFonts w:hint="eastAsia" w:cs="Times New Roman"/>
                <w:b/>
                <w:bCs/>
                <w:color w:val="000000"/>
                <w:sz w:val="21"/>
                <w:szCs w:val="21"/>
                <w:highlight w:val="none"/>
                <w:lang w:val="en-US" w:eastAsia="zh-CN"/>
              </w:rPr>
              <w:t>管线工程</w:t>
            </w:r>
            <w:r>
              <w:rPr>
                <w:rFonts w:ascii="Times New Roman" w:hAnsi="Times New Roman" w:cs="Times New Roman"/>
                <w:b/>
                <w:bCs/>
                <w:color w:val="000000"/>
                <w:sz w:val="21"/>
                <w:szCs w:val="21"/>
                <w:highlight w:val="none"/>
              </w:rPr>
              <w:t>施工工艺流程</w:t>
            </w:r>
          </w:p>
          <w:p>
            <w:pPr>
              <w:pStyle w:val="240"/>
              <w:widowControl/>
              <w:spacing w:line="360" w:lineRule="auto"/>
              <w:ind w:left="0" w:firstLine="0"/>
              <w:rPr>
                <w:rFonts w:hint="default"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⑤沿线设施及其它工程</w:t>
            </w:r>
          </w:p>
          <w:p>
            <w:pPr>
              <w:pStyle w:val="240"/>
              <w:widowControl/>
              <w:spacing w:line="360" w:lineRule="auto"/>
              <w:ind w:left="0" w:firstLine="420" w:firstLineChars="200"/>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主要包括交叉、绿化、美化等配套工程以及施工临建区等临时工程。施工过程中主要产生机械噪声及扬尘、运输车辆燃油尾气。</w:t>
            </w:r>
          </w:p>
          <w:p>
            <w:pPr>
              <w:pStyle w:val="240"/>
              <w:widowControl/>
              <w:spacing w:line="360" w:lineRule="auto"/>
              <w:ind w:left="0" w:firstLine="0"/>
              <w:rPr>
                <w:rFonts w:ascii="Times New Roman" w:hAnsi="Times New Roman" w:eastAsia="宋体" w:cs="Times New Roman"/>
                <w:b/>
                <w:bCs/>
                <w:color w:val="000000"/>
                <w:sz w:val="21"/>
                <w:szCs w:val="21"/>
                <w:highlight w:val="none"/>
              </w:rPr>
            </w:pPr>
            <w:r>
              <w:rPr>
                <w:rFonts w:hint="eastAsia" w:cs="Times New Roman"/>
                <w:b/>
                <w:bCs/>
                <w:color w:val="000000"/>
                <w:sz w:val="21"/>
                <w:szCs w:val="21"/>
                <w:highlight w:val="none"/>
                <w:lang w:val="en-US" w:eastAsia="zh-CN"/>
              </w:rPr>
              <w:t xml:space="preserve">2.11 </w:t>
            </w:r>
            <w:r>
              <w:rPr>
                <w:rFonts w:ascii="Times New Roman" w:hAnsi="Times New Roman" w:eastAsia="宋体" w:cs="Times New Roman"/>
                <w:b/>
                <w:bCs/>
                <w:color w:val="000000"/>
                <w:sz w:val="21"/>
                <w:szCs w:val="21"/>
                <w:highlight w:val="none"/>
              </w:rPr>
              <w:t>施工工期</w:t>
            </w:r>
          </w:p>
          <w:p>
            <w:pPr>
              <w:pStyle w:val="199"/>
              <w:keepNext w:val="0"/>
              <w:keepLines w:val="0"/>
              <w:pageBreakBefore w:val="0"/>
              <w:widowControl/>
              <w:spacing w:before="0" w:after="0" w:line="360" w:lineRule="auto"/>
              <w:ind w:right="0" w:firstLine="480"/>
              <w:rPr>
                <w:color w:val="000000"/>
                <w:sz w:val="21"/>
                <w:szCs w:val="21"/>
                <w:highlight w:val="none"/>
              </w:rPr>
            </w:pPr>
            <w:r>
              <w:rPr>
                <w:rFonts w:hint="eastAsia" w:ascii="Times New Roman" w:hAnsi="Times New Roman" w:eastAsia="宋体" w:cs="Times New Roman"/>
                <w:color w:val="auto"/>
                <w:sz w:val="21"/>
                <w:szCs w:val="21"/>
                <w:highlight w:val="none"/>
              </w:rPr>
              <w:t>本项目建设工期为1</w:t>
            </w: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个月，即202</w:t>
            </w:r>
            <w:r>
              <w:rPr>
                <w:rFonts w:hint="eastAsia"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rPr>
              <w:t>年</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rPr>
              <w:t>月～2026年</w:t>
            </w:r>
            <w:r>
              <w:rPr>
                <w:rFonts w:hint="eastAsia" w:cs="Times New Roman"/>
                <w:color w:val="auto"/>
                <w:sz w:val="21"/>
                <w:szCs w:val="21"/>
                <w:highlight w:val="none"/>
                <w:lang w:val="en-US" w:eastAsia="zh-CN"/>
              </w:rPr>
              <w:t>6</w:t>
            </w:r>
            <w:r>
              <w:rPr>
                <w:rFonts w:hint="eastAsia" w:ascii="Times New Roman" w:hAnsi="Times New Roman" w:eastAsia="宋体" w:cs="Times New Roman"/>
                <w:color w:val="auto"/>
                <w:sz w:val="21"/>
                <w:szCs w:val="21"/>
                <w:highlight w:val="none"/>
              </w:rPr>
              <w:t>月，具体施工进度按项目最终报建进度安排</w:t>
            </w:r>
            <w:r>
              <w:rPr>
                <w:rFonts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583" w:hRule="atLeast"/>
          <w:jc w:val="center"/>
        </w:trPr>
        <w:tc>
          <w:tcPr>
            <w:tcW w:w="494" w:type="dxa"/>
            <w:noWrap w:val="0"/>
            <w:vAlign w:val="center"/>
          </w:tcPr>
          <w:p>
            <w:pPr>
              <w:jc w:val="center"/>
              <w:rPr>
                <w:rFonts w:ascii="宋体" w:hAnsi="宋体" w:cs="宋体"/>
                <w:color w:val="000000"/>
                <w:sz w:val="21"/>
                <w:szCs w:val="21"/>
                <w:highlight w:val="none"/>
              </w:rPr>
            </w:pPr>
            <w:r>
              <w:rPr>
                <w:rFonts w:hint="eastAsia" w:ascii="宋体" w:hAnsi="宋体" w:cs="宋体"/>
                <w:color w:val="000000"/>
                <w:sz w:val="21"/>
                <w:szCs w:val="21"/>
                <w:highlight w:val="none"/>
              </w:rPr>
              <w:t>其他</w:t>
            </w:r>
          </w:p>
        </w:tc>
        <w:tc>
          <w:tcPr>
            <w:tcW w:w="8026" w:type="dxa"/>
            <w:noWrap w:val="0"/>
            <w:vAlign w:val="bottom"/>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w:t>
            </w:r>
          </w:p>
        </w:tc>
      </w:tr>
    </w:tbl>
    <w:p>
      <w:pPr>
        <w:pStyle w:val="218"/>
        <w:jc w:val="center"/>
        <w:outlineLvl w:val="0"/>
        <w:rPr>
          <w:rFonts w:ascii="黑体" w:hAnsi="黑体" w:eastAsia="黑体"/>
          <w:color w:val="000000"/>
          <w:sz w:val="30"/>
          <w:szCs w:val="30"/>
          <w:highlight w:val="none"/>
        </w:rPr>
      </w:pPr>
      <w:r>
        <w:rPr>
          <w:rFonts w:eastAsia="仿宋_GB2312"/>
          <w:b/>
          <w:bCs/>
          <w:color w:val="000000"/>
          <w:highlight w:val="none"/>
        </w:rPr>
        <w:br w:type="page" w:clear="all"/>
      </w:r>
      <w:bookmarkStart w:id="14" w:name="_Toc17486"/>
      <w:bookmarkStart w:id="15" w:name="_Toc22328"/>
      <w:r>
        <w:rPr>
          <w:rFonts w:hint="eastAsia" w:ascii="黑体" w:hAnsi="黑体" w:eastAsia="黑体"/>
          <w:color w:val="000000"/>
          <w:sz w:val="30"/>
          <w:szCs w:val="30"/>
          <w:highlight w:val="none"/>
        </w:rPr>
        <w:t>三、生态环境现状、保护目标及评价标准</w:t>
      </w:r>
      <w:bookmarkEnd w:id="14"/>
      <w:bookmarkEnd w:id="15"/>
    </w:p>
    <w:tbl>
      <w:tblPr>
        <w:tblStyle w:val="40"/>
        <w:tblW w:w="8520"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579"/>
        <w:gridCol w:w="794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98" w:hRule="atLeast"/>
          <w:jc w:val="center"/>
        </w:trPr>
        <w:tc>
          <w:tcPr>
            <w:tcW w:w="579" w:type="dxa"/>
            <w:noWrap w:val="0"/>
            <w:vAlign w:val="center"/>
          </w:tcPr>
          <w:p>
            <w:pPr>
              <w:spacing w:line="360" w:lineRule="auto"/>
              <w:jc w:val="center"/>
              <w:rPr>
                <w:rFonts w:ascii="宋体" w:hAnsi="宋体" w:cs="宋体"/>
                <w:color w:val="000000"/>
                <w:sz w:val="21"/>
                <w:szCs w:val="21"/>
                <w:highlight w:val="none"/>
              </w:rPr>
            </w:pPr>
            <w:r>
              <w:rPr>
                <w:rFonts w:hint="eastAsia" w:ascii="宋体" w:hAnsi="宋体" w:cs="宋体"/>
                <w:color w:val="000000"/>
                <w:sz w:val="21"/>
                <w:szCs w:val="21"/>
                <w:highlight w:val="none"/>
              </w:rPr>
              <w:t>生态环境现状</w:t>
            </w:r>
          </w:p>
        </w:tc>
        <w:tc>
          <w:tcPr>
            <w:tcW w:w="794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lang w:val="en-US" w:eastAsia="zh-CN"/>
              </w:rPr>
              <w:t>3.1</w:t>
            </w:r>
            <w:r>
              <w:rPr>
                <w:rFonts w:ascii="Times New Roman" w:hAnsi="Times New Roman" w:eastAsia="宋体" w:cs="Times New Roman"/>
                <w:b/>
                <w:bCs/>
                <w:color w:val="000000"/>
                <w:sz w:val="21"/>
                <w:szCs w:val="21"/>
                <w:highlight w:val="none"/>
              </w:rPr>
              <w:t>大气环境质量现状</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3.1.1 达标区判定</w:t>
            </w:r>
          </w:p>
          <w:p>
            <w:pPr>
              <w:spacing w:line="360" w:lineRule="auto"/>
              <w:ind w:firstLine="480"/>
              <w:rPr>
                <w:rFonts w:hint="eastAsia" w:ascii="Times New Roman" w:hAnsi="Times New Roman" w:eastAsia="宋体" w:cs="Times New Roman"/>
                <w:color w:val="000000"/>
                <w:sz w:val="21"/>
                <w:szCs w:val="21"/>
                <w:highlight w:val="none"/>
                <w:lang w:eastAsia="zh-CN"/>
              </w:rPr>
            </w:pPr>
            <w:r>
              <w:rPr>
                <w:rFonts w:ascii="Times New Roman" w:hAnsi="Times New Roman" w:eastAsia="宋体" w:cs="Times New Roman"/>
                <w:color w:val="000000"/>
                <w:sz w:val="21"/>
                <w:szCs w:val="21"/>
                <w:highlight w:val="none"/>
              </w:rPr>
              <w:t>根据《环境影响评价技术导则—大气环境》（HJ2.2-2018）中</w:t>
            </w:r>
            <w:r>
              <w:rPr>
                <w:rFonts w:hint="eastAsia" w:ascii="Times New Roman" w:hAnsi="Times New Roman" w:eastAsia="宋体" w:cs="Times New Roman"/>
                <w:color w:val="000000"/>
                <w:sz w:val="21"/>
                <w:szCs w:val="21"/>
                <w:highlight w:val="none"/>
                <w:lang w:eastAsia="zh-CN"/>
              </w:rPr>
              <w:t>“</w:t>
            </w:r>
            <w:r>
              <w:rPr>
                <w:rFonts w:ascii="Times New Roman" w:hAnsi="Times New Roman" w:eastAsia="宋体" w:cs="Times New Roman"/>
                <w:color w:val="000000"/>
                <w:sz w:val="21"/>
                <w:szCs w:val="21"/>
                <w:highlight w:val="none"/>
              </w:rPr>
              <w:t>6.2.1</w:t>
            </w:r>
            <w:r>
              <w:rPr>
                <w:rFonts w:hint="eastAsia" w:ascii="Times New Roman" w:hAnsi="Times New Roman" w:eastAsia="宋体" w:cs="Times New Roman"/>
                <w:color w:val="000000"/>
                <w:sz w:val="21"/>
                <w:szCs w:val="21"/>
                <w:highlight w:val="none"/>
                <w:lang w:val="en-US" w:eastAsia="zh-CN"/>
              </w:rPr>
              <w:t>.1</w:t>
            </w:r>
            <w:r>
              <w:rPr>
                <w:rFonts w:ascii="Times New Roman" w:hAnsi="Times New Roman" w:eastAsia="宋体" w:cs="Times New Roman"/>
                <w:color w:val="000000"/>
                <w:sz w:val="21"/>
                <w:szCs w:val="21"/>
                <w:highlight w:val="none"/>
              </w:rPr>
              <w:t>项目所在区域达标判定，优先采用国家或地方生态环境主管部门公开发布的评价基准年环境质量公告或环境质量报告中数据或结论</w:t>
            </w:r>
            <w:r>
              <w:rPr>
                <w:rFonts w:hint="eastAsia" w:ascii="Times New Roman" w:hAnsi="Times New Roman" w:eastAsia="宋体" w:cs="Times New Roman"/>
                <w:color w:val="000000"/>
                <w:sz w:val="21"/>
                <w:szCs w:val="21"/>
                <w:highlight w:val="none"/>
                <w:lang w:eastAsia="zh-CN"/>
              </w:rPr>
              <w:t>”</w:t>
            </w:r>
            <w:r>
              <w:rPr>
                <w:rFonts w:ascii="Times New Roman" w:hAnsi="Times New Roman" w:eastAsia="宋体" w:cs="Times New Roman"/>
                <w:color w:val="000000"/>
                <w:sz w:val="21"/>
                <w:szCs w:val="21"/>
                <w:highlight w:val="none"/>
              </w:rPr>
              <w:t>。并且根据导则</w:t>
            </w:r>
            <w:r>
              <w:rPr>
                <w:rFonts w:hint="eastAsia" w:ascii="Times New Roman" w:hAnsi="Times New Roman" w:eastAsia="宋体" w:cs="Times New Roman"/>
                <w:color w:val="000000"/>
                <w:sz w:val="21"/>
                <w:szCs w:val="21"/>
                <w:highlight w:val="none"/>
                <w:lang w:eastAsia="zh-CN"/>
              </w:rPr>
              <w:t>“</w:t>
            </w:r>
            <w:r>
              <w:rPr>
                <w:rFonts w:ascii="Times New Roman" w:hAnsi="Times New Roman" w:eastAsia="宋体" w:cs="Times New Roman"/>
                <w:color w:val="000000"/>
                <w:sz w:val="21"/>
                <w:szCs w:val="21"/>
                <w:highlight w:val="none"/>
              </w:rPr>
              <w:t>5.5依据评价所需环境空气质量现状、气象资料等数据的可获得性、数量质量、代表性等因素，选择近3年中数据相对完整的1个日历年作为评价基准年</w:t>
            </w:r>
            <w:r>
              <w:rPr>
                <w:rFonts w:hint="eastAsia" w:ascii="Times New Roman" w:hAnsi="Times New Roman" w:eastAsia="宋体" w:cs="Times New Roman"/>
                <w:color w:val="000000"/>
                <w:sz w:val="21"/>
                <w:szCs w:val="21"/>
                <w:highlight w:val="none"/>
                <w:lang w:eastAsia="zh-CN"/>
              </w:rPr>
              <w:t>”</w:t>
            </w:r>
            <w:r>
              <w:rPr>
                <w:rFonts w:ascii="Times New Roman" w:hAnsi="Times New Roman" w:eastAsia="宋体" w:cs="Times New Roman"/>
                <w:color w:val="000000"/>
                <w:sz w:val="21"/>
                <w:szCs w:val="21"/>
                <w:highlight w:val="none"/>
              </w:rPr>
              <w:t>的内容</w:t>
            </w:r>
            <w:r>
              <w:rPr>
                <w:rFonts w:hint="eastAsia" w:ascii="Times New Roman" w:hAnsi="Times New Roman" w:eastAsia="宋体" w:cs="Times New Roman"/>
                <w:color w:val="000000"/>
                <w:sz w:val="21"/>
                <w:szCs w:val="21"/>
                <w:highlight w:val="none"/>
                <w:lang w:eastAsia="zh-CN"/>
              </w:rPr>
              <w:t>。</w:t>
            </w:r>
          </w:p>
          <w:p>
            <w:pPr>
              <w:spacing w:line="360" w:lineRule="auto"/>
              <w:ind w:firstLine="480"/>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本评价引用永州市生态环境局发布的2023年连续一年的大气环境质量状况监测数据（《关于2023年12月全市环境质量状况通报》中附件4《2023年1-12月全市城市环境空气质量污染物浓度情况》），区域环境空气质量现状评价见下表</w:t>
            </w:r>
            <w:r>
              <w:rPr>
                <w:rFonts w:ascii="Times New Roman" w:hAnsi="Times New Roman" w:eastAsia="宋体" w:cs="Times New Roman"/>
                <w:color w:val="000000"/>
                <w:sz w:val="21"/>
                <w:szCs w:val="21"/>
                <w:highlight w:val="none"/>
              </w:rPr>
              <w:t>。</w:t>
            </w:r>
          </w:p>
          <w:p>
            <w:pPr>
              <w:pStyle w:val="42"/>
              <w:rPr>
                <w:color w:val="000000"/>
                <w:sz w:val="21"/>
                <w:szCs w:val="21"/>
                <w:highlight w:val="none"/>
              </w:rPr>
            </w:pPr>
            <w:r>
              <w:rPr>
                <w:color w:val="000000"/>
                <w:sz w:val="21"/>
                <w:szCs w:val="21"/>
                <w:highlight w:val="none"/>
              </w:rPr>
              <w:t>表3-1 202</w:t>
            </w:r>
            <w:r>
              <w:rPr>
                <w:rFonts w:hint="eastAsia"/>
                <w:color w:val="000000"/>
                <w:sz w:val="21"/>
                <w:szCs w:val="21"/>
                <w:highlight w:val="none"/>
                <w:lang w:val="en-US" w:eastAsia="zh-CN"/>
              </w:rPr>
              <w:t>3</w:t>
            </w:r>
            <w:r>
              <w:rPr>
                <w:color w:val="000000"/>
                <w:sz w:val="21"/>
                <w:szCs w:val="21"/>
                <w:highlight w:val="none"/>
              </w:rPr>
              <w:t>年</w:t>
            </w:r>
            <w:r>
              <w:rPr>
                <w:rFonts w:hint="eastAsia"/>
                <w:color w:val="000000"/>
                <w:sz w:val="21"/>
                <w:szCs w:val="21"/>
                <w:highlight w:val="none"/>
                <w:lang w:val="en-US" w:eastAsia="zh-CN"/>
              </w:rPr>
              <w:t>永州市零陵区</w:t>
            </w:r>
            <w:r>
              <w:rPr>
                <w:color w:val="000000"/>
                <w:sz w:val="21"/>
                <w:szCs w:val="21"/>
                <w:highlight w:val="none"/>
              </w:rPr>
              <w:t>空气质量现状</w:t>
            </w:r>
            <w:r>
              <w:rPr>
                <w:rFonts w:hint="eastAsia"/>
                <w:color w:val="000000"/>
                <w:sz w:val="21"/>
                <w:szCs w:val="21"/>
                <w:highlight w:val="none"/>
                <w:lang w:val="en-US" w:eastAsia="zh-CN"/>
              </w:rPr>
              <w:t xml:space="preserve">统计表 </w:t>
            </w:r>
            <w:r>
              <w:rPr>
                <w:rFonts w:hint="eastAsia"/>
                <w:color w:val="000000"/>
                <w:sz w:val="21"/>
                <w:szCs w:val="21"/>
                <w:highlight w:val="none"/>
              </w:rPr>
              <w:t>单位：µg/</w:t>
            </w:r>
            <w:r>
              <w:rPr>
                <w:rFonts w:hint="eastAsia"/>
                <w:color w:val="000000"/>
                <w:sz w:val="21"/>
                <w:szCs w:val="21"/>
                <w:highlight w:val="none"/>
                <w:lang w:val="en-US" w:eastAsia="zh-CN"/>
              </w:rPr>
              <w:t>m</w:t>
            </w:r>
            <w:r>
              <w:rPr>
                <w:rFonts w:hint="eastAsia"/>
                <w:color w:val="000000"/>
                <w:sz w:val="21"/>
                <w:szCs w:val="21"/>
                <w:highlight w:val="none"/>
                <w:vertAlign w:val="superscript"/>
                <w:lang w:val="en-US" w:eastAsia="zh-CN"/>
              </w:rPr>
              <w:t>3</w:t>
            </w:r>
            <w:r>
              <w:rPr>
                <w:rFonts w:hint="eastAsia"/>
                <w:color w:val="000000"/>
                <w:sz w:val="21"/>
                <w:szCs w:val="21"/>
                <w:highlight w:val="none"/>
              </w:rPr>
              <w:t>(CO为mg/</w:t>
            </w:r>
            <w:r>
              <w:rPr>
                <w:rFonts w:hint="eastAsia"/>
                <w:color w:val="000000"/>
                <w:sz w:val="21"/>
                <w:szCs w:val="21"/>
                <w:highlight w:val="none"/>
                <w:lang w:val="en-US" w:eastAsia="zh-CN"/>
              </w:rPr>
              <w:t>m</w:t>
            </w:r>
            <w:r>
              <w:rPr>
                <w:rFonts w:hint="eastAsia"/>
                <w:color w:val="000000"/>
                <w:sz w:val="21"/>
                <w:szCs w:val="21"/>
                <w:highlight w:val="none"/>
                <w:vertAlign w:val="superscript"/>
                <w:lang w:val="en-US" w:eastAsia="zh-CN"/>
              </w:rPr>
              <w:t>3</w:t>
            </w:r>
            <w:r>
              <w:rPr>
                <w:rFonts w:hint="eastAsia"/>
                <w:color w:val="000000"/>
                <w:sz w:val="21"/>
                <w:szCs w:val="21"/>
                <w:highlight w:val="none"/>
              </w:rPr>
              <w:t>)</w:t>
            </w:r>
          </w:p>
          <w:tbl>
            <w:tblPr>
              <w:tblStyle w:val="40"/>
              <w:tblW w:w="77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2111"/>
              <w:gridCol w:w="1276"/>
              <w:gridCol w:w="1271"/>
              <w:gridCol w:w="1324"/>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污染物</w:t>
                  </w:r>
                </w:p>
              </w:tc>
              <w:tc>
                <w:tcPr>
                  <w:tcW w:w="21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评价指标</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现状浓度</w:t>
                  </w:r>
                </w:p>
              </w:tc>
              <w:tc>
                <w:tcPr>
                  <w:tcW w:w="12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标准值</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占标率/%</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达标</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lang w:eastAsia="zh-CN"/>
                    </w:rPr>
                  </w:pPr>
                  <w:r>
                    <w:rPr>
                      <w:rFonts w:hint="eastAsia"/>
                      <w:lang w:eastAsia="zh-CN"/>
                    </w:rPr>
                    <w:t>SO</w:t>
                  </w:r>
                  <w:r>
                    <w:rPr>
                      <w:rFonts w:hint="eastAsia"/>
                      <w:vertAlign w:val="subscript"/>
                      <w:lang w:eastAsia="zh-CN"/>
                    </w:rPr>
                    <w:t>2</w:t>
                  </w:r>
                </w:p>
              </w:tc>
              <w:tc>
                <w:tcPr>
                  <w:tcW w:w="21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年平均质量浓度</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9</w:t>
                  </w:r>
                </w:p>
              </w:tc>
              <w:tc>
                <w:tcPr>
                  <w:tcW w:w="12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60</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15.0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lang w:eastAsia="zh-CN"/>
                    </w:rPr>
                  </w:pPr>
                  <w:r>
                    <w:rPr>
                      <w:rFonts w:hint="eastAsia"/>
                      <w:lang w:eastAsia="zh-CN"/>
                    </w:rPr>
                    <w:t>NO</w:t>
                  </w:r>
                  <w:r>
                    <w:rPr>
                      <w:rFonts w:hint="eastAsia"/>
                      <w:vertAlign w:val="subscript"/>
                      <w:lang w:eastAsia="zh-CN"/>
                    </w:rPr>
                    <w:t>2</w:t>
                  </w:r>
                </w:p>
              </w:tc>
              <w:tc>
                <w:tcPr>
                  <w:tcW w:w="21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年平均质量浓度</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16</w:t>
                  </w:r>
                </w:p>
              </w:tc>
              <w:tc>
                <w:tcPr>
                  <w:tcW w:w="12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40</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40.0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lang w:eastAsia="zh-CN"/>
                    </w:rPr>
                  </w:pPr>
                  <w:r>
                    <w:rPr>
                      <w:rFonts w:hint="eastAsia"/>
                      <w:lang w:eastAsia="zh-CN"/>
                    </w:rPr>
                    <w:t>PM</w:t>
                  </w:r>
                  <w:r>
                    <w:rPr>
                      <w:rFonts w:hint="eastAsia"/>
                      <w:vertAlign w:val="subscript"/>
                      <w:lang w:eastAsia="zh-CN"/>
                    </w:rPr>
                    <w:t>10</w:t>
                  </w:r>
                </w:p>
              </w:tc>
              <w:tc>
                <w:tcPr>
                  <w:tcW w:w="21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年平均质量浓度</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50</w:t>
                  </w:r>
                </w:p>
              </w:tc>
              <w:tc>
                <w:tcPr>
                  <w:tcW w:w="12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70</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71.4</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eastAsia="宋体"/>
                      <w:lang w:eastAsia="zh-CN"/>
                    </w:rPr>
                  </w:pPr>
                  <w:r>
                    <w:rPr>
                      <w:rFonts w:hint="eastAsia"/>
                      <w:lang w:eastAsia="zh-CN"/>
                    </w:rPr>
                    <w:t>PM</w:t>
                  </w:r>
                  <w:r>
                    <w:rPr>
                      <w:rFonts w:hint="eastAsia"/>
                      <w:vertAlign w:val="subscript"/>
                      <w:lang w:eastAsia="zh-CN"/>
                    </w:rPr>
                    <w:t>2.5</w:t>
                  </w:r>
                </w:p>
              </w:tc>
              <w:tc>
                <w:tcPr>
                  <w:tcW w:w="21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年平均质量浓度</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36</w:t>
                  </w:r>
                </w:p>
              </w:tc>
              <w:tc>
                <w:tcPr>
                  <w:tcW w:w="12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35</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102.9</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eastAsia"/>
                      <w:lang w:val="en-US" w:eastAsia="zh-CN"/>
                    </w:rPr>
                    <w:t>不</w:t>
                  </w: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CO</w:t>
                  </w:r>
                </w:p>
              </w:tc>
              <w:tc>
                <w:tcPr>
                  <w:tcW w:w="21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eastAsia"/>
                    </w:rPr>
                    <w:t>年平均质量浓度</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1.0</w:t>
                  </w:r>
                </w:p>
              </w:tc>
              <w:tc>
                <w:tcPr>
                  <w:tcW w:w="12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4</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25.0</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O</w:t>
                  </w:r>
                  <w:r>
                    <w:rPr>
                      <w:rFonts w:hint="default"/>
                      <w:vertAlign w:val="subscript"/>
                    </w:rPr>
                    <w:t>3</w:t>
                  </w:r>
                </w:p>
              </w:tc>
              <w:tc>
                <w:tcPr>
                  <w:tcW w:w="21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eastAsia"/>
                    </w:rPr>
                    <w:t>年8h平均质量浓度</w:t>
                  </w:r>
                </w:p>
              </w:tc>
              <w:tc>
                <w:tcPr>
                  <w:tcW w:w="12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127</w:t>
                  </w:r>
                </w:p>
              </w:tc>
              <w:tc>
                <w:tcPr>
                  <w:tcW w:w="12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160</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lang w:val="en-US" w:eastAsia="zh-CN"/>
                    </w:rPr>
                  </w:pPr>
                  <w:r>
                    <w:rPr>
                      <w:rFonts w:hint="eastAsia"/>
                      <w:lang w:val="en-US" w:eastAsia="zh-CN"/>
                    </w:rPr>
                    <w:t>79.4</w:t>
                  </w:r>
                </w:p>
              </w:tc>
              <w:tc>
                <w:tcPr>
                  <w:tcW w:w="9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rPr>
                  </w:pPr>
                  <w:r>
                    <w:rPr>
                      <w:rFonts w:hint="default"/>
                    </w:rPr>
                    <w:t>达标</w:t>
                  </w:r>
                </w:p>
              </w:tc>
            </w:tr>
          </w:tbl>
          <w:p>
            <w:pPr>
              <w:pStyle w:val="260"/>
              <w:ind w:firstLine="480"/>
              <w:rPr>
                <w:rFonts w:hint="eastAsia"/>
                <w:color w:val="000000"/>
                <w:sz w:val="21"/>
                <w:szCs w:val="21"/>
                <w:highlight w:val="none"/>
                <w:u w:val="none"/>
                <w:lang w:val="en-US" w:eastAsia="zh-CN"/>
              </w:rPr>
            </w:pPr>
            <w:r>
              <w:rPr>
                <w:color w:val="000000"/>
                <w:sz w:val="21"/>
                <w:szCs w:val="21"/>
                <w:highlight w:val="none"/>
              </w:rPr>
              <w:t>由上表可知，</w:t>
            </w:r>
            <w:r>
              <w:rPr>
                <w:rFonts w:hint="eastAsia"/>
                <w:color w:val="000000"/>
                <w:sz w:val="21"/>
                <w:szCs w:val="21"/>
                <w:highlight w:val="none"/>
                <w:u w:val="none"/>
              </w:rPr>
              <w:t>根据永州市生态环境局《关于2023年12月全市环境质量状况通报》中附件4《2023年1-12月全市城市环境空气质量污染物浓度情况》）</w:t>
            </w:r>
            <w:r>
              <w:rPr>
                <w:color w:val="000000"/>
                <w:sz w:val="21"/>
                <w:szCs w:val="21"/>
                <w:highlight w:val="none"/>
                <w:u w:val="none"/>
              </w:rPr>
              <w:t>，</w:t>
            </w:r>
            <w:r>
              <w:rPr>
                <w:rFonts w:hint="eastAsia"/>
                <w:color w:val="000000"/>
                <w:sz w:val="21"/>
                <w:szCs w:val="21"/>
                <w:highlight w:val="none"/>
                <w:u w:val="none"/>
              </w:rPr>
              <w:t>零陵区2023年常规大气污染物中</w:t>
            </w:r>
            <w:r>
              <w:rPr>
                <w:rFonts w:hint="eastAsia"/>
                <w:color w:val="000000"/>
                <w:sz w:val="21"/>
                <w:szCs w:val="21"/>
                <w:highlight w:val="none"/>
                <w:u w:val="none"/>
                <w:lang w:eastAsia="zh-CN"/>
              </w:rPr>
              <w:t>PM</w:t>
            </w:r>
            <w:r>
              <w:rPr>
                <w:rFonts w:hint="eastAsia"/>
                <w:color w:val="000000"/>
                <w:sz w:val="21"/>
                <w:szCs w:val="21"/>
                <w:highlight w:val="none"/>
                <w:u w:val="none"/>
                <w:vertAlign w:val="subscript"/>
                <w:lang w:eastAsia="zh-CN"/>
              </w:rPr>
              <w:t>10</w:t>
            </w:r>
            <w:r>
              <w:rPr>
                <w:rFonts w:hint="eastAsia"/>
                <w:color w:val="000000"/>
                <w:sz w:val="21"/>
                <w:szCs w:val="21"/>
                <w:highlight w:val="none"/>
                <w:u w:val="none"/>
              </w:rPr>
              <w:t>、</w:t>
            </w:r>
            <w:r>
              <w:rPr>
                <w:rFonts w:hint="eastAsia"/>
                <w:color w:val="000000"/>
                <w:sz w:val="21"/>
                <w:szCs w:val="21"/>
                <w:highlight w:val="none"/>
                <w:u w:val="none"/>
                <w:lang w:eastAsia="zh-CN"/>
              </w:rPr>
              <w:t>SO</w:t>
            </w:r>
            <w:r>
              <w:rPr>
                <w:rFonts w:hint="eastAsia"/>
                <w:color w:val="000000"/>
                <w:sz w:val="21"/>
                <w:szCs w:val="21"/>
                <w:highlight w:val="none"/>
                <w:u w:val="none"/>
                <w:vertAlign w:val="subscript"/>
                <w:lang w:eastAsia="zh-CN"/>
              </w:rPr>
              <w:t>2</w:t>
            </w:r>
            <w:r>
              <w:rPr>
                <w:rFonts w:hint="eastAsia"/>
                <w:color w:val="000000"/>
                <w:sz w:val="21"/>
                <w:szCs w:val="21"/>
                <w:highlight w:val="none"/>
                <w:u w:val="none"/>
              </w:rPr>
              <w:t>、</w:t>
            </w:r>
            <w:r>
              <w:rPr>
                <w:rFonts w:hint="eastAsia"/>
                <w:color w:val="000000"/>
                <w:sz w:val="21"/>
                <w:szCs w:val="21"/>
                <w:highlight w:val="none"/>
                <w:u w:val="none"/>
                <w:lang w:eastAsia="zh-CN"/>
              </w:rPr>
              <w:t>NO</w:t>
            </w:r>
            <w:r>
              <w:rPr>
                <w:rFonts w:hint="eastAsia"/>
                <w:color w:val="000000"/>
                <w:sz w:val="21"/>
                <w:szCs w:val="21"/>
                <w:highlight w:val="none"/>
                <w:u w:val="none"/>
                <w:vertAlign w:val="subscript"/>
                <w:lang w:eastAsia="zh-CN"/>
              </w:rPr>
              <w:t>2</w:t>
            </w:r>
            <w:r>
              <w:rPr>
                <w:rFonts w:hint="eastAsia"/>
                <w:color w:val="000000"/>
                <w:sz w:val="21"/>
                <w:szCs w:val="21"/>
                <w:highlight w:val="none"/>
                <w:u w:val="none"/>
              </w:rPr>
              <w:t>、CO年平均值、O</w:t>
            </w:r>
            <w:r>
              <w:rPr>
                <w:rFonts w:hint="eastAsia"/>
                <w:color w:val="000000"/>
                <w:sz w:val="21"/>
                <w:szCs w:val="21"/>
                <w:highlight w:val="none"/>
                <w:u w:val="none"/>
                <w:vertAlign w:val="subscript"/>
              </w:rPr>
              <w:t>3</w:t>
            </w:r>
            <w:r>
              <w:rPr>
                <w:rFonts w:hint="eastAsia"/>
                <w:color w:val="000000"/>
                <w:sz w:val="21"/>
                <w:szCs w:val="21"/>
                <w:highlight w:val="none"/>
                <w:u w:val="none"/>
              </w:rPr>
              <w:t>日最大8h平均值浓度均满足《环境空气质量标准》（GB3096-2012）中二级标准要求。</w:t>
            </w:r>
            <w:r>
              <w:rPr>
                <w:rFonts w:hint="eastAsia"/>
                <w:color w:val="000000"/>
                <w:sz w:val="21"/>
                <w:szCs w:val="21"/>
                <w:highlight w:val="none"/>
                <w:u w:val="none"/>
                <w:lang w:eastAsia="zh-CN"/>
              </w:rPr>
              <w:t>PM</w:t>
            </w:r>
            <w:r>
              <w:rPr>
                <w:rFonts w:hint="eastAsia"/>
                <w:color w:val="000000"/>
                <w:sz w:val="21"/>
                <w:szCs w:val="21"/>
                <w:highlight w:val="none"/>
                <w:u w:val="none"/>
                <w:vertAlign w:val="subscript"/>
                <w:lang w:eastAsia="zh-CN"/>
              </w:rPr>
              <w:t>2.5</w:t>
            </w:r>
            <w:r>
              <w:rPr>
                <w:rFonts w:hint="eastAsia"/>
                <w:color w:val="000000"/>
                <w:sz w:val="21"/>
                <w:szCs w:val="21"/>
                <w:highlight w:val="none"/>
                <w:u w:val="none"/>
              </w:rPr>
              <w:t>占标率是102.9%，项目所在区域环境空气属于不达标区</w:t>
            </w:r>
            <w:r>
              <w:rPr>
                <w:rFonts w:hint="eastAsia"/>
                <w:color w:val="000000"/>
                <w:sz w:val="21"/>
                <w:szCs w:val="21"/>
                <w:highlight w:val="none"/>
                <w:u w:val="none"/>
                <w:lang w:eastAsia="zh-CN"/>
              </w:rPr>
              <w:t>，</w:t>
            </w:r>
            <w:r>
              <w:rPr>
                <w:rFonts w:hint="eastAsia"/>
                <w:color w:val="000000"/>
                <w:sz w:val="21"/>
                <w:szCs w:val="21"/>
                <w:highlight w:val="none"/>
                <w:u w:val="none"/>
                <w:lang w:val="en-US" w:eastAsia="zh-CN"/>
              </w:rPr>
              <w:t>超标原因为1、重污染天气应急减排不到位；2、烟花爆竹燃放管控不到位，因强化重污染天气防范和应对，全力加强烟花爆竹燃放管控。在采取上述措施后环境空气质量将得到改善并恢复到达标区。</w:t>
            </w:r>
          </w:p>
          <w:p>
            <w:pPr>
              <w:spacing w:line="360" w:lineRule="auto"/>
              <w:rPr>
                <w:rFonts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lang w:val="en-US" w:eastAsia="zh-CN"/>
              </w:rPr>
              <w:t>3.1.2 补充大气环境监测</w:t>
            </w:r>
          </w:p>
          <w:p>
            <w:pPr>
              <w:adjustRightInd w:val="0"/>
              <w:snapToGrid w:val="0"/>
              <w:spacing w:line="360" w:lineRule="auto"/>
              <w:ind w:firstLine="420" w:firstLineChars="200"/>
              <w:rPr>
                <w:rFonts w:hint="eastAsia"/>
                <w:kern w:val="0"/>
                <w:szCs w:val="21"/>
                <w:u w:val="none"/>
              </w:rPr>
            </w:pPr>
            <w:r>
              <w:rPr>
                <w:rFonts w:hint="eastAsia"/>
                <w:kern w:val="0"/>
                <w:szCs w:val="21"/>
                <w:u w:val="none"/>
              </w:rPr>
              <w:t>根据</w:t>
            </w:r>
            <w:r>
              <w:rPr>
                <w:rFonts w:hint="eastAsia"/>
                <w:color w:val="000000"/>
                <w:sz w:val="21"/>
                <w:szCs w:val="21"/>
                <w:highlight w:val="none"/>
              </w:rPr>
              <w:t>《建设项目环境影响报告表编制技术指南（</w:t>
            </w:r>
            <w:r>
              <w:rPr>
                <w:rFonts w:hint="eastAsia"/>
                <w:color w:val="000000"/>
                <w:sz w:val="21"/>
                <w:szCs w:val="21"/>
                <w:highlight w:val="none"/>
                <w:lang w:val="en-US" w:eastAsia="zh-CN"/>
              </w:rPr>
              <w:t>污染影响类</w:t>
            </w:r>
            <w:r>
              <w:rPr>
                <w:rFonts w:hint="eastAsia"/>
                <w:color w:val="000000"/>
                <w:sz w:val="21"/>
                <w:szCs w:val="21"/>
                <w:highlight w:val="none"/>
              </w:rPr>
              <w:t>）（试行）》</w:t>
            </w:r>
            <w:r>
              <w:rPr>
                <w:rFonts w:hint="eastAsia"/>
                <w:kern w:val="0"/>
                <w:szCs w:val="21"/>
                <w:u w:val="none"/>
              </w:rPr>
              <w:t>，排放国家、地方环境空气质量标准中有标准限值要求的特征污染物时，引用建设项目周边5千米范围内近三年的现有监测数据，无相关数据的选择当季主导风向下风向1个点位补充不少于3天的监测数据。</w:t>
            </w:r>
          </w:p>
          <w:p>
            <w:pPr>
              <w:adjustRightInd w:val="0"/>
              <w:snapToGrid w:val="0"/>
              <w:spacing w:line="360" w:lineRule="auto"/>
              <w:ind w:firstLine="420" w:firstLineChars="200"/>
              <w:rPr>
                <w:rFonts w:hint="eastAsia"/>
                <w:kern w:val="0"/>
                <w:szCs w:val="21"/>
                <w:highlight w:val="none"/>
                <w:u w:val="none"/>
                <w:lang w:val="en-US" w:eastAsia="zh-CN"/>
              </w:rPr>
            </w:pPr>
            <w:r>
              <w:rPr>
                <w:rFonts w:hint="eastAsia"/>
                <w:kern w:val="0"/>
                <w:szCs w:val="21"/>
                <w:u w:val="none"/>
              </w:rPr>
              <w:t>本项目排放的特征污染物主要</w:t>
            </w:r>
            <w:r>
              <w:rPr>
                <w:rFonts w:hint="eastAsia"/>
                <w:kern w:val="0"/>
                <w:szCs w:val="21"/>
                <w:highlight w:val="none"/>
                <w:u w:val="none"/>
                <w:lang w:val="en-US" w:eastAsia="zh-CN"/>
              </w:rPr>
              <w:t>TSP。</w:t>
            </w:r>
          </w:p>
          <w:p>
            <w:pPr>
              <w:adjustRightInd w:val="0"/>
              <w:snapToGrid w:val="0"/>
              <w:spacing w:line="360" w:lineRule="auto"/>
              <w:ind w:firstLine="420" w:firstLineChars="200"/>
              <w:rPr>
                <w:rFonts w:hint="eastAsia"/>
                <w:kern w:val="0"/>
                <w:szCs w:val="21"/>
                <w:highlight w:val="none"/>
                <w:u w:val="none"/>
                <w:lang w:val="en-US" w:eastAsia="zh-CN"/>
              </w:rPr>
            </w:pPr>
            <w:r>
              <w:rPr>
                <w:rFonts w:hint="eastAsia"/>
                <w:kern w:val="0"/>
                <w:szCs w:val="21"/>
                <w:highlight w:val="none"/>
                <w:u w:val="none"/>
                <w:lang w:val="en-US" w:eastAsia="zh-CN"/>
              </w:rPr>
              <w:t>为了解本项目特征因子TSP现状，本次评价引用《湖南中芯能新能源有限公司年产2万吨锰酸锂电池正极材料（一期）建设项目环境影响报告表》中湖南中额环保科技有限公司于2023年4月11日-4月13日对坪夫桥村居民点（位于本项目西侧，距离本项目直线距离4.8km）TSP的现状监测数据</w:t>
            </w:r>
            <w:r>
              <w:rPr>
                <w:rFonts w:hint="eastAsia"/>
                <w:kern w:val="0"/>
                <w:szCs w:val="21"/>
                <w:u w:val="none"/>
              </w:rPr>
              <w:t>。根据引用数据的时间与距离，</w:t>
            </w:r>
            <w:r>
              <w:rPr>
                <w:rFonts w:hint="eastAsia"/>
                <w:kern w:val="0"/>
                <w:szCs w:val="21"/>
                <w:u w:val="none"/>
                <w:lang w:val="en-US" w:eastAsia="zh-CN"/>
              </w:rPr>
              <w:t>均</w:t>
            </w:r>
            <w:r>
              <w:rPr>
                <w:rFonts w:hint="eastAsia"/>
                <w:kern w:val="0"/>
                <w:szCs w:val="21"/>
                <w:u w:val="none"/>
              </w:rPr>
              <w:t>符合</w:t>
            </w:r>
            <w:r>
              <w:rPr>
                <w:rFonts w:hint="eastAsia"/>
                <w:color w:val="000000"/>
                <w:sz w:val="21"/>
                <w:szCs w:val="21"/>
                <w:highlight w:val="none"/>
              </w:rPr>
              <w:t>《建设项目环境影响报告表编制技术指南（</w:t>
            </w:r>
            <w:r>
              <w:rPr>
                <w:rFonts w:hint="eastAsia"/>
                <w:color w:val="000000"/>
                <w:sz w:val="21"/>
                <w:szCs w:val="21"/>
                <w:highlight w:val="none"/>
                <w:lang w:val="en-US" w:eastAsia="zh-CN"/>
              </w:rPr>
              <w:t>污染影响类</w:t>
            </w:r>
            <w:r>
              <w:rPr>
                <w:rFonts w:hint="eastAsia"/>
                <w:color w:val="000000"/>
                <w:sz w:val="21"/>
                <w:szCs w:val="21"/>
                <w:highlight w:val="none"/>
              </w:rPr>
              <w:t>）（试行）》</w:t>
            </w:r>
            <w:r>
              <w:rPr>
                <w:rFonts w:hint="eastAsia"/>
                <w:kern w:val="0"/>
                <w:szCs w:val="21"/>
                <w:u w:val="none"/>
              </w:rPr>
              <w:t>中的对于引用数据的要求，本次环评引用数据可行。</w:t>
            </w:r>
          </w:p>
          <w:p>
            <w:pPr>
              <w:adjustRightInd w:val="0"/>
              <w:snapToGrid w:val="0"/>
              <w:spacing w:line="240" w:lineRule="auto"/>
              <w:jc w:val="center"/>
              <w:rPr>
                <w:rFonts w:hint="eastAsia"/>
                <w:kern w:val="0"/>
                <w:szCs w:val="21"/>
                <w:highlight w:val="none"/>
                <w:u w:val="none"/>
                <w:lang w:val="en-US" w:eastAsia="zh-CN"/>
              </w:rPr>
            </w:pPr>
            <w:r>
              <w:rPr>
                <w:rFonts w:hint="default" w:ascii="Times New Roman" w:hAnsi="Times New Roman" w:eastAsia="宋体" w:cs="Times New Roman"/>
                <w:b/>
                <w:bCs/>
                <w:color w:val="000000"/>
                <w:kern w:val="0"/>
                <w:sz w:val="21"/>
                <w:szCs w:val="21"/>
                <w:u w:val="none"/>
                <w:lang w:val="en-US" w:eastAsia="zh-CN" w:bidi="ar"/>
              </w:rPr>
              <w:t>表3</w:t>
            </w:r>
            <w:r>
              <w:rPr>
                <w:rFonts w:hint="eastAsia" w:ascii="Times New Roman" w:hAnsi="Times New Roman" w:eastAsia="宋体" w:cs="Times New Roman"/>
                <w:b/>
                <w:bCs/>
                <w:color w:val="000000"/>
                <w:kern w:val="0"/>
                <w:sz w:val="21"/>
                <w:szCs w:val="21"/>
                <w:u w:val="none"/>
                <w:lang w:val="en-US" w:eastAsia="zh-CN" w:bidi="ar"/>
              </w:rPr>
              <w:t>-2</w:t>
            </w:r>
            <w:r>
              <w:rPr>
                <w:rFonts w:hint="default" w:ascii="Times New Roman" w:hAnsi="Times New Roman" w:eastAsia="宋体" w:cs="Times New Roman"/>
                <w:b/>
                <w:bCs/>
                <w:color w:val="000000"/>
                <w:kern w:val="0"/>
                <w:sz w:val="21"/>
                <w:szCs w:val="21"/>
                <w:u w:val="none"/>
                <w:lang w:val="en-US" w:eastAsia="zh-CN" w:bidi="ar"/>
              </w:rPr>
              <w:t xml:space="preserve"> TSP现状引用数据统计结果</w:t>
            </w:r>
          </w:p>
          <w:tbl>
            <w:tblPr>
              <w:tblStyle w:val="41"/>
              <w:tblW w:w="7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842"/>
              <w:gridCol w:w="719"/>
              <w:gridCol w:w="1003"/>
              <w:gridCol w:w="809"/>
              <w:gridCol w:w="842"/>
              <w:gridCol w:w="842"/>
              <w:gridCol w:w="843"/>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FF"/>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因子</w:t>
                  </w:r>
                </w:p>
              </w:tc>
              <w:tc>
                <w:tcPr>
                  <w:tcW w:w="8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FF"/>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项目</w:t>
                  </w:r>
                </w:p>
              </w:tc>
              <w:tc>
                <w:tcPr>
                  <w:tcW w:w="71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FF"/>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监测时间</w:t>
                  </w:r>
                </w:p>
              </w:tc>
              <w:tc>
                <w:tcPr>
                  <w:tcW w:w="10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FF"/>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监测点</w:t>
                  </w:r>
                </w:p>
              </w:tc>
              <w:tc>
                <w:tcPr>
                  <w:tcW w:w="80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FF"/>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浓度范围</w:t>
                  </w:r>
                </w:p>
              </w:tc>
              <w:tc>
                <w:tcPr>
                  <w:tcW w:w="8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FF"/>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标准值</w:t>
                  </w:r>
                </w:p>
              </w:tc>
              <w:tc>
                <w:tcPr>
                  <w:tcW w:w="8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达标</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FF"/>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情况</w:t>
                  </w:r>
                </w:p>
              </w:tc>
              <w:tc>
                <w:tcPr>
                  <w:tcW w:w="84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超标率</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FF"/>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w:t>
                  </w:r>
                </w:p>
              </w:tc>
              <w:tc>
                <w:tcPr>
                  <w:tcW w:w="9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最大值</w:t>
                  </w:r>
                </w:p>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FF"/>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42"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u w:val="none"/>
                      <w:vertAlign w:val="baseline"/>
                      <w:lang w:val="en-US" w:eastAsia="zh-CN"/>
                    </w:rPr>
                  </w:pPr>
                  <w:r>
                    <w:rPr>
                      <w:rFonts w:hint="default" w:ascii="Times New Roman" w:hAnsi="Times New Roman" w:eastAsia="宋体" w:cs="Times New Roman"/>
                      <w:color w:val="000000"/>
                      <w:sz w:val="21"/>
                      <w:szCs w:val="21"/>
                      <w:u w:val="none"/>
                      <w:vertAlign w:val="baseline"/>
                      <w:lang w:val="en-US" w:eastAsia="zh-CN"/>
                    </w:rPr>
                    <w:t>TSP</w:t>
                  </w:r>
                </w:p>
              </w:tc>
              <w:tc>
                <w:tcPr>
                  <w:tcW w:w="842"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u w:val="none"/>
                      <w:vertAlign w:val="baseline"/>
                      <w:lang w:val="en-US" w:eastAsia="zh-CN"/>
                    </w:rPr>
                  </w:pPr>
                  <w:r>
                    <w:rPr>
                      <w:rFonts w:hint="default" w:ascii="Times New Roman" w:hAnsi="Times New Roman" w:eastAsia="宋体" w:cs="Times New Roman"/>
                      <w:color w:val="000000"/>
                      <w:sz w:val="21"/>
                      <w:szCs w:val="21"/>
                      <w:u w:val="none"/>
                      <w:vertAlign w:val="baseline"/>
                      <w:lang w:val="en-US" w:eastAsia="zh-CN"/>
                    </w:rPr>
                    <w:t>24h均值</w:t>
                  </w:r>
                </w:p>
              </w:tc>
              <w:tc>
                <w:tcPr>
                  <w:tcW w:w="719"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u w:val="none"/>
                      <w:vertAlign w:val="baseline"/>
                      <w:lang w:val="en-US" w:eastAsia="zh-CN"/>
                    </w:rPr>
                  </w:pPr>
                  <w:r>
                    <w:rPr>
                      <w:rFonts w:hint="default" w:ascii="Times New Roman" w:hAnsi="Times New Roman" w:eastAsia="宋体" w:cs="Times New Roman"/>
                      <w:color w:val="000000"/>
                      <w:sz w:val="21"/>
                      <w:szCs w:val="21"/>
                      <w:u w:val="none"/>
                      <w:vertAlign w:val="baseline"/>
                      <w:lang w:val="en-US" w:eastAsia="zh-CN"/>
                    </w:rPr>
                    <w:t>4.11-4.13</w:t>
                  </w:r>
                </w:p>
              </w:tc>
              <w:tc>
                <w:tcPr>
                  <w:tcW w:w="100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u w:val="none"/>
                      <w:vertAlign w:val="baseline"/>
                      <w:lang w:val="en-US" w:eastAsia="zh-CN"/>
                    </w:rPr>
                  </w:pPr>
                  <w:r>
                    <w:rPr>
                      <w:rFonts w:hint="default" w:ascii="Times New Roman" w:hAnsi="Times New Roman" w:eastAsia="宋体" w:cs="Times New Roman"/>
                      <w:color w:val="000000"/>
                      <w:kern w:val="0"/>
                      <w:sz w:val="21"/>
                      <w:szCs w:val="21"/>
                      <w:lang w:val="en-US" w:eastAsia="zh-CN" w:bidi="ar"/>
                    </w:rPr>
                    <w:t>厂区下风向85m</w:t>
                  </w:r>
                </w:p>
              </w:tc>
              <w:tc>
                <w:tcPr>
                  <w:tcW w:w="809"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u w:val="none"/>
                      <w:vertAlign w:val="baseline"/>
                      <w:lang w:val="en-US" w:eastAsia="zh-CN"/>
                    </w:rPr>
                  </w:pPr>
                  <w:r>
                    <w:rPr>
                      <w:rFonts w:hint="default" w:ascii="Times New Roman" w:hAnsi="Times New Roman" w:eastAsia="宋体" w:cs="Times New Roman"/>
                      <w:color w:val="000000"/>
                      <w:sz w:val="21"/>
                      <w:szCs w:val="21"/>
                      <w:u w:val="none"/>
                      <w:vertAlign w:val="baseline"/>
                      <w:lang w:val="en-US" w:eastAsia="zh-CN"/>
                    </w:rPr>
                    <w:t>0.081-0.085</w:t>
                  </w:r>
                </w:p>
              </w:tc>
              <w:tc>
                <w:tcPr>
                  <w:tcW w:w="842"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u w:val="none"/>
                      <w:vertAlign w:val="baseline"/>
                      <w:lang w:val="en-US" w:eastAsia="zh-CN"/>
                    </w:rPr>
                  </w:pPr>
                  <w:r>
                    <w:rPr>
                      <w:rFonts w:hint="default" w:ascii="Times New Roman" w:hAnsi="Times New Roman" w:eastAsia="宋体" w:cs="Times New Roman"/>
                      <w:color w:val="000000"/>
                      <w:sz w:val="21"/>
                      <w:szCs w:val="21"/>
                      <w:u w:val="none"/>
                      <w:vertAlign w:val="baseline"/>
                      <w:lang w:val="en-US" w:eastAsia="zh-CN"/>
                    </w:rPr>
                    <w:t>0.3</w:t>
                  </w:r>
                </w:p>
              </w:tc>
              <w:tc>
                <w:tcPr>
                  <w:tcW w:w="842"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u w:val="none"/>
                      <w:vertAlign w:val="baseline"/>
                      <w:lang w:val="en-US" w:eastAsia="zh-CN"/>
                    </w:rPr>
                  </w:pPr>
                  <w:r>
                    <w:rPr>
                      <w:rFonts w:hint="default" w:ascii="Times New Roman" w:hAnsi="Times New Roman" w:eastAsia="宋体" w:cs="Times New Roman"/>
                      <w:color w:val="000000"/>
                      <w:sz w:val="21"/>
                      <w:szCs w:val="21"/>
                      <w:u w:val="none"/>
                      <w:vertAlign w:val="baseline"/>
                      <w:lang w:val="en-US" w:eastAsia="zh-CN"/>
                    </w:rPr>
                    <w:t>达标</w:t>
                  </w:r>
                </w:p>
              </w:tc>
              <w:tc>
                <w:tcPr>
                  <w:tcW w:w="843"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u w:val="none"/>
                      <w:vertAlign w:val="baseline"/>
                      <w:lang w:val="en-US" w:eastAsia="zh-CN"/>
                    </w:rPr>
                  </w:pPr>
                  <w:r>
                    <w:rPr>
                      <w:rFonts w:hint="default" w:ascii="Times New Roman" w:hAnsi="Times New Roman" w:eastAsia="宋体" w:cs="Times New Roman"/>
                      <w:color w:val="000000"/>
                      <w:sz w:val="21"/>
                      <w:szCs w:val="21"/>
                      <w:u w:val="none"/>
                      <w:vertAlign w:val="baseline"/>
                      <w:lang w:val="en-US" w:eastAsia="zh-CN"/>
                    </w:rPr>
                    <w:t>0</w:t>
                  </w:r>
                </w:p>
              </w:tc>
              <w:tc>
                <w:tcPr>
                  <w:tcW w:w="967" w:type="dxa"/>
                  <w:noWrap w:val="0"/>
                  <w:vAlign w:val="center"/>
                </w:tcPr>
                <w:p>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u w:val="none"/>
                      <w:vertAlign w:val="baseline"/>
                      <w:lang w:val="en-US" w:eastAsia="zh-CN"/>
                    </w:rPr>
                  </w:pPr>
                  <w:r>
                    <w:rPr>
                      <w:rFonts w:hint="default" w:ascii="Times New Roman" w:hAnsi="Times New Roman" w:eastAsia="宋体" w:cs="Times New Roman"/>
                      <w:color w:val="000000"/>
                      <w:sz w:val="21"/>
                      <w:szCs w:val="21"/>
                      <w:u w:val="none"/>
                      <w:vertAlign w:val="baseline"/>
                      <w:lang w:val="en-US" w:eastAsia="zh-CN"/>
                    </w:rPr>
                    <w:t>28.3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bCs/>
                <w:szCs w:val="21"/>
                <w:u w:val="none"/>
                <w:lang w:val="en-US" w:eastAsia="zh-CN"/>
              </w:rPr>
            </w:pPr>
            <w:r>
              <w:rPr>
                <w:rFonts w:hint="eastAsia" w:ascii="Times New Roman" w:hAnsi="Times New Roman" w:cs="Times New Roman"/>
                <w:bCs/>
                <w:szCs w:val="21"/>
                <w:u w:val="none"/>
                <w:lang w:val="en-US" w:eastAsia="zh-CN"/>
              </w:rPr>
              <w:t>根据上表，项目所在区域内大气中</w:t>
            </w:r>
            <w:r>
              <w:rPr>
                <w:rFonts w:hint="eastAsia" w:cs="Times New Roman"/>
                <w:b w:val="0"/>
                <w:bCs w:val="0"/>
                <w:color w:val="000000"/>
                <w:sz w:val="21"/>
                <w:szCs w:val="21"/>
                <w:u w:val="none"/>
                <w:lang w:val="en-US" w:eastAsia="zh-CN"/>
              </w:rPr>
              <w:t>TSP</w:t>
            </w:r>
            <w:r>
              <w:rPr>
                <w:rFonts w:hint="eastAsia" w:ascii="Times New Roman" w:hAnsi="Times New Roman" w:cs="Times New Roman"/>
                <w:bCs/>
                <w:szCs w:val="21"/>
                <w:u w:val="none"/>
                <w:lang w:val="en-US" w:eastAsia="zh-CN"/>
              </w:rPr>
              <w:t>满足《环境空气质量标准》GB3095-2012表2标准限值，区域大气质量良好。</w:t>
            </w:r>
          </w:p>
          <w:p>
            <w:pPr>
              <w:spacing w:line="360" w:lineRule="auto"/>
              <w:rPr>
                <w:rFonts w:ascii="Times New Roman" w:hAnsi="Times New Roman" w:eastAsia="宋体" w:cs="Times New Roman"/>
                <w:b/>
                <w:bCs/>
                <w:color w:val="000000"/>
                <w:sz w:val="21"/>
                <w:szCs w:val="21"/>
                <w:highlight w:val="none"/>
              </w:rPr>
            </w:pPr>
            <w:bookmarkStart w:id="16" w:name="_Toc329542790"/>
            <w:bookmarkStart w:id="17" w:name="_Toc329635169"/>
            <w:r>
              <w:rPr>
                <w:rFonts w:hint="eastAsia" w:ascii="Times New Roman" w:hAnsi="Times New Roman" w:eastAsia="宋体" w:cs="Times New Roman"/>
                <w:b/>
                <w:bCs/>
                <w:color w:val="000000"/>
                <w:sz w:val="21"/>
                <w:szCs w:val="21"/>
                <w:highlight w:val="none"/>
                <w:lang w:val="en-US" w:eastAsia="zh-CN"/>
              </w:rPr>
              <w:t>3.2</w:t>
            </w:r>
            <w:r>
              <w:rPr>
                <w:rFonts w:ascii="Times New Roman" w:hAnsi="Times New Roman" w:eastAsia="宋体" w:cs="Times New Roman"/>
                <w:b/>
                <w:bCs/>
                <w:color w:val="000000"/>
                <w:sz w:val="21"/>
                <w:szCs w:val="21"/>
                <w:highlight w:val="none"/>
              </w:rPr>
              <w:t>水环境质量现状</w:t>
            </w:r>
          </w:p>
          <w:p>
            <w:pPr>
              <w:pStyle w:val="199"/>
              <w:keepNext w:val="0"/>
              <w:keepLines w:val="0"/>
              <w:pageBreakBefore w:val="0"/>
              <w:widowControl w:val="0"/>
              <w:spacing w:before="0" w:after="0" w:line="360" w:lineRule="auto"/>
              <w:ind w:left="0" w:right="0" w:firstLine="480"/>
              <w:jc w:val="both"/>
              <w:rPr>
                <w:rFonts w:hint="default" w:ascii="Times New Roman" w:hAnsi="Times New Roman" w:eastAsia="宋体" w:cs="Times New Roman"/>
                <w:bCs/>
                <w:sz w:val="21"/>
                <w:szCs w:val="21"/>
                <w:u w:val="none"/>
                <w:lang w:val="en-US" w:eastAsia="zh-CN" w:bidi="ar-SA"/>
              </w:rPr>
            </w:pPr>
            <w:r>
              <w:rPr>
                <w:rFonts w:hint="eastAsia" w:ascii="Times New Roman" w:hAnsi="Times New Roman" w:eastAsia="宋体" w:cs="Times New Roman"/>
                <w:bCs/>
                <w:sz w:val="21"/>
                <w:szCs w:val="21"/>
                <w:u w:val="none"/>
                <w:lang w:val="en-US" w:eastAsia="zh-CN" w:bidi="ar-SA"/>
              </w:rPr>
              <w:t>本项目</w:t>
            </w:r>
            <w:r>
              <w:rPr>
                <w:rFonts w:hint="eastAsia" w:cs="Times New Roman"/>
                <w:bCs/>
                <w:sz w:val="21"/>
                <w:szCs w:val="21"/>
                <w:u w:val="none"/>
                <w:lang w:val="en-US" w:eastAsia="zh-CN" w:bidi="ar-SA"/>
              </w:rPr>
              <w:t>周边</w:t>
            </w:r>
            <w:r>
              <w:rPr>
                <w:rFonts w:hint="eastAsia" w:ascii="Times New Roman" w:hAnsi="Times New Roman" w:eastAsia="宋体" w:cs="Times New Roman"/>
                <w:bCs/>
                <w:sz w:val="21"/>
                <w:szCs w:val="21"/>
                <w:u w:val="none"/>
                <w:lang w:val="en-US" w:eastAsia="zh-CN" w:bidi="ar-SA"/>
              </w:rPr>
              <w:t>水体为潇水，为了解潇水地表水水质情况，本环评收集了本次评价收集了永州市生态环境局发布的2023年永州市地表水水质监测数据（http://hbj.yzcity.gov.cn/hbj/0300/zwgkList.shtml?catecode=031004）：“按照《地表水和污水监测技术规范》及环境监测质量保证手册(第二版)质量保证要求，</w:t>
            </w:r>
            <w:r>
              <w:rPr>
                <w:rFonts w:hint="default" w:ascii="Times New Roman" w:hAnsi="Times New Roman" w:eastAsia="宋体" w:cs="Times New Roman"/>
                <w:bCs/>
                <w:sz w:val="21"/>
                <w:szCs w:val="21"/>
                <w:u w:val="none"/>
                <w:lang w:val="en-US" w:eastAsia="zh-CN" w:bidi="ar-SA"/>
              </w:rPr>
              <w:t>距离本项目较近的湘江潇水国控考核断面--诸葛庙，2023年1-12月水质均为Ⅱ类。由此可知，本项目相关地表水质量状况良好。</w:t>
            </w:r>
          </w:p>
          <w:p>
            <w:pPr>
              <w:spacing w:line="360" w:lineRule="auto"/>
              <w:rPr>
                <w:rFonts w:ascii="Times New Roman" w:hAnsi="Times New Roman" w:eastAsia="宋体" w:cs="Times New Roman"/>
                <w:b/>
                <w:bCs/>
                <w:color w:val="000000"/>
                <w:sz w:val="21"/>
                <w:szCs w:val="21"/>
                <w:highlight w:val="none"/>
              </w:rPr>
            </w:pPr>
            <w:r>
              <w:rPr>
                <w:rFonts w:hint="eastAsia" w:ascii="Times New Roman" w:hAnsi="Times New Roman" w:eastAsia="宋体" w:cs="Times New Roman"/>
                <w:b/>
                <w:bCs/>
                <w:color w:val="000000"/>
                <w:sz w:val="21"/>
                <w:szCs w:val="21"/>
                <w:highlight w:val="none"/>
                <w:lang w:val="en-US" w:eastAsia="zh-CN"/>
              </w:rPr>
              <w:t>3.3</w:t>
            </w:r>
            <w:r>
              <w:rPr>
                <w:rFonts w:ascii="Times New Roman" w:hAnsi="Times New Roman" w:eastAsia="宋体" w:cs="Times New Roman"/>
                <w:b/>
                <w:bCs/>
                <w:color w:val="000000"/>
                <w:sz w:val="21"/>
                <w:szCs w:val="21"/>
                <w:highlight w:val="none"/>
              </w:rPr>
              <w:t>声环境质量现状</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3.</w:t>
            </w:r>
            <w:r>
              <w:rPr>
                <w:rFonts w:hint="eastAsia" w:ascii="Times New Roman" w:hAnsi="Times New Roman" w:eastAsia="宋体" w:cs="Times New Roman"/>
                <w:b/>
                <w:bCs/>
                <w:color w:val="000000"/>
                <w:kern w:val="0"/>
                <w:sz w:val="21"/>
                <w:szCs w:val="21"/>
                <w:lang w:val="en-US" w:eastAsia="zh-CN"/>
              </w:rPr>
              <w:t>3</w:t>
            </w:r>
            <w:r>
              <w:rPr>
                <w:rFonts w:hint="default" w:ascii="Times New Roman" w:hAnsi="Times New Roman" w:eastAsia="宋体" w:cs="Times New Roman"/>
                <w:b/>
                <w:bCs/>
                <w:color w:val="000000"/>
                <w:kern w:val="0"/>
                <w:sz w:val="21"/>
                <w:szCs w:val="21"/>
                <w:lang w:val="en-US" w:eastAsia="zh-CN"/>
              </w:rPr>
              <w:t xml:space="preserve">.1 </w:t>
            </w:r>
            <w:r>
              <w:rPr>
                <w:rFonts w:hint="eastAsia" w:ascii="Times New Roman" w:hAnsi="Times New Roman" w:eastAsia="宋体" w:cs="Times New Roman"/>
                <w:b/>
                <w:bCs/>
                <w:color w:val="000000"/>
                <w:kern w:val="0"/>
                <w:sz w:val="21"/>
                <w:szCs w:val="21"/>
                <w:lang w:val="en-US" w:eastAsia="zh-CN"/>
              </w:rPr>
              <w:t>监测布点</w:t>
            </w:r>
          </w:p>
          <w:p>
            <w:pPr>
              <w:pStyle w:val="199"/>
              <w:keepNext w:val="0"/>
              <w:keepLines w:val="0"/>
              <w:pageBreakBefore w:val="0"/>
              <w:widowControl w:val="0"/>
              <w:spacing w:before="0" w:after="0" w:line="360" w:lineRule="auto"/>
              <w:ind w:left="0" w:right="0" w:firstLine="480"/>
              <w:jc w:val="both"/>
              <w:rPr>
                <w:rFonts w:hint="default" w:ascii="Times New Roman" w:hAnsi="Times New Roman" w:eastAsia="宋体" w:cs="Times New Roman"/>
                <w:bCs/>
                <w:sz w:val="21"/>
                <w:szCs w:val="21"/>
                <w:u w:val="none"/>
                <w:lang w:val="en-US" w:eastAsia="zh-CN" w:bidi="ar-SA"/>
              </w:rPr>
            </w:pPr>
            <w:r>
              <w:rPr>
                <w:rFonts w:hint="default" w:ascii="Times New Roman" w:hAnsi="Times New Roman" w:eastAsia="宋体" w:cs="Times New Roman"/>
                <w:bCs/>
                <w:sz w:val="21"/>
                <w:szCs w:val="21"/>
                <w:u w:val="none"/>
                <w:lang w:val="en-US" w:eastAsia="zh-CN" w:bidi="ar-SA"/>
              </w:rPr>
              <w:t>根据工程特点</w:t>
            </w:r>
            <w:r>
              <w:rPr>
                <w:rFonts w:hint="eastAsia" w:ascii="Times New Roman" w:hAnsi="Times New Roman" w:eastAsia="宋体" w:cs="Times New Roman"/>
                <w:bCs/>
                <w:sz w:val="21"/>
                <w:szCs w:val="21"/>
                <w:u w:val="none"/>
                <w:lang w:val="en-US" w:eastAsia="zh-CN" w:bidi="ar-SA"/>
              </w:rPr>
              <w:t>、</w:t>
            </w:r>
            <w:r>
              <w:rPr>
                <w:rFonts w:hint="default" w:ascii="Times New Roman" w:hAnsi="Times New Roman" w:eastAsia="宋体" w:cs="Times New Roman"/>
                <w:bCs/>
                <w:sz w:val="21"/>
                <w:szCs w:val="21"/>
                <w:u w:val="none"/>
                <w:lang w:val="en-US" w:eastAsia="zh-CN" w:bidi="ar-SA"/>
              </w:rPr>
              <w:t>沿线环境敏感点及噪声源情况，监测点的布置以能反映沿线敏感点的声环境现状为原则，采用</w:t>
            </w:r>
            <w:r>
              <w:rPr>
                <w:rFonts w:hint="eastAsia" w:ascii="Times New Roman" w:hAnsi="Times New Roman" w:eastAsia="宋体" w:cs="Times New Roman"/>
                <w:bCs/>
                <w:sz w:val="21"/>
                <w:szCs w:val="21"/>
                <w:u w:val="none"/>
                <w:lang w:val="en-US" w:eastAsia="zh-CN" w:bidi="ar-SA"/>
              </w:rPr>
              <w:t>“</w:t>
            </w:r>
            <w:r>
              <w:rPr>
                <w:rFonts w:hint="default" w:ascii="Times New Roman" w:hAnsi="Times New Roman" w:eastAsia="宋体" w:cs="Times New Roman"/>
                <w:bCs/>
                <w:sz w:val="21"/>
                <w:szCs w:val="21"/>
                <w:u w:val="none"/>
                <w:lang w:val="en-US" w:eastAsia="zh-CN" w:bidi="ar-SA"/>
              </w:rPr>
              <w:t>以点代线，反馈全线</w:t>
            </w:r>
            <w:r>
              <w:rPr>
                <w:rFonts w:hint="eastAsia" w:ascii="Times New Roman" w:hAnsi="Times New Roman" w:eastAsia="宋体" w:cs="Times New Roman"/>
                <w:bCs/>
                <w:sz w:val="21"/>
                <w:szCs w:val="21"/>
                <w:u w:val="none"/>
                <w:lang w:val="en-US" w:eastAsia="zh-CN" w:bidi="ar-SA"/>
              </w:rPr>
              <w:t>”</w:t>
            </w:r>
            <w:r>
              <w:rPr>
                <w:rFonts w:hint="default" w:ascii="Times New Roman" w:hAnsi="Times New Roman" w:eastAsia="宋体" w:cs="Times New Roman"/>
                <w:bCs/>
                <w:sz w:val="21"/>
                <w:szCs w:val="21"/>
                <w:u w:val="none"/>
                <w:lang w:val="en-US" w:eastAsia="zh-CN" w:bidi="ar-SA"/>
              </w:rPr>
              <w:t>的方法进行布点，本次环评委托</w:t>
            </w:r>
            <w:r>
              <w:rPr>
                <w:rFonts w:hint="default" w:ascii="Times New Roman" w:hAnsi="Times New Roman" w:eastAsia="宋体" w:cs="Times New Roman"/>
                <w:bCs/>
                <w:sz w:val="21"/>
                <w:szCs w:val="21"/>
                <w:highlight w:val="none"/>
                <w:u w:val="none"/>
                <w:lang w:val="en-US" w:eastAsia="zh-CN" w:bidi="ar-SA"/>
              </w:rPr>
              <w:t>湖南</w:t>
            </w:r>
            <w:r>
              <w:rPr>
                <w:rFonts w:hint="eastAsia" w:cs="Times New Roman"/>
                <w:bCs/>
                <w:sz w:val="21"/>
                <w:szCs w:val="21"/>
                <w:highlight w:val="none"/>
                <w:u w:val="none"/>
                <w:lang w:val="en-US" w:eastAsia="zh-CN" w:bidi="ar-SA"/>
              </w:rPr>
              <w:t>聚鸿</w:t>
            </w:r>
            <w:r>
              <w:rPr>
                <w:rFonts w:hint="default" w:ascii="Times New Roman" w:hAnsi="Times New Roman" w:eastAsia="宋体" w:cs="Times New Roman"/>
                <w:bCs/>
                <w:sz w:val="21"/>
                <w:szCs w:val="21"/>
                <w:highlight w:val="none"/>
                <w:u w:val="none"/>
                <w:lang w:val="en-US" w:eastAsia="zh-CN" w:bidi="ar-SA"/>
              </w:rPr>
              <w:t>环保科技有限公司对</w:t>
            </w:r>
            <w:r>
              <w:rPr>
                <w:rFonts w:hint="default" w:ascii="Times New Roman" w:hAnsi="Times New Roman" w:eastAsia="宋体" w:cs="Times New Roman"/>
                <w:bCs/>
                <w:sz w:val="21"/>
                <w:szCs w:val="21"/>
                <w:u w:val="none"/>
                <w:lang w:val="en-US" w:eastAsia="zh-CN" w:bidi="ar-SA"/>
              </w:rPr>
              <w:t>项目沿线居民进行声环境质量现状监测，监测共选择</w:t>
            </w:r>
            <w:r>
              <w:rPr>
                <w:rFonts w:hint="eastAsia" w:cs="Times New Roman"/>
                <w:bCs/>
                <w:sz w:val="21"/>
                <w:szCs w:val="21"/>
                <w:u w:val="none"/>
                <w:lang w:val="en-US" w:eastAsia="zh-CN" w:bidi="ar-SA"/>
              </w:rPr>
              <w:t>5</w:t>
            </w:r>
            <w:r>
              <w:rPr>
                <w:rFonts w:hint="default" w:ascii="Times New Roman" w:hAnsi="Times New Roman" w:eastAsia="宋体" w:cs="Times New Roman"/>
                <w:bCs/>
                <w:sz w:val="21"/>
                <w:szCs w:val="21"/>
                <w:u w:val="none"/>
                <w:lang w:val="en-US" w:eastAsia="zh-CN" w:bidi="ar-SA"/>
              </w:rPr>
              <w:t>处进行了声环境现状监测。</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3.</w:t>
            </w:r>
            <w:r>
              <w:rPr>
                <w:rFonts w:hint="eastAsia" w:ascii="Times New Roman" w:hAnsi="Times New Roman" w:eastAsia="宋体" w:cs="Times New Roman"/>
                <w:b/>
                <w:bCs/>
                <w:color w:val="000000"/>
                <w:kern w:val="0"/>
                <w:sz w:val="21"/>
                <w:szCs w:val="21"/>
                <w:lang w:val="en-US" w:eastAsia="zh-CN"/>
              </w:rPr>
              <w:t>3</w:t>
            </w:r>
            <w:r>
              <w:rPr>
                <w:rFonts w:hint="default" w:ascii="Times New Roman" w:hAnsi="Times New Roman" w:eastAsia="宋体" w:cs="Times New Roman"/>
                <w:b/>
                <w:bCs/>
                <w:color w:val="000000"/>
                <w:kern w:val="0"/>
                <w:sz w:val="21"/>
                <w:szCs w:val="21"/>
                <w:lang w:val="en-US" w:eastAsia="zh-CN"/>
              </w:rPr>
              <w:t>.</w:t>
            </w:r>
            <w:r>
              <w:rPr>
                <w:rFonts w:hint="eastAsia" w:ascii="Times New Roman" w:hAnsi="Times New Roman" w:eastAsia="宋体" w:cs="Times New Roman"/>
                <w:b/>
                <w:bCs/>
                <w:color w:val="000000"/>
                <w:kern w:val="0"/>
                <w:sz w:val="21"/>
                <w:szCs w:val="21"/>
                <w:lang w:val="en-US" w:eastAsia="zh-CN"/>
              </w:rPr>
              <w:t>2</w:t>
            </w:r>
            <w:r>
              <w:rPr>
                <w:rFonts w:hint="default" w:ascii="Times New Roman" w:hAnsi="Times New Roman" w:eastAsia="宋体" w:cs="Times New Roman"/>
                <w:b/>
                <w:bCs/>
                <w:color w:val="000000"/>
                <w:kern w:val="0"/>
                <w:sz w:val="21"/>
                <w:szCs w:val="21"/>
                <w:lang w:val="en-US" w:eastAsia="zh-CN"/>
              </w:rPr>
              <w:t xml:space="preserve"> </w:t>
            </w:r>
            <w:r>
              <w:rPr>
                <w:rFonts w:hint="eastAsia" w:ascii="Times New Roman" w:hAnsi="Times New Roman" w:eastAsia="宋体" w:cs="Times New Roman"/>
                <w:b/>
                <w:bCs/>
                <w:color w:val="000000"/>
                <w:kern w:val="0"/>
                <w:sz w:val="21"/>
                <w:szCs w:val="21"/>
                <w:lang w:val="en-US" w:eastAsia="zh-CN"/>
              </w:rPr>
              <w:t>监测时间、频次、方法、评价因子</w:t>
            </w:r>
          </w:p>
          <w:p>
            <w:pPr>
              <w:keepNext w:val="0"/>
              <w:keepLines w:val="0"/>
              <w:widowControl/>
              <w:suppressLineNumbers w:val="0"/>
              <w:spacing w:line="360" w:lineRule="auto"/>
              <w:ind w:firstLine="420" w:firstLineChars="200"/>
              <w:jc w:val="left"/>
              <w:rPr>
                <w:rFonts w:hint="default" w:ascii="Times New Roman" w:hAnsi="Times New Roman" w:eastAsia="宋体" w:cs="Times New Roman"/>
                <w:bCs/>
                <w:sz w:val="21"/>
                <w:szCs w:val="21"/>
                <w:u w:val="none"/>
                <w:lang w:val="en-US" w:eastAsia="zh-CN" w:bidi="ar-SA"/>
              </w:rPr>
            </w:pPr>
            <w:r>
              <w:rPr>
                <w:rFonts w:hint="eastAsia" w:ascii="Times New Roman" w:hAnsi="Times New Roman" w:eastAsia="宋体" w:cs="Times New Roman"/>
                <w:bCs/>
                <w:sz w:val="21"/>
                <w:szCs w:val="21"/>
                <w:u w:val="none"/>
                <w:lang w:val="en-US" w:eastAsia="zh-CN" w:bidi="ar-SA"/>
              </w:rPr>
              <w:t>（1）时间与频次</w:t>
            </w:r>
          </w:p>
          <w:p>
            <w:pPr>
              <w:keepNext w:val="0"/>
              <w:keepLines w:val="0"/>
              <w:widowControl/>
              <w:suppressLineNumbers w:val="0"/>
              <w:spacing w:line="360" w:lineRule="auto"/>
              <w:ind w:firstLine="420" w:firstLineChars="200"/>
              <w:jc w:val="left"/>
            </w:pPr>
            <w:r>
              <w:rPr>
                <w:rFonts w:hint="default" w:ascii="Times New Roman" w:hAnsi="Times New Roman" w:eastAsia="宋体" w:cs="Times New Roman"/>
                <w:bCs/>
                <w:sz w:val="21"/>
                <w:szCs w:val="21"/>
                <w:u w:val="none"/>
                <w:lang w:val="en-US" w:eastAsia="zh-CN" w:bidi="ar-SA"/>
              </w:rPr>
              <w:t>202</w:t>
            </w:r>
            <w:r>
              <w:rPr>
                <w:rFonts w:hint="eastAsia" w:ascii="Times New Roman" w:hAnsi="Times New Roman" w:eastAsia="宋体" w:cs="Times New Roman"/>
                <w:bCs/>
                <w:sz w:val="21"/>
                <w:szCs w:val="21"/>
                <w:u w:val="none"/>
                <w:lang w:val="en-US" w:eastAsia="zh-CN" w:bidi="ar-SA"/>
              </w:rPr>
              <w:t>4年12月</w:t>
            </w:r>
            <w:r>
              <w:rPr>
                <w:rFonts w:hint="eastAsia" w:cs="Times New Roman"/>
                <w:bCs/>
                <w:sz w:val="21"/>
                <w:szCs w:val="21"/>
                <w:u w:val="none"/>
                <w:lang w:val="en-US" w:eastAsia="zh-CN" w:bidi="ar-SA"/>
              </w:rPr>
              <w:t>9</w:t>
            </w:r>
            <w:r>
              <w:rPr>
                <w:rFonts w:hint="eastAsia" w:ascii="Times New Roman" w:hAnsi="Times New Roman" w:eastAsia="宋体" w:cs="Times New Roman"/>
                <w:bCs/>
                <w:sz w:val="21"/>
                <w:szCs w:val="21"/>
                <w:u w:val="none"/>
                <w:lang w:val="en-US" w:eastAsia="zh-CN" w:bidi="ar-SA"/>
              </w:rPr>
              <w:t>日</w:t>
            </w:r>
            <w:r>
              <w:rPr>
                <w:rFonts w:hint="default" w:ascii="Times New Roman" w:hAnsi="Times New Roman" w:eastAsia="宋体" w:cs="Times New Roman"/>
                <w:bCs/>
                <w:sz w:val="21"/>
                <w:szCs w:val="21"/>
                <w:u w:val="none"/>
                <w:lang w:val="en-US" w:eastAsia="zh-CN" w:bidi="ar-SA"/>
              </w:rPr>
              <w:t>-</w:t>
            </w:r>
            <w:r>
              <w:rPr>
                <w:rFonts w:hint="eastAsia" w:cs="Times New Roman"/>
                <w:bCs/>
                <w:sz w:val="21"/>
                <w:szCs w:val="21"/>
                <w:u w:val="none"/>
                <w:lang w:val="en-US" w:eastAsia="zh-CN" w:bidi="ar-SA"/>
              </w:rPr>
              <w:t>11</w:t>
            </w:r>
            <w:r>
              <w:rPr>
                <w:rFonts w:hint="eastAsia" w:ascii="Times New Roman" w:hAnsi="Times New Roman" w:eastAsia="宋体" w:cs="Times New Roman"/>
                <w:bCs/>
                <w:sz w:val="21"/>
                <w:szCs w:val="21"/>
                <w:u w:val="none"/>
                <w:lang w:val="en-US" w:eastAsia="zh-CN" w:bidi="ar-SA"/>
              </w:rPr>
              <w:t>日，连续监测</w:t>
            </w:r>
            <w:r>
              <w:rPr>
                <w:rFonts w:hint="eastAsia" w:cs="Times New Roman"/>
                <w:bCs/>
                <w:sz w:val="21"/>
                <w:szCs w:val="21"/>
                <w:u w:val="none"/>
                <w:lang w:val="en-US" w:eastAsia="zh-CN" w:bidi="ar-SA"/>
              </w:rPr>
              <w:t>两</w:t>
            </w:r>
            <w:r>
              <w:rPr>
                <w:rFonts w:hint="eastAsia" w:ascii="Times New Roman" w:hAnsi="Times New Roman" w:eastAsia="宋体" w:cs="Times New Roman"/>
                <w:bCs/>
                <w:sz w:val="21"/>
                <w:szCs w:val="21"/>
                <w:u w:val="none"/>
                <w:lang w:val="en-US" w:eastAsia="zh-CN" w:bidi="ar-SA"/>
              </w:rPr>
              <w:t>天，各监测点按昼夜分段监测，昼间为：</w:t>
            </w:r>
            <w:r>
              <w:rPr>
                <w:rFonts w:hint="default" w:ascii="Times New Roman" w:hAnsi="Times New Roman" w:eastAsia="宋体" w:cs="Times New Roman"/>
                <w:bCs/>
                <w:sz w:val="21"/>
                <w:szCs w:val="21"/>
                <w:u w:val="none"/>
                <w:lang w:val="en-US" w:eastAsia="zh-CN" w:bidi="ar-SA"/>
              </w:rPr>
              <w:t>6</w:t>
            </w:r>
            <w:r>
              <w:rPr>
                <w:rFonts w:hint="eastAsia" w:ascii="Times New Roman" w:hAnsi="Times New Roman" w:eastAsia="宋体" w:cs="Times New Roman"/>
                <w:bCs/>
                <w:sz w:val="21"/>
                <w:szCs w:val="21"/>
                <w:u w:val="none"/>
                <w:lang w:val="en-US" w:eastAsia="zh-CN" w:bidi="ar-SA"/>
              </w:rPr>
              <w:t>：</w:t>
            </w:r>
            <w:r>
              <w:rPr>
                <w:rFonts w:hint="default" w:ascii="Times New Roman" w:hAnsi="Times New Roman" w:eastAsia="宋体" w:cs="Times New Roman"/>
                <w:bCs/>
                <w:sz w:val="21"/>
                <w:szCs w:val="21"/>
                <w:u w:val="none"/>
                <w:lang w:val="en-US" w:eastAsia="zh-CN" w:bidi="ar-SA"/>
              </w:rPr>
              <w:t>00</w:t>
            </w:r>
            <w:r>
              <w:rPr>
                <w:rFonts w:hint="eastAsia" w:ascii="Times New Roman" w:hAnsi="Times New Roman" w:eastAsia="宋体" w:cs="Times New Roman"/>
                <w:bCs/>
                <w:sz w:val="21"/>
                <w:szCs w:val="21"/>
                <w:u w:val="none"/>
                <w:lang w:val="en-US" w:eastAsia="zh-CN" w:bidi="ar-SA"/>
              </w:rPr>
              <w:t>～</w:t>
            </w:r>
            <w:r>
              <w:rPr>
                <w:rFonts w:hint="default" w:ascii="Times New Roman" w:hAnsi="Times New Roman" w:eastAsia="宋体" w:cs="Times New Roman"/>
                <w:bCs/>
                <w:sz w:val="21"/>
                <w:szCs w:val="21"/>
                <w:u w:val="none"/>
                <w:lang w:val="en-US" w:eastAsia="zh-CN" w:bidi="ar-SA"/>
              </w:rPr>
              <w:t>22</w:t>
            </w:r>
            <w:r>
              <w:rPr>
                <w:rFonts w:hint="eastAsia" w:ascii="Times New Roman" w:hAnsi="Times New Roman" w:eastAsia="宋体" w:cs="Times New Roman"/>
                <w:bCs/>
                <w:sz w:val="21"/>
                <w:szCs w:val="21"/>
                <w:u w:val="none"/>
                <w:lang w:val="en-US" w:eastAsia="zh-CN" w:bidi="ar-SA"/>
              </w:rPr>
              <w:t>：</w:t>
            </w:r>
            <w:r>
              <w:rPr>
                <w:rFonts w:hint="default" w:ascii="Times New Roman" w:hAnsi="Times New Roman" w:eastAsia="宋体" w:cs="Times New Roman"/>
                <w:bCs/>
                <w:sz w:val="21"/>
                <w:szCs w:val="21"/>
                <w:u w:val="none"/>
                <w:lang w:val="en-US" w:eastAsia="zh-CN" w:bidi="ar-SA"/>
              </w:rPr>
              <w:t>00</w:t>
            </w:r>
            <w:r>
              <w:rPr>
                <w:rFonts w:hint="eastAsia" w:ascii="Times New Roman" w:hAnsi="Times New Roman" w:eastAsia="宋体" w:cs="Times New Roman"/>
                <w:bCs/>
                <w:sz w:val="21"/>
                <w:szCs w:val="21"/>
                <w:u w:val="none"/>
                <w:lang w:val="en-US" w:eastAsia="zh-CN" w:bidi="ar-SA"/>
              </w:rPr>
              <w:t>；夜间为：</w:t>
            </w:r>
            <w:r>
              <w:rPr>
                <w:rFonts w:hint="default" w:ascii="Times New Roman" w:hAnsi="Times New Roman" w:eastAsia="宋体" w:cs="Times New Roman"/>
                <w:bCs/>
                <w:sz w:val="21"/>
                <w:szCs w:val="21"/>
                <w:u w:val="none"/>
                <w:lang w:val="en-US" w:eastAsia="zh-CN" w:bidi="ar-SA"/>
              </w:rPr>
              <w:t>22</w:t>
            </w:r>
            <w:r>
              <w:rPr>
                <w:rFonts w:hint="eastAsia" w:ascii="Times New Roman" w:hAnsi="Times New Roman" w:eastAsia="宋体" w:cs="Times New Roman"/>
                <w:bCs/>
                <w:sz w:val="21"/>
                <w:szCs w:val="21"/>
                <w:u w:val="none"/>
                <w:lang w:val="en-US" w:eastAsia="zh-CN" w:bidi="ar-SA"/>
              </w:rPr>
              <w:t>：</w:t>
            </w:r>
            <w:r>
              <w:rPr>
                <w:rFonts w:hint="default" w:ascii="Times New Roman" w:hAnsi="Times New Roman" w:eastAsia="宋体" w:cs="Times New Roman"/>
                <w:bCs/>
                <w:sz w:val="21"/>
                <w:szCs w:val="21"/>
                <w:u w:val="none"/>
                <w:lang w:val="en-US" w:eastAsia="zh-CN" w:bidi="ar-SA"/>
              </w:rPr>
              <w:t>00</w:t>
            </w:r>
            <w:r>
              <w:rPr>
                <w:rFonts w:hint="eastAsia" w:ascii="Times New Roman" w:hAnsi="Times New Roman" w:eastAsia="宋体" w:cs="Times New Roman"/>
                <w:bCs/>
                <w:sz w:val="21"/>
                <w:szCs w:val="21"/>
                <w:u w:val="none"/>
                <w:lang w:val="en-US" w:eastAsia="zh-CN" w:bidi="ar-SA"/>
              </w:rPr>
              <w:t>～次日</w:t>
            </w:r>
            <w:r>
              <w:rPr>
                <w:rFonts w:hint="default" w:ascii="Times New Roman" w:hAnsi="Times New Roman" w:eastAsia="宋体" w:cs="Times New Roman"/>
                <w:bCs/>
                <w:sz w:val="21"/>
                <w:szCs w:val="21"/>
                <w:u w:val="none"/>
                <w:lang w:val="en-US" w:eastAsia="zh-CN" w:bidi="ar-SA"/>
              </w:rPr>
              <w:t>6</w:t>
            </w:r>
            <w:r>
              <w:rPr>
                <w:rFonts w:hint="eastAsia" w:ascii="Times New Roman" w:hAnsi="Times New Roman" w:eastAsia="宋体" w:cs="Times New Roman"/>
                <w:bCs/>
                <w:sz w:val="21"/>
                <w:szCs w:val="21"/>
                <w:u w:val="none"/>
                <w:lang w:val="en-US" w:eastAsia="zh-CN" w:bidi="ar-SA"/>
              </w:rPr>
              <w:t>：</w:t>
            </w:r>
            <w:r>
              <w:rPr>
                <w:rFonts w:hint="default" w:ascii="Times New Roman" w:hAnsi="Times New Roman" w:eastAsia="宋体" w:cs="Times New Roman"/>
                <w:bCs/>
                <w:sz w:val="21"/>
                <w:szCs w:val="21"/>
                <w:u w:val="none"/>
                <w:lang w:val="en-US" w:eastAsia="zh-CN" w:bidi="ar-SA"/>
              </w:rPr>
              <w:t>00</w:t>
            </w:r>
            <w:r>
              <w:rPr>
                <w:rFonts w:hint="eastAsia" w:ascii="Times New Roman" w:hAnsi="Times New Roman" w:eastAsia="宋体" w:cs="Times New Roman"/>
                <w:bCs/>
                <w:sz w:val="21"/>
                <w:szCs w:val="21"/>
                <w:u w:val="none"/>
                <w:lang w:val="en-US" w:eastAsia="zh-CN" w:bidi="ar-SA"/>
              </w:rPr>
              <w:t>。</w:t>
            </w:r>
          </w:p>
          <w:p>
            <w:pPr>
              <w:keepNext w:val="0"/>
              <w:keepLines w:val="0"/>
              <w:widowControl/>
              <w:suppressLineNumbers w:val="0"/>
              <w:spacing w:line="360" w:lineRule="auto"/>
              <w:ind w:firstLine="420" w:firstLineChars="200"/>
              <w:jc w:val="left"/>
              <w:rPr>
                <w:rFonts w:hint="default" w:ascii="Times New Roman" w:hAnsi="Times New Roman" w:eastAsia="宋体" w:cs="Times New Roman"/>
                <w:bCs/>
                <w:sz w:val="21"/>
                <w:szCs w:val="21"/>
                <w:u w:val="none"/>
                <w:lang w:val="en-US" w:eastAsia="zh-CN" w:bidi="ar-SA"/>
              </w:rPr>
            </w:pPr>
            <w:r>
              <w:rPr>
                <w:rFonts w:hint="eastAsia" w:ascii="Times New Roman" w:hAnsi="Times New Roman" w:eastAsia="宋体" w:cs="Times New Roman"/>
                <w:bCs/>
                <w:sz w:val="21"/>
                <w:szCs w:val="21"/>
                <w:u w:val="none"/>
                <w:lang w:val="en-US" w:eastAsia="zh-CN" w:bidi="ar-SA"/>
              </w:rPr>
              <w:t>（2）监测方法</w:t>
            </w:r>
          </w:p>
          <w:p>
            <w:pPr>
              <w:pStyle w:val="199"/>
              <w:keepNext w:val="0"/>
              <w:keepLines w:val="0"/>
              <w:pageBreakBefore w:val="0"/>
              <w:widowControl w:val="0"/>
              <w:spacing w:before="0" w:after="0" w:line="360" w:lineRule="auto"/>
              <w:ind w:left="0" w:right="0" w:firstLine="480"/>
              <w:jc w:val="both"/>
              <w:rPr>
                <w:rFonts w:hint="default" w:ascii="Times New Roman" w:hAnsi="Times New Roman" w:eastAsia="宋体" w:cs="Times New Roman"/>
                <w:bCs/>
                <w:sz w:val="21"/>
                <w:szCs w:val="21"/>
                <w:u w:val="none"/>
                <w:lang w:val="en-US" w:eastAsia="zh-CN" w:bidi="ar-SA"/>
              </w:rPr>
            </w:pPr>
            <w:r>
              <w:rPr>
                <w:rFonts w:hint="default" w:ascii="Times New Roman" w:hAnsi="Times New Roman" w:eastAsia="宋体" w:cs="Times New Roman"/>
                <w:bCs/>
                <w:sz w:val="21"/>
                <w:szCs w:val="21"/>
                <w:u w:val="none"/>
                <w:lang w:val="en-US" w:eastAsia="zh-CN" w:bidi="ar-SA"/>
              </w:rPr>
              <w:t>按照《声环境质量标准》（GB3096-2008）中有关规定进行。</w:t>
            </w:r>
          </w:p>
          <w:p>
            <w:pPr>
              <w:pStyle w:val="199"/>
              <w:keepNext w:val="0"/>
              <w:keepLines w:val="0"/>
              <w:pageBreakBefore w:val="0"/>
              <w:widowControl w:val="0"/>
              <w:numPr>
                <w:ilvl w:val="0"/>
                <w:numId w:val="2"/>
              </w:numPr>
              <w:spacing w:before="0" w:after="0" w:line="360" w:lineRule="auto"/>
              <w:ind w:left="0" w:right="0" w:firstLine="480"/>
              <w:jc w:val="both"/>
              <w:rPr>
                <w:rFonts w:hint="default" w:ascii="Times New Roman" w:hAnsi="Times New Roman" w:eastAsia="宋体" w:cs="Times New Roman"/>
                <w:bCs/>
                <w:sz w:val="21"/>
                <w:szCs w:val="21"/>
                <w:u w:val="none"/>
                <w:lang w:val="en-US" w:eastAsia="zh-CN" w:bidi="ar-SA"/>
              </w:rPr>
            </w:pPr>
            <w:r>
              <w:rPr>
                <w:rFonts w:hint="eastAsia" w:ascii="Times New Roman" w:hAnsi="Times New Roman" w:eastAsia="宋体" w:cs="Times New Roman"/>
                <w:bCs/>
                <w:sz w:val="21"/>
                <w:szCs w:val="21"/>
                <w:u w:val="none"/>
                <w:lang w:val="en-US" w:eastAsia="zh-CN" w:bidi="ar-SA"/>
              </w:rPr>
              <w:t>评价因子</w:t>
            </w:r>
          </w:p>
          <w:p>
            <w:pPr>
              <w:pStyle w:val="199"/>
              <w:keepNext w:val="0"/>
              <w:keepLines w:val="0"/>
              <w:pageBreakBefore w:val="0"/>
              <w:widowControl w:val="0"/>
              <w:numPr>
                <w:ilvl w:val="0"/>
                <w:numId w:val="0"/>
              </w:numPr>
              <w:spacing w:before="0" w:after="0" w:line="360" w:lineRule="auto"/>
              <w:ind w:left="480" w:leftChars="0" w:right="0" w:rightChars="0"/>
              <w:jc w:val="both"/>
              <w:rPr>
                <w:rFonts w:hint="default" w:ascii="Times New Roman" w:hAnsi="Times New Roman" w:eastAsia="宋体" w:cs="Times New Roman"/>
                <w:bCs/>
                <w:sz w:val="21"/>
                <w:szCs w:val="21"/>
                <w:u w:val="none"/>
                <w:lang w:val="en-US" w:eastAsia="zh-CN" w:bidi="ar-SA"/>
              </w:rPr>
            </w:pPr>
            <w:r>
              <w:rPr>
                <w:rFonts w:hint="default" w:ascii="Times New Roman" w:hAnsi="Times New Roman" w:eastAsia="宋体" w:cs="Times New Roman"/>
                <w:bCs/>
                <w:sz w:val="21"/>
                <w:szCs w:val="21"/>
                <w:u w:val="none"/>
                <w:lang w:val="en-US" w:eastAsia="zh-CN" w:bidi="ar-SA"/>
              </w:rPr>
              <w:t>等效连续A声级Leq。</w:t>
            </w:r>
          </w:p>
          <w:p>
            <w:pPr>
              <w:pStyle w:val="199"/>
              <w:keepNext w:val="0"/>
              <w:keepLines w:val="0"/>
              <w:pageBreakBefore w:val="0"/>
              <w:widowControl/>
              <w:kinsoku/>
              <w:wordWrap/>
              <w:overflowPunct/>
              <w:topLinePunct w:val="0"/>
              <w:autoSpaceDE/>
              <w:autoSpaceDN/>
              <w:bidi w:val="0"/>
              <w:adjustRightInd w:val="0"/>
              <w:snapToGrid w:val="0"/>
              <w:spacing w:before="0" w:after="0" w:line="240" w:lineRule="auto"/>
              <w:ind w:left="0" w:right="0"/>
              <w:jc w:val="center"/>
              <w:textAlignment w:val="auto"/>
              <w:rPr>
                <w:rFonts w:hint="default" w:ascii="Times New Roman" w:hAnsi="Times New Roman" w:eastAsia="宋体" w:cs="Times New Roman"/>
                <w:b/>
                <w:bCs/>
                <w:color w:val="000000"/>
                <w:kern w:val="0"/>
                <w:sz w:val="21"/>
                <w:szCs w:val="21"/>
                <w:u w:val="none"/>
                <w:lang w:val="en-US" w:eastAsia="zh-CN" w:bidi="ar"/>
              </w:rPr>
            </w:pPr>
          </w:p>
          <w:p>
            <w:pPr>
              <w:pStyle w:val="199"/>
              <w:keepNext w:val="0"/>
              <w:keepLines w:val="0"/>
              <w:pageBreakBefore w:val="0"/>
              <w:widowControl/>
              <w:kinsoku/>
              <w:wordWrap/>
              <w:overflowPunct/>
              <w:topLinePunct w:val="0"/>
              <w:autoSpaceDE/>
              <w:autoSpaceDN/>
              <w:bidi w:val="0"/>
              <w:adjustRightInd w:val="0"/>
              <w:snapToGrid w:val="0"/>
              <w:spacing w:before="0" w:after="0" w:line="240" w:lineRule="auto"/>
              <w:ind w:left="0" w:right="0"/>
              <w:jc w:val="center"/>
              <w:textAlignment w:val="auto"/>
              <w:rPr>
                <w:rFonts w:hint="default" w:ascii="Times New Roman" w:hAnsi="Times New Roman" w:eastAsia="宋体" w:cs="Times New Roman"/>
                <w:b/>
                <w:bCs/>
                <w:color w:val="000000"/>
                <w:kern w:val="0"/>
                <w:sz w:val="21"/>
                <w:szCs w:val="21"/>
                <w:u w:val="none"/>
                <w:lang w:val="en-US" w:eastAsia="zh-CN" w:bidi="ar"/>
              </w:rPr>
            </w:pPr>
          </w:p>
          <w:p>
            <w:pPr>
              <w:pStyle w:val="199"/>
              <w:keepNext w:val="0"/>
              <w:keepLines w:val="0"/>
              <w:pageBreakBefore w:val="0"/>
              <w:widowControl/>
              <w:kinsoku/>
              <w:wordWrap/>
              <w:overflowPunct/>
              <w:topLinePunct w:val="0"/>
              <w:autoSpaceDE/>
              <w:autoSpaceDN/>
              <w:bidi w:val="0"/>
              <w:adjustRightInd w:val="0"/>
              <w:snapToGrid w:val="0"/>
              <w:spacing w:before="0" w:after="0" w:line="240" w:lineRule="auto"/>
              <w:ind w:left="0" w:right="0"/>
              <w:jc w:val="center"/>
              <w:textAlignment w:val="auto"/>
              <w:rPr>
                <w:rFonts w:ascii="Times New Roman" w:hAnsi="Times New Roman" w:eastAsia="宋体" w:cs="Times New Roman"/>
                <w:color w:val="000000"/>
                <w:sz w:val="21"/>
                <w:szCs w:val="21"/>
                <w:highlight w:val="none"/>
                <w:u w:val="none"/>
                <w:vertAlign w:val="baseline"/>
              </w:rPr>
            </w:pPr>
            <w:r>
              <w:rPr>
                <w:rFonts w:hint="default" w:ascii="Times New Roman" w:hAnsi="Times New Roman" w:eastAsia="宋体" w:cs="Times New Roman"/>
                <w:b/>
                <w:bCs/>
                <w:color w:val="000000"/>
                <w:kern w:val="0"/>
                <w:sz w:val="21"/>
                <w:szCs w:val="21"/>
                <w:u w:val="none"/>
                <w:lang w:val="en-US" w:eastAsia="zh-CN" w:bidi="ar"/>
              </w:rPr>
              <w:t>表3</w:t>
            </w:r>
            <w:r>
              <w:rPr>
                <w:rFonts w:hint="eastAsia" w:ascii="Times New Roman" w:hAnsi="Times New Roman" w:eastAsia="宋体" w:cs="Times New Roman"/>
                <w:b/>
                <w:bCs/>
                <w:color w:val="000000"/>
                <w:kern w:val="0"/>
                <w:sz w:val="21"/>
                <w:szCs w:val="21"/>
                <w:u w:val="none"/>
                <w:lang w:val="en-US" w:eastAsia="zh-CN" w:bidi="ar"/>
              </w:rPr>
              <w:t>-2</w:t>
            </w:r>
            <w:r>
              <w:rPr>
                <w:rFonts w:hint="default" w:ascii="Times New Roman" w:hAnsi="Times New Roman" w:eastAsia="宋体" w:cs="Times New Roman"/>
                <w:b/>
                <w:bCs/>
                <w:color w:val="000000"/>
                <w:kern w:val="0"/>
                <w:sz w:val="21"/>
                <w:szCs w:val="21"/>
                <w:u w:val="none"/>
                <w:lang w:val="en-US" w:eastAsia="zh-CN" w:bidi="ar"/>
              </w:rPr>
              <w:t xml:space="preserve"> 声环境质量现状监测结果分析表 单位：dB(A)</w:t>
            </w:r>
          </w:p>
          <w:tbl>
            <w:tblPr>
              <w:tblStyle w:val="41"/>
              <w:tblW w:w="7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763"/>
              <w:gridCol w:w="1819"/>
              <w:gridCol w:w="731"/>
              <w:gridCol w:w="1173"/>
              <w:gridCol w:w="833"/>
              <w:gridCol w:w="503"/>
              <w:gridCol w:w="418"/>
              <w:gridCol w:w="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项目</w:t>
                  </w:r>
                </w:p>
              </w:tc>
              <w:tc>
                <w:tcPr>
                  <w:tcW w:w="76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编号</w:t>
                  </w:r>
                </w:p>
              </w:tc>
              <w:tc>
                <w:tcPr>
                  <w:tcW w:w="181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检测点位</w:t>
                  </w:r>
                </w:p>
              </w:tc>
              <w:tc>
                <w:tcPr>
                  <w:tcW w:w="73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检测日期</w:t>
                  </w:r>
                </w:p>
              </w:tc>
              <w:tc>
                <w:tcPr>
                  <w:tcW w:w="2006"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检测结果</w:t>
                  </w:r>
                </w:p>
              </w:tc>
              <w:tc>
                <w:tcPr>
                  <w:tcW w:w="921"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评价标准</w:t>
                  </w:r>
                </w:p>
              </w:tc>
              <w:tc>
                <w:tcPr>
                  <w:tcW w:w="57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p>
              </w:tc>
              <w:tc>
                <w:tcPr>
                  <w:tcW w:w="76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p>
              </w:tc>
              <w:tc>
                <w:tcPr>
                  <w:tcW w:w="181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p>
              </w:tc>
              <w:tc>
                <w:tcPr>
                  <w:tcW w:w="73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夜间</w:t>
                  </w:r>
                </w:p>
              </w:tc>
              <w:tc>
                <w:tcPr>
                  <w:tcW w:w="50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昼间</w:t>
                  </w:r>
                </w:p>
              </w:tc>
              <w:tc>
                <w:tcPr>
                  <w:tcW w:w="418"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夜间</w:t>
                  </w:r>
                </w:p>
              </w:tc>
              <w:tc>
                <w:tcPr>
                  <w:tcW w:w="57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shd w:val="clear" w:color="auto" w:fill="auto"/>
                  <w:vAlign w:val="center"/>
                </w:tcPr>
                <w:p>
                  <w:pPr>
                    <w:snapToGrid w:val="0"/>
                    <w:spacing w:after="0" w:line="240" w:lineRule="auto"/>
                    <w:jc w:val="center"/>
                    <w:rPr>
                      <w:rFonts w:hint="default" w:ascii="Times New Roman" w:hAnsi="Times New Roman" w:eastAsia="宋体" w:cs="Times New Roman"/>
                      <w:b w:val="0"/>
                      <w:bCs w:val="0"/>
                      <w:kern w:val="0"/>
                      <w:sz w:val="21"/>
                      <w:szCs w:val="21"/>
                      <w:highlight w:val="none"/>
                      <w:u w:val="none" w:color="auto"/>
                      <w:lang w:val="en-US" w:eastAsia="zh-CN" w:bidi="ar-SA"/>
                    </w:rPr>
                  </w:pPr>
                  <w:r>
                    <w:rPr>
                      <w:rFonts w:hint="eastAsia" w:ascii="Times New Roman" w:hAnsi="Times New Roman" w:eastAsia="宋体" w:cs="Times New Roman"/>
                      <w:color w:val="000000"/>
                      <w:sz w:val="21"/>
                      <w:szCs w:val="21"/>
                      <w:highlight w:val="none"/>
                      <w:lang w:eastAsia="zh-CN"/>
                    </w:rPr>
                    <w:t>萍阳北路延伸段</w:t>
                  </w:r>
                </w:p>
              </w:tc>
              <w:tc>
                <w:tcPr>
                  <w:tcW w:w="76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cs="Times New Roman"/>
                      <w:sz w:val="21"/>
                      <w:szCs w:val="21"/>
                      <w:lang w:val="en-US" w:eastAsia="zh-CN"/>
                    </w:rPr>
                    <w:t>1</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老渡口社区居民委员会及居民委员会旁居民</w:t>
                  </w:r>
                </w:p>
              </w:tc>
              <w:tc>
                <w:tcPr>
                  <w:tcW w:w="73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2024.12.</w:t>
                  </w:r>
                  <w:r>
                    <w:rPr>
                      <w:rFonts w:hint="eastAsia" w:cs="Times New Roman"/>
                      <w:sz w:val="21"/>
                      <w:szCs w:val="21"/>
                      <w:lang w:val="en-US" w:eastAsia="zh-CN"/>
                    </w:rPr>
                    <w:t>9-12.10</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57.7</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47.3</w:t>
                  </w:r>
                </w:p>
              </w:tc>
              <w:tc>
                <w:tcPr>
                  <w:tcW w:w="50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60</w:t>
                  </w:r>
                </w:p>
              </w:tc>
              <w:tc>
                <w:tcPr>
                  <w:tcW w:w="41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w:t>
                  </w:r>
                </w:p>
              </w:tc>
              <w:tc>
                <w:tcPr>
                  <w:tcW w:w="57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restart"/>
                  <w:vAlign w:val="center"/>
                </w:tcPr>
                <w:p>
                  <w:pPr>
                    <w:snapToGrid w:val="0"/>
                    <w:spacing w:after="0" w:line="240" w:lineRule="auto"/>
                    <w:jc w:val="center"/>
                    <w:rPr>
                      <w:rFonts w:hint="default" w:ascii="Times New Roman" w:hAnsi="Times New Roman" w:eastAsia="宋体" w:cs="Times New Roman"/>
                      <w:b w:val="0"/>
                      <w:bCs w:val="0"/>
                      <w:kern w:val="0"/>
                      <w:sz w:val="21"/>
                      <w:szCs w:val="21"/>
                      <w:highlight w:val="none"/>
                      <w:u w:val="none" w:color="auto"/>
                      <w:lang w:val="en-US" w:eastAsia="zh-CN" w:bidi="ar-SA"/>
                    </w:rPr>
                  </w:pPr>
                  <w:r>
                    <w:rPr>
                      <w:rFonts w:hint="eastAsia" w:ascii="Times New Roman" w:hAnsi="Times New Roman" w:eastAsia="宋体" w:cs="Times New Roman"/>
                      <w:color w:val="000000"/>
                      <w:sz w:val="21"/>
                      <w:szCs w:val="21"/>
                      <w:highlight w:val="none"/>
                      <w:lang w:eastAsia="zh-CN"/>
                    </w:rPr>
                    <w:t>萍洲大桥西岸匝道</w:t>
                  </w:r>
                </w:p>
              </w:tc>
              <w:tc>
                <w:tcPr>
                  <w:tcW w:w="76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cs="Times New Roman"/>
                      <w:sz w:val="21"/>
                      <w:szCs w:val="21"/>
                      <w:lang w:val="en-US" w:eastAsia="zh-CN"/>
                    </w:rPr>
                    <w:t>2</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萍阳北路居民点</w:t>
                  </w:r>
                </w:p>
              </w:tc>
              <w:tc>
                <w:tcPr>
                  <w:tcW w:w="73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55.6</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46.9</w:t>
                  </w:r>
                </w:p>
              </w:tc>
              <w:tc>
                <w:tcPr>
                  <w:tcW w:w="5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4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57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continue"/>
                  <w:shd w:val="clear" w:color="auto" w:fill="auto"/>
                  <w:vAlign w:val="center"/>
                </w:tcPr>
                <w:p>
                  <w:pPr>
                    <w:snapToGrid w:val="0"/>
                    <w:spacing w:after="0" w:line="240" w:lineRule="auto"/>
                    <w:jc w:val="center"/>
                    <w:rPr>
                      <w:rFonts w:hint="default" w:ascii="Times New Roman" w:hAnsi="Times New Roman" w:eastAsia="宋体" w:cs="Times New Roman"/>
                      <w:b w:val="0"/>
                      <w:bCs w:val="0"/>
                      <w:kern w:val="0"/>
                      <w:sz w:val="21"/>
                      <w:szCs w:val="21"/>
                      <w:highlight w:val="none"/>
                      <w:u w:val="none" w:color="auto"/>
                      <w:lang w:val="en-US" w:eastAsia="zh-CN" w:bidi="ar-SA"/>
                    </w:rPr>
                  </w:pPr>
                </w:p>
              </w:tc>
              <w:tc>
                <w:tcPr>
                  <w:tcW w:w="76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cs="Times New Roman"/>
                      <w:sz w:val="21"/>
                      <w:szCs w:val="21"/>
                      <w:lang w:val="en-US" w:eastAsia="zh-CN"/>
                    </w:rPr>
                    <w:t>3</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梨头尖居民点</w:t>
                  </w:r>
                </w:p>
              </w:tc>
              <w:tc>
                <w:tcPr>
                  <w:tcW w:w="73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55.7</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46.2</w:t>
                  </w:r>
                </w:p>
              </w:tc>
              <w:tc>
                <w:tcPr>
                  <w:tcW w:w="5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4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57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highlight w:val="none"/>
                      <w:lang w:eastAsia="zh-CN"/>
                    </w:rPr>
                    <w:t>萍阳北路延伸段</w:t>
                  </w:r>
                </w:p>
              </w:tc>
              <w:tc>
                <w:tcPr>
                  <w:tcW w:w="76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cs="Times New Roman"/>
                      <w:sz w:val="21"/>
                      <w:szCs w:val="21"/>
                      <w:lang w:val="en-US" w:eastAsia="zh-CN"/>
                    </w:rPr>
                    <w:t>4</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君诚学校</w:t>
                  </w:r>
                </w:p>
              </w:tc>
              <w:tc>
                <w:tcPr>
                  <w:tcW w:w="73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57.6</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45.2</w:t>
                  </w:r>
                </w:p>
              </w:tc>
              <w:tc>
                <w:tcPr>
                  <w:tcW w:w="5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4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57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p>
              </w:tc>
              <w:tc>
                <w:tcPr>
                  <w:tcW w:w="76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cs="Times New Roman"/>
                      <w:sz w:val="21"/>
                      <w:szCs w:val="21"/>
                      <w:lang w:val="en-US" w:eastAsia="zh-CN"/>
                    </w:rPr>
                    <w:t>5</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原化工集团宿舍</w:t>
                  </w:r>
                </w:p>
              </w:tc>
              <w:tc>
                <w:tcPr>
                  <w:tcW w:w="73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55.4</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45.2</w:t>
                  </w:r>
                </w:p>
              </w:tc>
              <w:tc>
                <w:tcPr>
                  <w:tcW w:w="5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4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57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p>
              </w:tc>
              <w:tc>
                <w:tcPr>
                  <w:tcW w:w="7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cs="Times New Roman"/>
                      <w:sz w:val="21"/>
                      <w:szCs w:val="21"/>
                      <w:lang w:val="en-US" w:eastAsia="zh-CN"/>
                    </w:rPr>
                    <w:t>1</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老渡口社区居民委员会及居民委员会旁居民</w:t>
                  </w:r>
                </w:p>
              </w:tc>
              <w:tc>
                <w:tcPr>
                  <w:tcW w:w="731"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2024.12.</w:t>
                  </w:r>
                  <w:r>
                    <w:rPr>
                      <w:rFonts w:hint="eastAsia" w:cs="Times New Roman"/>
                      <w:sz w:val="21"/>
                      <w:szCs w:val="21"/>
                      <w:lang w:val="en-US" w:eastAsia="zh-CN"/>
                    </w:rPr>
                    <w:t>10-12.11</w:t>
                  </w: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57.8</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47.6</w:t>
                  </w:r>
                </w:p>
              </w:tc>
              <w:tc>
                <w:tcPr>
                  <w:tcW w:w="5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4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57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highlight w:val="none"/>
                      <w:lang w:eastAsia="zh-CN"/>
                    </w:rPr>
                    <w:t>萍洲大桥西岸匝道</w:t>
                  </w:r>
                </w:p>
              </w:tc>
              <w:tc>
                <w:tcPr>
                  <w:tcW w:w="7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cs="Times New Roman"/>
                      <w:sz w:val="21"/>
                      <w:szCs w:val="21"/>
                      <w:lang w:val="en-US" w:eastAsia="zh-CN"/>
                    </w:rPr>
                    <w:t>2</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萍阳北路居民点</w:t>
                  </w:r>
                </w:p>
              </w:tc>
              <w:tc>
                <w:tcPr>
                  <w:tcW w:w="73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56.6</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46.5</w:t>
                  </w:r>
                </w:p>
              </w:tc>
              <w:tc>
                <w:tcPr>
                  <w:tcW w:w="5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4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57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p>
              </w:tc>
              <w:tc>
                <w:tcPr>
                  <w:tcW w:w="7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cs="Times New Roman"/>
                      <w:sz w:val="21"/>
                      <w:szCs w:val="21"/>
                      <w:lang w:val="en-US" w:eastAsia="zh-CN"/>
                    </w:rPr>
                    <w:t>3</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梨头尖居民点</w:t>
                  </w:r>
                </w:p>
              </w:tc>
              <w:tc>
                <w:tcPr>
                  <w:tcW w:w="73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55.4</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46.0</w:t>
                  </w:r>
                </w:p>
              </w:tc>
              <w:tc>
                <w:tcPr>
                  <w:tcW w:w="5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4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57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highlight w:val="none"/>
                      <w:lang w:eastAsia="zh-CN"/>
                    </w:rPr>
                    <w:t>萍阳北路延伸段</w:t>
                  </w:r>
                </w:p>
              </w:tc>
              <w:tc>
                <w:tcPr>
                  <w:tcW w:w="7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cs="Times New Roman"/>
                      <w:sz w:val="21"/>
                      <w:szCs w:val="21"/>
                      <w:lang w:val="en-US" w:eastAsia="zh-CN"/>
                    </w:rPr>
                    <w:t>4</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君诚学校</w:t>
                  </w:r>
                </w:p>
              </w:tc>
              <w:tc>
                <w:tcPr>
                  <w:tcW w:w="73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58.2</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46.0</w:t>
                  </w:r>
                </w:p>
              </w:tc>
              <w:tc>
                <w:tcPr>
                  <w:tcW w:w="5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4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57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0"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p>
              </w:tc>
              <w:tc>
                <w:tcPr>
                  <w:tcW w:w="763"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w:t>
                  </w:r>
                  <w:r>
                    <w:rPr>
                      <w:rFonts w:hint="eastAsia" w:cs="Times New Roman"/>
                      <w:sz w:val="21"/>
                      <w:szCs w:val="21"/>
                      <w:lang w:val="en-US" w:eastAsia="zh-CN"/>
                    </w:rPr>
                    <w:t>5</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原化工集团宿舍</w:t>
                  </w:r>
                </w:p>
              </w:tc>
              <w:tc>
                <w:tcPr>
                  <w:tcW w:w="731"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117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55.7</w:t>
                  </w:r>
                </w:p>
              </w:tc>
              <w:tc>
                <w:tcPr>
                  <w:tcW w:w="833"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45.8</w:t>
                  </w:r>
                </w:p>
              </w:tc>
              <w:tc>
                <w:tcPr>
                  <w:tcW w:w="50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4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rPr>
                  </w:pPr>
                </w:p>
              </w:tc>
              <w:tc>
                <w:tcPr>
                  <w:tcW w:w="57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达标</w:t>
                  </w:r>
                </w:p>
              </w:tc>
            </w:tr>
          </w:tbl>
          <w:p>
            <w:pPr>
              <w:spacing w:line="360" w:lineRule="auto"/>
              <w:ind w:firstLine="480"/>
              <w:rPr>
                <w:rFonts w:hint="eastAsia" w:ascii="Times New Roman" w:hAnsi="Times New Roman" w:eastAsia="宋体" w:cs="Times New Roman"/>
                <w:color w:val="000000"/>
                <w:sz w:val="21"/>
                <w:szCs w:val="21"/>
                <w:highlight w:val="none"/>
                <w:u w:val="none"/>
                <w:lang w:eastAsia="zh-CN"/>
              </w:rPr>
            </w:pPr>
            <w:r>
              <w:rPr>
                <w:rFonts w:ascii="Times New Roman" w:hAnsi="Times New Roman" w:eastAsia="宋体" w:cs="Times New Roman"/>
                <w:color w:val="000000"/>
                <w:sz w:val="21"/>
                <w:szCs w:val="21"/>
                <w:highlight w:val="none"/>
                <w:u w:val="none"/>
              </w:rPr>
              <w:t>由上表可知，所有监测点噪声昼夜监测值均可达到《声环境质量标准》（GB3096-2008）中的2类的标准，区域声环境质量现状良好。</w:t>
            </w:r>
          </w:p>
          <w:p>
            <w:pPr>
              <w:pStyle w:val="191"/>
              <w:keepNext/>
              <w:keepLines/>
              <w:pageBreakBefore w:val="0"/>
              <w:widowControl w:val="0"/>
              <w:spacing w:before="0" w:after="0" w:line="360" w:lineRule="auto"/>
              <w:ind w:right="0"/>
              <w:jc w:val="both"/>
              <w:outlineLvl w:val="1"/>
              <w:rPr>
                <w:rFonts w:hint="default" w:ascii="Times New Roman" w:hAnsi="Times New Roman" w:eastAsia="宋体" w:cs="Times New Roman"/>
                <w:b/>
                <w:bCs/>
                <w:color w:val="000000"/>
                <w:sz w:val="21"/>
                <w:szCs w:val="21"/>
                <w:highlight w:val="none"/>
                <w:lang w:val="en-US" w:eastAsia="zh-CN"/>
              </w:rPr>
            </w:pPr>
            <w:bookmarkStart w:id="18" w:name="_TOC_250055"/>
            <w:r>
              <w:rPr>
                <w:rFonts w:hint="eastAsia" w:ascii="Times New Roman" w:hAnsi="Times New Roman" w:eastAsia="宋体" w:cs="Times New Roman"/>
                <w:b/>
                <w:bCs/>
                <w:color w:val="000000"/>
                <w:sz w:val="21"/>
                <w:szCs w:val="21"/>
                <w:highlight w:val="none"/>
                <w:lang w:val="en-US" w:eastAsia="zh-CN"/>
              </w:rPr>
              <w:t>3.4 地下水、土壤环境现状评价</w:t>
            </w:r>
          </w:p>
          <w:p>
            <w:pPr>
              <w:spacing w:line="360" w:lineRule="auto"/>
              <w:ind w:firstLine="480"/>
              <w:rPr>
                <w:rFonts w:hint="default" w:ascii="Times New Roman" w:hAnsi="Times New Roman" w:eastAsia="宋体" w:cs="Times New Roman"/>
                <w:color w:val="000000"/>
                <w:sz w:val="21"/>
                <w:szCs w:val="21"/>
                <w:highlight w:val="none"/>
                <w:u w:val="none"/>
              </w:rPr>
            </w:pPr>
            <w:r>
              <w:rPr>
                <w:rFonts w:hint="default" w:ascii="Times New Roman" w:hAnsi="Times New Roman" w:eastAsia="宋体" w:cs="Times New Roman"/>
                <w:color w:val="000000"/>
                <w:sz w:val="21"/>
                <w:szCs w:val="21"/>
                <w:highlight w:val="none"/>
                <w:u w:val="none"/>
                <w:lang w:val="en-US" w:eastAsia="zh-CN"/>
              </w:rPr>
              <w:t>对照《环境影响评价技术导则土壤环境（试行）》（HJ964-2018），查阅其“附录A土壤环境影响评价项目类别”，本项目属于</w:t>
            </w:r>
            <w:r>
              <w:rPr>
                <w:rFonts w:hint="eastAsia" w:ascii="Times New Roman" w:hAnsi="Times New Roman" w:cs="Times New Roman"/>
                <w:color w:val="000000"/>
                <w:sz w:val="21"/>
                <w:szCs w:val="21"/>
                <w:highlight w:val="none"/>
                <w:u w:val="none"/>
                <w:lang w:val="en-US" w:eastAsia="zh-CN"/>
              </w:rPr>
              <w:t>“</w:t>
            </w:r>
            <w:r>
              <w:rPr>
                <w:rFonts w:hint="default" w:ascii="Times New Roman" w:hAnsi="Times New Roman" w:eastAsia="宋体" w:cs="Times New Roman"/>
                <w:color w:val="000000"/>
                <w:sz w:val="21"/>
                <w:szCs w:val="21"/>
                <w:highlight w:val="none"/>
                <w:u w:val="none"/>
                <w:lang w:val="en-US" w:eastAsia="zh-CN"/>
              </w:rPr>
              <w:t>交通运输仓储邮政业（其他）</w:t>
            </w:r>
            <w:r>
              <w:rPr>
                <w:rFonts w:hint="eastAsia" w:ascii="Times New Roman" w:hAnsi="Times New Roman" w:cs="Times New Roman"/>
                <w:color w:val="000000"/>
                <w:sz w:val="21"/>
                <w:szCs w:val="21"/>
                <w:highlight w:val="none"/>
                <w:u w:val="none"/>
                <w:lang w:val="en-US" w:eastAsia="zh-CN"/>
              </w:rPr>
              <w:t>”</w:t>
            </w:r>
            <w:r>
              <w:rPr>
                <w:rFonts w:hint="default" w:ascii="Times New Roman" w:hAnsi="Times New Roman" w:eastAsia="宋体" w:cs="Times New Roman"/>
                <w:color w:val="000000"/>
                <w:sz w:val="21"/>
                <w:szCs w:val="21"/>
                <w:highlight w:val="none"/>
                <w:u w:val="none"/>
                <w:lang w:val="en-US" w:eastAsia="zh-CN"/>
              </w:rPr>
              <w:t>类别，为Ⅳ类项目，查阅导则“污染影响型评价工作等级划分表”，本项目无需开展土壤环境影响评价工作，因此本环评未对区域土壤环境质量进行现状监测。</w:t>
            </w:r>
          </w:p>
          <w:p>
            <w:pPr>
              <w:spacing w:line="360" w:lineRule="auto"/>
              <w:ind w:firstLine="480"/>
              <w:rPr>
                <w:rFonts w:hint="default" w:ascii="Times New Roman" w:hAnsi="Times New Roman" w:eastAsia="宋体" w:cs="Times New Roman"/>
                <w:color w:val="000000"/>
                <w:sz w:val="21"/>
                <w:szCs w:val="21"/>
                <w:highlight w:val="none"/>
                <w:u w:val="none"/>
              </w:rPr>
            </w:pPr>
            <w:r>
              <w:rPr>
                <w:rFonts w:hint="default" w:ascii="Times New Roman" w:hAnsi="Times New Roman" w:eastAsia="宋体" w:cs="Times New Roman"/>
                <w:color w:val="000000"/>
                <w:sz w:val="21"/>
                <w:szCs w:val="21"/>
                <w:highlight w:val="none"/>
                <w:u w:val="none"/>
                <w:lang w:val="en-US" w:eastAsia="zh-CN"/>
              </w:rPr>
              <w:t>对照《环境影响评价技术导则地下水环境》（HJ610-2016），查询附录A，本项目属于城市道路，不涉及加油站，为Ⅳ类项目，无需开展地下水环境影响评价工作，因此本环评未对区域地下水环境质量进行现状监测。</w:t>
            </w:r>
          </w:p>
          <w:p>
            <w:pPr>
              <w:pStyle w:val="191"/>
              <w:keepNext/>
              <w:keepLines/>
              <w:pageBreakBefore w:val="0"/>
              <w:widowControl w:val="0"/>
              <w:spacing w:before="0" w:after="0" w:line="360" w:lineRule="auto"/>
              <w:ind w:right="0"/>
              <w:jc w:val="both"/>
              <w:outlineLvl w:val="1"/>
              <w:rPr>
                <w:rFonts w:hint="eastAsia"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3.5</w:t>
            </w:r>
            <w:r>
              <w:rPr>
                <w:rFonts w:ascii="Times New Roman" w:hAnsi="Times New Roman" w:eastAsia="宋体" w:cs="Times New Roman"/>
                <w:b/>
                <w:bCs/>
                <w:color w:val="000000"/>
                <w:sz w:val="21"/>
                <w:szCs w:val="21"/>
                <w:highlight w:val="none"/>
                <w:lang w:eastAsia="zh-CN"/>
              </w:rPr>
              <w:t>生态环境质量现状</w:t>
            </w:r>
            <w:r>
              <w:rPr>
                <w:rFonts w:hint="eastAsia" w:ascii="Times New Roman" w:hAnsi="Times New Roman" w:eastAsia="宋体" w:cs="Times New Roman"/>
                <w:b/>
                <w:bCs/>
                <w:color w:val="000000"/>
                <w:sz w:val="21"/>
                <w:szCs w:val="21"/>
                <w:highlight w:val="none"/>
                <w:lang w:val="en-US" w:eastAsia="zh-CN"/>
              </w:rPr>
              <w:t>评价</w:t>
            </w:r>
          </w:p>
          <w:p>
            <w:pPr>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3.</w:t>
            </w:r>
            <w:r>
              <w:rPr>
                <w:rFonts w:hint="eastAsia" w:ascii="Times New Roman" w:hAnsi="Times New Roman" w:eastAsia="宋体" w:cs="Times New Roman"/>
                <w:b/>
                <w:bCs/>
                <w:color w:val="000000"/>
                <w:kern w:val="0"/>
                <w:sz w:val="21"/>
                <w:szCs w:val="21"/>
                <w:lang w:val="en-US" w:eastAsia="zh-CN"/>
              </w:rPr>
              <w:t>5</w:t>
            </w:r>
            <w:r>
              <w:rPr>
                <w:rFonts w:hint="default" w:ascii="Times New Roman" w:hAnsi="Times New Roman" w:eastAsia="宋体" w:cs="Times New Roman"/>
                <w:b/>
                <w:bCs/>
                <w:color w:val="000000"/>
                <w:kern w:val="0"/>
                <w:sz w:val="21"/>
                <w:szCs w:val="21"/>
                <w:lang w:val="en-US" w:eastAsia="zh-CN"/>
              </w:rPr>
              <w:t xml:space="preserve">.1 </w:t>
            </w:r>
            <w:r>
              <w:rPr>
                <w:rFonts w:hint="eastAsia" w:ascii="Times New Roman" w:hAnsi="Times New Roman" w:eastAsia="宋体" w:cs="Times New Roman"/>
                <w:b/>
                <w:bCs/>
                <w:color w:val="000000"/>
                <w:kern w:val="0"/>
                <w:sz w:val="21"/>
                <w:szCs w:val="21"/>
                <w:lang w:val="en-US" w:eastAsia="zh-CN"/>
              </w:rPr>
              <w:t>生态系统</w:t>
            </w:r>
            <w:r>
              <w:rPr>
                <w:rFonts w:hint="eastAsia" w:cs="Times New Roman"/>
                <w:b/>
                <w:bCs/>
                <w:color w:val="000000"/>
                <w:kern w:val="0"/>
                <w:sz w:val="21"/>
                <w:szCs w:val="21"/>
                <w:lang w:val="en-US" w:eastAsia="zh-CN"/>
              </w:rPr>
              <w:t>现状</w:t>
            </w:r>
          </w:p>
          <w:p>
            <w:pPr>
              <w:keepNext w:val="0"/>
              <w:keepLines w:val="0"/>
              <w:pageBreakBefore w:val="0"/>
              <w:widowControl w:val="0"/>
              <w:spacing w:line="360" w:lineRule="auto"/>
              <w:ind w:firstLine="480"/>
              <w:rPr>
                <w:rFonts w:hint="default" w:ascii="Times New Roman" w:hAnsi="Times New Roman" w:eastAsia="宋体" w:cs="Times New Roman"/>
                <w:color w:val="000000"/>
                <w:sz w:val="21"/>
                <w:szCs w:val="21"/>
                <w:highlight w:val="none"/>
                <w:u w:val="single"/>
                <w:lang w:val="en-US" w:eastAsia="zh-CN"/>
              </w:rPr>
            </w:pPr>
            <w:r>
              <w:rPr>
                <w:rFonts w:hint="default" w:ascii="Times New Roman" w:hAnsi="Times New Roman" w:eastAsia="宋体" w:cs="Times New Roman"/>
                <w:color w:val="000000"/>
                <w:sz w:val="21"/>
                <w:szCs w:val="21"/>
                <w:highlight w:val="none"/>
                <w:u w:val="single"/>
                <w:lang w:val="en-US" w:eastAsia="zh-CN"/>
              </w:rPr>
              <w:t>本工程位于</w:t>
            </w:r>
            <w:r>
              <w:rPr>
                <w:rFonts w:hint="eastAsia" w:cs="Times New Roman"/>
                <w:color w:val="000000"/>
                <w:sz w:val="21"/>
                <w:szCs w:val="21"/>
                <w:highlight w:val="none"/>
                <w:u w:val="single"/>
                <w:lang w:val="en-US" w:eastAsia="zh-CN"/>
              </w:rPr>
              <w:t>湖南省永州市零陵区萍阳北路</w:t>
            </w:r>
            <w:r>
              <w:rPr>
                <w:rFonts w:hint="default" w:ascii="Times New Roman" w:hAnsi="Times New Roman" w:eastAsia="宋体" w:cs="Times New Roman"/>
                <w:color w:val="000000"/>
                <w:sz w:val="21"/>
                <w:szCs w:val="21"/>
                <w:highlight w:val="none"/>
                <w:u w:val="single"/>
                <w:lang w:val="en-US" w:eastAsia="zh-CN"/>
              </w:rPr>
              <w:t>，周边</w:t>
            </w:r>
            <w:r>
              <w:rPr>
                <w:rFonts w:hint="eastAsia" w:cs="Times New Roman"/>
                <w:color w:val="000000"/>
                <w:sz w:val="21"/>
                <w:szCs w:val="21"/>
                <w:highlight w:val="none"/>
                <w:u w:val="single"/>
                <w:lang w:val="en-US" w:eastAsia="zh-CN"/>
              </w:rPr>
              <w:t>主要为</w:t>
            </w:r>
            <w:r>
              <w:rPr>
                <w:rFonts w:hint="default" w:ascii="Times New Roman" w:hAnsi="Times New Roman" w:eastAsia="宋体" w:cs="Times New Roman"/>
                <w:color w:val="000000"/>
                <w:sz w:val="21"/>
                <w:szCs w:val="21"/>
                <w:highlight w:val="none"/>
                <w:u w:val="single"/>
                <w:lang w:val="en-US" w:eastAsia="zh-CN"/>
              </w:rPr>
              <w:t>道路行道树和村庄、林地等构成的生态系统，区域现代化建设程度较高，生态系统受人类影响很大但并不脆弱。</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kern w:val="0"/>
                <w:sz w:val="21"/>
                <w:szCs w:val="21"/>
                <w:u w:val="single"/>
                <w:lang w:val="en-US" w:eastAsia="zh-CN"/>
              </w:rPr>
            </w:pPr>
            <w:r>
              <w:rPr>
                <w:rFonts w:hint="default" w:ascii="Times New Roman" w:hAnsi="Times New Roman" w:eastAsia="宋体" w:cs="Times New Roman"/>
                <w:b/>
                <w:bCs/>
                <w:color w:val="000000"/>
                <w:kern w:val="0"/>
                <w:sz w:val="21"/>
                <w:szCs w:val="21"/>
                <w:u w:val="single"/>
                <w:lang w:val="en-US" w:eastAsia="zh-CN"/>
              </w:rPr>
              <w:t>3.</w:t>
            </w:r>
            <w:r>
              <w:rPr>
                <w:rFonts w:hint="eastAsia" w:ascii="Times New Roman" w:hAnsi="Times New Roman" w:eastAsia="宋体" w:cs="Times New Roman"/>
                <w:b/>
                <w:bCs/>
                <w:color w:val="000000"/>
                <w:kern w:val="0"/>
                <w:sz w:val="21"/>
                <w:szCs w:val="21"/>
                <w:u w:val="single"/>
                <w:lang w:val="en-US" w:eastAsia="zh-CN"/>
              </w:rPr>
              <w:t>5</w:t>
            </w:r>
            <w:r>
              <w:rPr>
                <w:rFonts w:hint="default" w:ascii="Times New Roman" w:hAnsi="Times New Roman" w:eastAsia="宋体" w:cs="Times New Roman"/>
                <w:b/>
                <w:bCs/>
                <w:color w:val="000000"/>
                <w:kern w:val="0"/>
                <w:sz w:val="21"/>
                <w:szCs w:val="21"/>
                <w:u w:val="single"/>
                <w:lang w:val="en-US" w:eastAsia="zh-CN"/>
              </w:rPr>
              <w:t>.</w:t>
            </w:r>
            <w:r>
              <w:rPr>
                <w:rFonts w:hint="eastAsia" w:ascii="Times New Roman" w:hAnsi="Times New Roman" w:eastAsia="宋体" w:cs="Times New Roman"/>
                <w:b/>
                <w:bCs/>
                <w:color w:val="000000"/>
                <w:kern w:val="0"/>
                <w:sz w:val="21"/>
                <w:szCs w:val="21"/>
                <w:u w:val="single"/>
                <w:lang w:val="en-US" w:eastAsia="zh-CN"/>
              </w:rPr>
              <w:t>2</w:t>
            </w:r>
            <w:r>
              <w:rPr>
                <w:rFonts w:hint="default" w:ascii="Times New Roman" w:hAnsi="Times New Roman" w:eastAsia="宋体" w:cs="Times New Roman"/>
                <w:b/>
                <w:bCs/>
                <w:color w:val="000000"/>
                <w:kern w:val="0"/>
                <w:sz w:val="21"/>
                <w:szCs w:val="21"/>
                <w:u w:val="single"/>
                <w:lang w:val="en-US" w:eastAsia="zh-CN"/>
              </w:rPr>
              <w:t xml:space="preserve"> </w:t>
            </w:r>
            <w:r>
              <w:rPr>
                <w:rFonts w:hint="eastAsia" w:ascii="Times New Roman" w:hAnsi="Times New Roman" w:eastAsia="宋体" w:cs="Times New Roman"/>
                <w:b/>
                <w:bCs/>
                <w:color w:val="000000"/>
                <w:kern w:val="0"/>
                <w:sz w:val="21"/>
                <w:szCs w:val="21"/>
                <w:u w:val="single"/>
                <w:lang w:val="en-US" w:eastAsia="zh-CN"/>
              </w:rPr>
              <w:t>土地利用</w:t>
            </w:r>
          </w:p>
          <w:p>
            <w:pPr>
              <w:keepNext w:val="0"/>
              <w:keepLines w:val="0"/>
              <w:pageBreakBefore w:val="0"/>
              <w:widowControl w:val="0"/>
              <w:spacing w:line="360" w:lineRule="auto"/>
              <w:ind w:firstLine="480"/>
              <w:rPr>
                <w:rFonts w:hint="eastAsia" w:ascii="Times New Roman" w:hAnsi="Times New Roman" w:eastAsia="宋体" w:cs="Times New Roman"/>
                <w:color w:val="000000"/>
                <w:sz w:val="21"/>
                <w:szCs w:val="21"/>
                <w:highlight w:val="none"/>
                <w:u w:val="single"/>
                <w:lang w:val="en-US" w:eastAsia="zh-CN"/>
              </w:rPr>
            </w:pPr>
            <w:r>
              <w:rPr>
                <w:rFonts w:hint="eastAsia" w:ascii="Times New Roman" w:hAnsi="Times New Roman" w:eastAsia="宋体" w:cs="Times New Roman"/>
                <w:color w:val="000000"/>
                <w:sz w:val="21"/>
                <w:szCs w:val="21"/>
                <w:highlight w:val="none"/>
                <w:u w:val="single"/>
                <w:lang w:val="en-US" w:eastAsia="zh-CN"/>
              </w:rPr>
              <w:t>根据收集到的资料以及土地利用现状调查和景观单元受人类影响的程度，拟建项目中心线两侧200m范围组成的评价区的用地类型主要为一般耕地、林地、交通运输用地及居民住宅用地</w:t>
            </w:r>
            <w:r>
              <w:rPr>
                <w:rFonts w:hint="eastAsia" w:cs="Times New Roman"/>
                <w:color w:val="000000"/>
                <w:sz w:val="21"/>
                <w:szCs w:val="21"/>
                <w:highlight w:val="none"/>
                <w:u w:val="single"/>
                <w:lang w:val="en-US" w:eastAsia="zh-CN"/>
              </w:rPr>
              <w:t>、工业用地</w:t>
            </w:r>
            <w:r>
              <w:rPr>
                <w:rFonts w:hint="eastAsia" w:ascii="Times New Roman" w:hAnsi="Times New Roman" w:eastAsia="宋体" w:cs="Times New Roman"/>
                <w:color w:val="000000"/>
                <w:sz w:val="21"/>
                <w:szCs w:val="21"/>
                <w:highlight w:val="none"/>
                <w:u w:val="single"/>
                <w:lang w:val="en-US" w:eastAsia="zh-CN"/>
              </w:rPr>
              <w:t>。道路沿线两侧土地利用现状见图3-1所示。</w:t>
            </w:r>
          </w:p>
          <w:p>
            <w:pPr>
              <w:keepNext w:val="0"/>
              <w:keepLines w:val="0"/>
              <w:pageBreakBefore w:val="0"/>
              <w:widowControl w:val="0"/>
              <w:spacing w:line="360" w:lineRule="auto"/>
              <w:ind w:right="0"/>
              <w:jc w:val="center"/>
              <w:outlineLvl w:val="9"/>
            </w:pPr>
            <w:r>
              <w:drawing>
                <wp:inline distT="0" distB="0" distL="114300" distR="114300">
                  <wp:extent cx="2912110" cy="4940300"/>
                  <wp:effectExtent l="9525" t="9525" r="22225" b="1206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35"/>
                          <a:stretch>
                            <a:fillRect/>
                          </a:stretch>
                        </pic:blipFill>
                        <pic:spPr>
                          <a:xfrm rot="16200000">
                            <a:off x="0" y="0"/>
                            <a:ext cx="2912110" cy="494030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outlineLvl w:val="9"/>
              <w:rPr>
                <w:rFonts w:hint="default" w:ascii="Times New Roman" w:hAnsi="Times New Roman" w:eastAsia="宋体" w:cs="Times New Roman"/>
                <w:color w:val="000000"/>
                <w:sz w:val="21"/>
                <w:szCs w:val="21"/>
                <w:highlight w:val="none"/>
                <w:u w:val="none"/>
                <w:vertAlign w:val="baseline"/>
                <w:lang w:val="en-US"/>
              </w:rPr>
            </w:pPr>
            <w:r>
              <w:rPr>
                <w:rFonts w:hint="eastAsia" w:ascii="Times New Roman" w:hAnsi="Times New Roman" w:eastAsia="宋体" w:cs="Times New Roman"/>
                <w:b/>
                <w:bCs/>
                <w:color w:val="000000"/>
                <w:kern w:val="0"/>
                <w:sz w:val="21"/>
                <w:szCs w:val="21"/>
                <w:u w:val="none"/>
                <w:lang w:val="en-US" w:eastAsia="zh-CN" w:bidi="ar"/>
              </w:rPr>
              <w:t>图</w:t>
            </w:r>
            <w:r>
              <w:rPr>
                <w:rFonts w:hint="default" w:ascii="Times New Roman" w:hAnsi="Times New Roman" w:eastAsia="宋体" w:cs="Times New Roman"/>
                <w:b/>
                <w:bCs/>
                <w:color w:val="000000"/>
                <w:kern w:val="0"/>
                <w:sz w:val="21"/>
                <w:szCs w:val="21"/>
                <w:u w:val="none"/>
                <w:lang w:val="en-US" w:eastAsia="zh-CN" w:bidi="ar"/>
              </w:rPr>
              <w:t>3</w:t>
            </w:r>
            <w:r>
              <w:rPr>
                <w:rFonts w:hint="eastAsia" w:ascii="Times New Roman" w:hAnsi="Times New Roman" w:eastAsia="宋体" w:cs="Times New Roman"/>
                <w:b/>
                <w:bCs/>
                <w:color w:val="000000"/>
                <w:kern w:val="0"/>
                <w:sz w:val="21"/>
                <w:szCs w:val="21"/>
                <w:u w:val="none"/>
                <w:lang w:val="en-US" w:eastAsia="zh-CN" w:bidi="ar"/>
              </w:rPr>
              <w:t>-1</w:t>
            </w:r>
            <w:r>
              <w:rPr>
                <w:rFonts w:hint="default" w:ascii="Times New Roman" w:hAnsi="Times New Roman" w:eastAsia="宋体" w:cs="Times New Roman"/>
                <w:b/>
                <w:bCs/>
                <w:color w:val="000000"/>
                <w:kern w:val="0"/>
                <w:sz w:val="21"/>
                <w:szCs w:val="21"/>
                <w:u w:val="none"/>
                <w:lang w:val="en-US" w:eastAsia="zh-CN" w:bidi="ar"/>
              </w:rPr>
              <w:t xml:space="preserve"> </w:t>
            </w:r>
            <w:r>
              <w:rPr>
                <w:rFonts w:hint="eastAsia" w:ascii="Times New Roman" w:hAnsi="Times New Roman" w:eastAsia="宋体" w:cs="Times New Roman"/>
                <w:b/>
                <w:bCs/>
                <w:color w:val="000000"/>
                <w:kern w:val="0"/>
                <w:sz w:val="21"/>
                <w:szCs w:val="21"/>
                <w:u w:val="none"/>
                <w:lang w:val="en-US" w:eastAsia="zh-CN" w:bidi="ar"/>
              </w:rPr>
              <w:t>项目沿线卫星图</w:t>
            </w:r>
          </w:p>
          <w:p>
            <w:pPr>
              <w:keepNext w:val="0"/>
              <w:keepLines w:val="0"/>
              <w:pageBreakBefore w:val="0"/>
              <w:widowControl w:val="0"/>
              <w:spacing w:line="360" w:lineRule="auto"/>
              <w:ind w:firstLine="480"/>
              <w:jc w:val="left"/>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根据《零陵区河西片控制性详细规划》土地利用规划图，萍阳北路西侧为现状零陵卷烟厂及规划居住用地，东侧为潇水沿河绿化用地，西岸匝道内为绿化用地。</w:t>
            </w:r>
          </w:p>
          <w:bookmarkEnd w:id="16"/>
          <w:bookmarkEnd w:id="17"/>
          <w:bookmarkEnd w:id="18"/>
          <w:p>
            <w:pPr>
              <w:pStyle w:val="199"/>
              <w:keepNext w:val="0"/>
              <w:keepLines w:val="0"/>
              <w:pageBreakBefore w:val="0"/>
              <w:widowControl/>
              <w:kinsoku/>
              <w:wordWrap/>
              <w:overflowPunct/>
              <w:topLinePunct w:val="0"/>
              <w:autoSpaceDE/>
              <w:autoSpaceDN/>
              <w:bidi w:val="0"/>
              <w:adjustRightInd w:val="0"/>
              <w:snapToGrid w:val="0"/>
              <w:spacing w:before="0" w:after="0" w:line="240" w:lineRule="auto"/>
              <w:ind w:left="0" w:right="0"/>
              <w:jc w:val="center"/>
              <w:textAlignment w:val="auto"/>
            </w:pPr>
            <w:r>
              <w:drawing>
                <wp:inline distT="0" distB="0" distL="114300" distR="114300">
                  <wp:extent cx="4963160" cy="3534410"/>
                  <wp:effectExtent l="9525" t="9525" r="10795" b="2222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6"/>
                          <a:stretch>
                            <a:fillRect/>
                          </a:stretch>
                        </pic:blipFill>
                        <pic:spPr>
                          <a:xfrm>
                            <a:off x="0" y="0"/>
                            <a:ext cx="4963160" cy="353441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99"/>
              <w:keepNext w:val="0"/>
              <w:keepLines w:val="0"/>
              <w:pageBreakBefore w:val="0"/>
              <w:widowControl/>
              <w:kinsoku/>
              <w:wordWrap/>
              <w:overflowPunct/>
              <w:topLinePunct w:val="0"/>
              <w:autoSpaceDE/>
              <w:autoSpaceDN/>
              <w:bidi w:val="0"/>
              <w:adjustRightInd w:val="0"/>
              <w:snapToGrid w:val="0"/>
              <w:spacing w:before="0" w:after="0" w:line="240" w:lineRule="auto"/>
              <w:ind w:left="0" w:right="0"/>
              <w:jc w:val="center"/>
              <w:textAlignment w:val="auto"/>
              <w:rPr>
                <w:rFonts w:hint="default" w:ascii="Times New Roman" w:hAnsi="Times New Roman" w:eastAsia="宋体" w:cs="Times New Roman"/>
                <w:color w:val="000000"/>
                <w:sz w:val="21"/>
                <w:szCs w:val="21"/>
                <w:highlight w:val="none"/>
                <w:u w:val="none"/>
                <w:vertAlign w:val="baseline"/>
                <w:lang w:val="en-US"/>
              </w:rPr>
            </w:pPr>
            <w:r>
              <w:rPr>
                <w:rFonts w:hint="eastAsia" w:ascii="Times New Roman" w:hAnsi="Times New Roman" w:eastAsia="宋体" w:cs="Times New Roman"/>
                <w:b/>
                <w:bCs/>
                <w:color w:val="000000"/>
                <w:kern w:val="0"/>
                <w:sz w:val="21"/>
                <w:szCs w:val="21"/>
                <w:u w:val="none"/>
                <w:lang w:val="en-US" w:eastAsia="zh-CN" w:bidi="ar"/>
              </w:rPr>
              <w:t>图</w:t>
            </w:r>
            <w:r>
              <w:rPr>
                <w:rFonts w:hint="default" w:ascii="Times New Roman" w:hAnsi="Times New Roman" w:eastAsia="宋体" w:cs="Times New Roman"/>
                <w:b/>
                <w:bCs/>
                <w:color w:val="000000"/>
                <w:kern w:val="0"/>
                <w:sz w:val="21"/>
                <w:szCs w:val="21"/>
                <w:u w:val="none"/>
                <w:lang w:val="en-US" w:eastAsia="zh-CN" w:bidi="ar"/>
              </w:rPr>
              <w:t>3</w:t>
            </w:r>
            <w:r>
              <w:rPr>
                <w:rFonts w:hint="eastAsia" w:ascii="Times New Roman" w:hAnsi="Times New Roman" w:eastAsia="宋体" w:cs="Times New Roman"/>
                <w:b/>
                <w:bCs/>
                <w:color w:val="000000"/>
                <w:kern w:val="0"/>
                <w:sz w:val="21"/>
                <w:szCs w:val="21"/>
                <w:u w:val="none"/>
                <w:lang w:val="en-US" w:eastAsia="zh-CN" w:bidi="ar"/>
              </w:rPr>
              <w:t>-</w:t>
            </w:r>
            <w:r>
              <w:rPr>
                <w:rFonts w:hint="eastAsia" w:cs="Times New Roman"/>
                <w:b/>
                <w:bCs/>
                <w:color w:val="000000"/>
                <w:kern w:val="0"/>
                <w:sz w:val="21"/>
                <w:szCs w:val="21"/>
                <w:u w:val="none"/>
                <w:lang w:val="en-US" w:eastAsia="zh-CN" w:bidi="ar"/>
              </w:rPr>
              <w:t>2</w:t>
            </w:r>
            <w:r>
              <w:rPr>
                <w:rFonts w:hint="default" w:ascii="Times New Roman" w:hAnsi="Times New Roman" w:eastAsia="宋体" w:cs="Times New Roman"/>
                <w:b/>
                <w:bCs/>
                <w:color w:val="000000"/>
                <w:kern w:val="0"/>
                <w:sz w:val="21"/>
                <w:szCs w:val="21"/>
                <w:u w:val="none"/>
                <w:lang w:val="en-US" w:eastAsia="zh-CN" w:bidi="ar"/>
              </w:rPr>
              <w:t xml:space="preserve"> </w:t>
            </w:r>
            <w:r>
              <w:rPr>
                <w:rFonts w:hint="eastAsia" w:ascii="Times New Roman" w:hAnsi="Times New Roman" w:eastAsia="宋体" w:cs="Times New Roman"/>
                <w:b/>
                <w:bCs/>
                <w:color w:val="000000"/>
                <w:kern w:val="0"/>
                <w:sz w:val="21"/>
                <w:szCs w:val="21"/>
                <w:u w:val="none"/>
                <w:lang w:val="en-US" w:eastAsia="zh-CN" w:bidi="ar"/>
              </w:rPr>
              <w:t>项目沿线土地利用规划图</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3.</w:t>
            </w:r>
            <w:r>
              <w:rPr>
                <w:rFonts w:hint="eastAsia" w:ascii="Times New Roman" w:hAnsi="Times New Roman" w:eastAsia="宋体" w:cs="Times New Roman"/>
                <w:b/>
                <w:bCs/>
                <w:color w:val="000000"/>
                <w:kern w:val="0"/>
                <w:sz w:val="21"/>
                <w:szCs w:val="21"/>
                <w:lang w:val="en-US" w:eastAsia="zh-CN"/>
              </w:rPr>
              <w:t>5</w:t>
            </w:r>
            <w:r>
              <w:rPr>
                <w:rFonts w:hint="default" w:ascii="Times New Roman" w:hAnsi="Times New Roman" w:eastAsia="宋体" w:cs="Times New Roman"/>
                <w:b/>
                <w:bCs/>
                <w:color w:val="000000"/>
                <w:kern w:val="0"/>
                <w:sz w:val="21"/>
                <w:szCs w:val="21"/>
                <w:lang w:val="en-US" w:eastAsia="zh-CN"/>
              </w:rPr>
              <w:t>.</w:t>
            </w:r>
            <w:r>
              <w:rPr>
                <w:rFonts w:hint="eastAsia" w:ascii="Times New Roman" w:hAnsi="Times New Roman" w:eastAsia="宋体" w:cs="Times New Roman"/>
                <w:b/>
                <w:bCs/>
                <w:color w:val="000000"/>
                <w:kern w:val="0"/>
                <w:sz w:val="21"/>
                <w:szCs w:val="21"/>
                <w:lang w:val="en-US" w:eastAsia="zh-CN"/>
              </w:rPr>
              <w:t>3</w:t>
            </w:r>
            <w:r>
              <w:rPr>
                <w:rFonts w:hint="default" w:ascii="Times New Roman" w:hAnsi="Times New Roman" w:eastAsia="宋体" w:cs="Times New Roman"/>
                <w:b/>
                <w:bCs/>
                <w:color w:val="000000"/>
                <w:kern w:val="0"/>
                <w:sz w:val="21"/>
                <w:szCs w:val="21"/>
                <w:lang w:val="en-US" w:eastAsia="zh-CN"/>
              </w:rPr>
              <w:t xml:space="preserve"> </w:t>
            </w:r>
            <w:r>
              <w:rPr>
                <w:rFonts w:hint="eastAsia" w:cs="Times New Roman"/>
                <w:b/>
                <w:bCs/>
                <w:color w:val="000000"/>
                <w:kern w:val="0"/>
                <w:sz w:val="21"/>
                <w:szCs w:val="21"/>
                <w:lang w:val="en-US" w:eastAsia="zh-CN"/>
              </w:rPr>
              <w:t>区域植被资源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永州市零陵区属华南植物区系北界，森林植被是以乔、灌木为主体的天然或人工植物群落。区内植物资源比较丰富，野生的木本植物主要有马尾松、樟树、枫香、杉木、日本黑松、槲树、构树、槐树、狭叶石栎、四川山矾、黑松、槭树、冬青、肉花卫茅、构骨、檵木、狭叶爬楔、泡洞、大叶荨麻、山胡椒、苦楝、油杉、枫杨、胡桃、青冈等；草本植物主要有狗尾草、车前草、野菊花、狗牙根、芒、蒲公英等；另外还有多种蕨类。乔木植物的优势种类为马尾松、樟树、杉木、枫香。经济作物有茶、油、桔等。</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sz w:val="21"/>
                <w:szCs w:val="21"/>
                <w:highlight w:val="none"/>
                <w:u w:val="single"/>
                <w:lang w:val="en-US" w:eastAsia="zh-CN"/>
              </w:rPr>
            </w:pPr>
            <w:r>
              <w:rPr>
                <w:rFonts w:hint="default" w:ascii="Times New Roman" w:hAnsi="Times New Roman" w:cs="Times New Roman"/>
                <w:color w:val="000000"/>
                <w:sz w:val="21"/>
                <w:szCs w:val="21"/>
                <w:highlight w:val="none"/>
                <w:u w:val="single"/>
                <w:lang w:val="en-US" w:eastAsia="zh-CN"/>
              </w:rPr>
              <w:t>根据全国绿化委员会、国家林业局颁布的《全国古树名木普查建档技术规定》，古树名木是指在人类历史过程中保存下来的年代久远或具有重要科研、历史、文化价值的树木。古树指树龄在100年以上的树木；名木指在历史上或社会上有重大影响的中外历代名人、领袖人物所植或者具有极其重要的历史、文化价值、纪念意义的树木。调查时，对古树名木进行了分级。其分级及标准：古树分为国家一、二、三级。国家一级古树树龄在500a以上，国家二级古树300~499a，国家三级古树100~299a，名木不受树龄限制，不分级。经现场勘查，本项目沿线没有名木古树。</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3.</w:t>
            </w:r>
            <w:r>
              <w:rPr>
                <w:rFonts w:hint="eastAsia" w:ascii="Times New Roman" w:hAnsi="Times New Roman" w:eastAsia="宋体" w:cs="Times New Roman"/>
                <w:b/>
                <w:bCs/>
                <w:color w:val="000000"/>
                <w:kern w:val="0"/>
                <w:sz w:val="21"/>
                <w:szCs w:val="21"/>
                <w:lang w:val="en-US" w:eastAsia="zh-CN"/>
              </w:rPr>
              <w:t>5</w:t>
            </w:r>
            <w:r>
              <w:rPr>
                <w:rFonts w:hint="default" w:ascii="Times New Roman" w:hAnsi="Times New Roman" w:eastAsia="宋体" w:cs="Times New Roman"/>
                <w:b/>
                <w:bCs/>
                <w:color w:val="000000"/>
                <w:kern w:val="0"/>
                <w:sz w:val="21"/>
                <w:szCs w:val="21"/>
                <w:lang w:val="en-US" w:eastAsia="zh-CN"/>
              </w:rPr>
              <w:t>.</w:t>
            </w:r>
            <w:r>
              <w:rPr>
                <w:rFonts w:hint="eastAsia" w:cs="Times New Roman"/>
                <w:b/>
                <w:bCs/>
                <w:color w:val="000000"/>
                <w:kern w:val="0"/>
                <w:sz w:val="21"/>
                <w:szCs w:val="21"/>
                <w:lang w:val="en-US" w:eastAsia="zh-CN"/>
              </w:rPr>
              <w:t>4</w:t>
            </w:r>
            <w:r>
              <w:rPr>
                <w:rFonts w:hint="default" w:ascii="Times New Roman" w:hAnsi="Times New Roman" w:eastAsia="宋体" w:cs="Times New Roman"/>
                <w:b/>
                <w:bCs/>
                <w:color w:val="000000"/>
                <w:kern w:val="0"/>
                <w:sz w:val="21"/>
                <w:szCs w:val="21"/>
                <w:lang w:val="en-US" w:eastAsia="zh-CN"/>
              </w:rPr>
              <w:t xml:space="preserve"> </w:t>
            </w:r>
            <w:r>
              <w:rPr>
                <w:rFonts w:hint="eastAsia" w:cs="Times New Roman"/>
                <w:b/>
                <w:bCs/>
                <w:color w:val="000000"/>
                <w:kern w:val="0"/>
                <w:sz w:val="21"/>
                <w:szCs w:val="21"/>
                <w:lang w:val="en-US" w:eastAsia="zh-CN"/>
              </w:rPr>
              <w:t>生态系统</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项目周边无生态敏感区，根据现场调查走访，评价范围内植被以人工植被为主，主要为现状萍阳北路行道树、道路两侧人工种植的植被和野生植被，类别主要包括桂花、红叶石楠、香樟、落羽杉、栾树、石榴、玉兰、女贞、檵木等道路绿化树种，道路两侧有桑树、构树、桃树、李树、柳树、乌桕等野生树种和人工种植的果树，蔬菜、草莓、油菜等农作物和经济作物，婆婆纳、猪殃殃以及蒿、荠等杂草丛。区内无天然林和原生自然植物群落。</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000000"/>
                <w:kern w:val="0"/>
                <w:sz w:val="21"/>
                <w:szCs w:val="21"/>
                <w:lang w:val="en-US" w:eastAsia="zh-CN"/>
              </w:rPr>
            </w:pPr>
            <w:r>
              <w:rPr>
                <w:rFonts w:hint="default" w:ascii="Times New Roman" w:hAnsi="Times New Roman" w:eastAsia="宋体" w:cs="Times New Roman"/>
                <w:b/>
                <w:bCs/>
                <w:color w:val="000000"/>
                <w:kern w:val="0"/>
                <w:sz w:val="21"/>
                <w:szCs w:val="21"/>
                <w:lang w:val="en-US" w:eastAsia="zh-CN"/>
              </w:rPr>
              <w:t>3.</w:t>
            </w:r>
            <w:r>
              <w:rPr>
                <w:rFonts w:hint="eastAsia" w:ascii="Times New Roman" w:hAnsi="Times New Roman" w:eastAsia="宋体" w:cs="Times New Roman"/>
                <w:b/>
                <w:bCs/>
                <w:color w:val="000000"/>
                <w:kern w:val="0"/>
                <w:sz w:val="21"/>
                <w:szCs w:val="21"/>
                <w:lang w:val="en-US" w:eastAsia="zh-CN"/>
              </w:rPr>
              <w:t>5</w:t>
            </w:r>
            <w:r>
              <w:rPr>
                <w:rFonts w:hint="default" w:ascii="Times New Roman" w:hAnsi="Times New Roman" w:eastAsia="宋体" w:cs="Times New Roman"/>
                <w:b/>
                <w:bCs/>
                <w:color w:val="000000"/>
                <w:kern w:val="0"/>
                <w:sz w:val="21"/>
                <w:szCs w:val="21"/>
                <w:lang w:val="en-US" w:eastAsia="zh-CN"/>
              </w:rPr>
              <w:t>.</w:t>
            </w:r>
            <w:r>
              <w:rPr>
                <w:rFonts w:hint="eastAsia" w:cs="Times New Roman"/>
                <w:b/>
                <w:bCs/>
                <w:color w:val="000000"/>
                <w:kern w:val="0"/>
                <w:sz w:val="21"/>
                <w:szCs w:val="21"/>
                <w:lang w:val="en-US" w:eastAsia="zh-CN"/>
              </w:rPr>
              <w:t>5</w:t>
            </w:r>
            <w:r>
              <w:rPr>
                <w:rFonts w:hint="default" w:ascii="Times New Roman" w:hAnsi="Times New Roman" w:eastAsia="宋体" w:cs="Times New Roman"/>
                <w:b/>
                <w:bCs/>
                <w:color w:val="000000"/>
                <w:kern w:val="0"/>
                <w:sz w:val="21"/>
                <w:szCs w:val="21"/>
                <w:lang w:val="en-US" w:eastAsia="zh-CN"/>
              </w:rPr>
              <w:t xml:space="preserve"> </w:t>
            </w:r>
            <w:r>
              <w:rPr>
                <w:rFonts w:hint="eastAsia" w:cs="Times New Roman"/>
                <w:b/>
                <w:bCs/>
                <w:color w:val="000000"/>
                <w:kern w:val="0"/>
                <w:sz w:val="21"/>
                <w:szCs w:val="21"/>
                <w:lang w:val="en-US" w:eastAsia="zh-CN"/>
              </w:rPr>
              <w:t>沿线动物资源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项目所在区域动物资源主要以人工养殖的家畜、家禽为主，由于该区属于城区内，人为活动频繁，开发活动较为强烈，野生动物尤其大型野生动物生存环境遭到破坏，因此野生动物的活动踪迹较少，无列入国家重点保护名录的珍稀野生动物分布，主要野生动物都是一些常见的种类如：田鼠、竹鼠、蛇、蛙、黄鼠狼，以及一些鸟类有燕、喜鹊、八哥、画眉、布谷、猫头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18" w:hRule="atLeast"/>
          <w:jc w:val="center"/>
        </w:trPr>
        <w:tc>
          <w:tcPr>
            <w:tcW w:w="579" w:type="dxa"/>
            <w:noWrap w:val="0"/>
            <w:vAlign w:val="center"/>
          </w:tcPr>
          <w:p>
            <w:pPr>
              <w:jc w:val="center"/>
              <w:rPr>
                <w:rFonts w:ascii="宋体" w:hAnsi="宋体" w:cs="宋体"/>
                <w:color w:val="000000"/>
                <w:sz w:val="21"/>
                <w:szCs w:val="21"/>
                <w:highlight w:val="none"/>
              </w:rPr>
            </w:pPr>
            <w:r>
              <w:rPr>
                <w:rFonts w:hint="eastAsia" w:ascii="宋体" w:hAnsi="宋体"/>
                <w:bCs/>
                <w:color w:val="000000"/>
                <w:sz w:val="21"/>
                <w:szCs w:val="21"/>
                <w:highlight w:val="none"/>
              </w:rPr>
              <w:t>与项目有关的原有环境污染和生态破坏问题</w:t>
            </w:r>
          </w:p>
        </w:tc>
        <w:tc>
          <w:tcPr>
            <w:tcW w:w="7941" w:type="dxa"/>
            <w:noWrap w:val="0"/>
            <w:vAlign w:val="top"/>
          </w:tcPr>
          <w:p>
            <w:pPr>
              <w:pStyle w:val="191"/>
              <w:keepNext/>
              <w:keepLines/>
              <w:pageBreakBefore w:val="0"/>
              <w:widowControl w:val="0"/>
              <w:spacing w:before="0" w:after="0" w:line="360" w:lineRule="auto"/>
              <w:ind w:right="0"/>
              <w:jc w:val="left"/>
              <w:outlineLvl w:val="1"/>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Times New Roman"/>
                <w:b/>
                <w:bCs/>
                <w:color w:val="000000"/>
                <w:kern w:val="0"/>
                <w:sz w:val="21"/>
                <w:szCs w:val="21"/>
                <w:lang w:val="en-US" w:eastAsia="zh-CN" w:bidi="ar-SA"/>
              </w:rPr>
              <w:t>3.6 现有道路概况</w:t>
            </w:r>
          </w:p>
          <w:p>
            <w:pPr>
              <w:spacing w:line="360" w:lineRule="auto"/>
              <w:jc w:val="left"/>
              <w:rPr>
                <w:rFonts w:hint="eastAsia"/>
                <w:b/>
                <w:bCs/>
                <w:color w:val="000000"/>
                <w:sz w:val="21"/>
                <w:szCs w:val="21"/>
                <w:highlight w:val="none"/>
                <w:lang w:eastAsia="zh-CN"/>
              </w:rPr>
            </w:pPr>
            <w:r>
              <w:rPr>
                <w:rFonts w:hint="eastAsia" w:ascii="Times New Roman" w:hAnsi="Times New Roman" w:eastAsia="宋体" w:cs="Times New Roman"/>
                <w:b/>
                <w:bCs/>
                <w:color w:val="000000"/>
                <w:kern w:val="0"/>
                <w:sz w:val="21"/>
                <w:szCs w:val="21"/>
                <w:lang w:val="en-US" w:eastAsia="zh-CN" w:bidi="ar-SA"/>
              </w:rPr>
              <w:t>3.6</w:t>
            </w:r>
            <w:r>
              <w:rPr>
                <w:rFonts w:hint="eastAsia" w:cs="Times New Roman"/>
                <w:b/>
                <w:bCs/>
                <w:color w:val="000000"/>
                <w:kern w:val="0"/>
                <w:sz w:val="21"/>
                <w:szCs w:val="21"/>
                <w:lang w:val="en-US" w:eastAsia="zh-CN" w:bidi="ar-SA"/>
              </w:rPr>
              <w:t xml:space="preserve">.1 </w:t>
            </w:r>
            <w:r>
              <w:rPr>
                <w:rFonts w:hint="eastAsia"/>
                <w:b/>
                <w:bCs/>
                <w:color w:val="000000"/>
                <w:sz w:val="21"/>
                <w:szCs w:val="21"/>
                <w:highlight w:val="none"/>
                <w:lang w:val="en-US" w:eastAsia="zh-CN"/>
              </w:rPr>
              <w:t>道路</w:t>
            </w:r>
            <w:r>
              <w:rPr>
                <w:rFonts w:hint="eastAsia"/>
                <w:b/>
                <w:bCs/>
                <w:color w:val="000000"/>
                <w:sz w:val="21"/>
                <w:szCs w:val="21"/>
                <w:highlight w:val="none"/>
                <w:lang w:eastAsia="zh-CN"/>
              </w:rPr>
              <w:t>现状调查</w:t>
            </w:r>
          </w:p>
          <w:p>
            <w:pPr>
              <w:spacing w:line="360" w:lineRule="auto"/>
              <w:ind w:firstLine="480"/>
              <w:jc w:val="left"/>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本次设计萍阳北路桩号（0+</w:t>
            </w:r>
            <w:r>
              <w:rPr>
                <w:rFonts w:hint="eastAsia" w:cs="Times New Roman"/>
                <w:color w:val="000000"/>
                <w:sz w:val="21"/>
                <w:szCs w:val="21"/>
                <w:highlight w:val="none"/>
                <w:lang w:val="en-US" w:eastAsia="zh-CN"/>
              </w:rPr>
              <w:t>280</w:t>
            </w:r>
            <w:r>
              <w:rPr>
                <w:rFonts w:hint="default" w:ascii="Times New Roman" w:hAnsi="Times New Roman" w:eastAsia="宋体" w:cs="Times New Roman"/>
                <w:color w:val="000000"/>
                <w:sz w:val="21"/>
                <w:szCs w:val="21"/>
                <w:highlight w:val="none"/>
                <w:lang w:val="en-US" w:eastAsia="zh-CN"/>
              </w:rPr>
              <w:t>至0+520）段为旧路改造工程</w:t>
            </w:r>
            <w:r>
              <w:rPr>
                <w:rFonts w:hint="eastAsia" w:ascii="Times New Roman" w:hAnsi="Times New Roman"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现状道路实施有一定年限，部分道路为水泥板块，部分为沥青面层。根据现场查勘发现现状路面存在大部分病害板块，道路宽度各不相同平面也与本次设计有一定偏差采用修补方式对新建道路质量产生较大影响。新设计纵断面将比原道路稍高出20-80cm，采用加铺方式不适合本道路实际情况，因此本次设计将原旧路段路面结构进行挖除改造。</w:t>
            </w:r>
          </w:p>
          <w:tbl>
            <w:tblPr>
              <w:tblStyle w:val="222"/>
              <w:tblW w:w="77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25"/>
              <w:gridCol w:w="38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69" w:hRule="atLeast"/>
              </w:trPr>
              <w:tc>
                <w:tcPr>
                  <w:tcW w:w="3825" w:type="dxa"/>
                  <w:noWrap w:val="0"/>
                  <w:vAlign w:val="top"/>
                </w:tcPr>
                <w:p>
                  <w:pPr>
                    <w:pStyle w:val="229"/>
                    <w:keepNext w:val="0"/>
                    <w:keepLines w:val="0"/>
                    <w:pageBreakBefore w:val="0"/>
                    <w:widowControl w:val="0"/>
                    <w:kinsoku/>
                    <w:wordWrap/>
                    <w:overflowPunct/>
                    <w:topLinePunct w:val="0"/>
                    <w:autoSpaceDE/>
                    <w:autoSpaceDN/>
                    <w:bidi w:val="0"/>
                    <w:adjustRightInd w:val="0"/>
                    <w:snapToGrid w:val="0"/>
                    <w:spacing w:line="240" w:lineRule="auto"/>
                    <w:ind w:left="0" w:firstLine="0"/>
                    <w:jc w:val="left"/>
                    <w:textAlignment w:val="auto"/>
                    <w:rPr>
                      <w:rFonts w:hint="eastAsia" w:cs="Times New Roman"/>
                      <w:color w:val="000000"/>
                      <w:sz w:val="21"/>
                      <w:szCs w:val="21"/>
                      <w:highlight w:val="none"/>
                      <w:vertAlign w:val="baseline"/>
                      <w:lang w:eastAsia="zh-CN"/>
                    </w:rPr>
                  </w:pPr>
                  <w:r>
                    <w:drawing>
                      <wp:inline distT="0" distB="0" distL="114300" distR="114300">
                        <wp:extent cx="2317750" cy="1674495"/>
                        <wp:effectExtent l="0" t="0" r="6350" b="190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7"/>
                                <a:stretch>
                                  <a:fillRect/>
                                </a:stretch>
                              </pic:blipFill>
                              <pic:spPr>
                                <a:xfrm>
                                  <a:off x="0" y="0"/>
                                  <a:ext cx="2317750" cy="1674495"/>
                                </a:xfrm>
                                <a:prstGeom prst="rect">
                                  <a:avLst/>
                                </a:prstGeom>
                                <a:noFill/>
                                <a:ln>
                                  <a:noFill/>
                                </a:ln>
                              </pic:spPr>
                            </pic:pic>
                          </a:graphicData>
                        </a:graphic>
                      </wp:inline>
                    </w:drawing>
                  </w:r>
                </w:p>
              </w:tc>
              <w:tc>
                <w:tcPr>
                  <w:tcW w:w="3888" w:type="dxa"/>
                  <w:noWrap w:val="0"/>
                  <w:vAlign w:val="top"/>
                </w:tcPr>
                <w:p>
                  <w:pPr>
                    <w:pStyle w:val="229"/>
                    <w:keepNext w:val="0"/>
                    <w:keepLines w:val="0"/>
                    <w:pageBreakBefore w:val="0"/>
                    <w:widowControl w:val="0"/>
                    <w:kinsoku/>
                    <w:wordWrap/>
                    <w:overflowPunct/>
                    <w:topLinePunct w:val="0"/>
                    <w:autoSpaceDE/>
                    <w:autoSpaceDN/>
                    <w:bidi w:val="0"/>
                    <w:adjustRightInd w:val="0"/>
                    <w:snapToGrid w:val="0"/>
                    <w:spacing w:line="240" w:lineRule="auto"/>
                    <w:ind w:left="0" w:firstLine="0"/>
                    <w:jc w:val="center"/>
                    <w:textAlignment w:val="auto"/>
                    <w:rPr>
                      <w:rFonts w:hint="eastAsia" w:cs="Times New Roman"/>
                      <w:color w:val="000000"/>
                      <w:sz w:val="21"/>
                      <w:szCs w:val="21"/>
                      <w:highlight w:val="none"/>
                      <w:vertAlign w:val="baseline"/>
                      <w:lang w:eastAsia="zh-CN"/>
                    </w:rPr>
                  </w:pPr>
                  <w:r>
                    <w:drawing>
                      <wp:inline distT="0" distB="0" distL="114300" distR="114300">
                        <wp:extent cx="2367280" cy="1637665"/>
                        <wp:effectExtent l="0" t="0" r="13970" b="63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8"/>
                                <a:stretch>
                                  <a:fillRect/>
                                </a:stretch>
                              </pic:blipFill>
                              <pic:spPr>
                                <a:xfrm>
                                  <a:off x="0" y="0"/>
                                  <a:ext cx="2367280" cy="1637665"/>
                                </a:xfrm>
                                <a:prstGeom prst="rect">
                                  <a:avLst/>
                                </a:prstGeom>
                                <a:noFill/>
                                <a:ln>
                                  <a:noFill/>
                                </a:ln>
                              </pic:spPr>
                            </pic:pic>
                          </a:graphicData>
                        </a:graphic>
                      </wp:inline>
                    </w:drawing>
                  </w:r>
                </w:p>
              </w:tc>
            </w:tr>
          </w:tbl>
          <w:p>
            <w:pPr>
              <w:keepNext w:val="0"/>
              <w:keepLines w:val="0"/>
              <w:pageBreakBefore w:val="0"/>
              <w:widowControl w:val="0"/>
              <w:spacing w:line="360" w:lineRule="auto"/>
              <w:jc w:val="center"/>
              <w:rPr>
                <w:rFonts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图3</w:t>
            </w:r>
            <w:r>
              <w:rPr>
                <w:rFonts w:hint="eastAsia" w:cs="Times New Roman"/>
                <w:b/>
                <w:bCs/>
                <w:color w:val="000000"/>
                <w:sz w:val="21"/>
                <w:szCs w:val="21"/>
                <w:highlight w:val="none"/>
                <w:lang w:val="en-US" w:eastAsia="zh-CN"/>
              </w:rPr>
              <w:t>-3</w:t>
            </w:r>
            <w:r>
              <w:rPr>
                <w:rFonts w:hint="eastAsia" w:ascii="Times New Roman" w:hAnsi="Times New Roman" w:cs="Times New Roman"/>
                <w:b/>
                <w:bCs/>
                <w:color w:val="000000"/>
                <w:sz w:val="21"/>
                <w:szCs w:val="21"/>
                <w:highlight w:val="none"/>
                <w:lang w:val="en-US" w:eastAsia="zh-CN"/>
              </w:rPr>
              <w:t xml:space="preserve"> </w:t>
            </w:r>
            <w:r>
              <w:rPr>
                <w:rFonts w:hint="eastAsia" w:cs="Times New Roman"/>
                <w:b/>
                <w:bCs/>
                <w:color w:val="000000"/>
                <w:sz w:val="21"/>
                <w:szCs w:val="21"/>
                <w:highlight w:val="none"/>
                <w:lang w:val="en-US" w:eastAsia="zh-CN"/>
              </w:rPr>
              <w:t>现有道路</w:t>
            </w:r>
            <w:r>
              <w:rPr>
                <w:rFonts w:hint="eastAsia" w:ascii="Times New Roman" w:hAnsi="Times New Roman" w:cs="Times New Roman"/>
                <w:b/>
                <w:bCs/>
                <w:color w:val="000000"/>
                <w:sz w:val="21"/>
                <w:szCs w:val="21"/>
                <w:highlight w:val="none"/>
                <w:lang w:val="en-US" w:eastAsia="zh-CN"/>
              </w:rPr>
              <w:t>现状</w:t>
            </w:r>
          </w:p>
          <w:p>
            <w:pPr>
              <w:spacing w:line="360" w:lineRule="auto"/>
              <w:jc w:val="left"/>
              <w:rPr>
                <w:rFonts w:hint="default"/>
                <w:b/>
                <w:bCs/>
                <w:color w:val="000000"/>
                <w:sz w:val="21"/>
                <w:szCs w:val="21"/>
                <w:highlight w:val="none"/>
                <w:lang w:val="en-US" w:eastAsia="zh-CN"/>
              </w:rPr>
            </w:pPr>
            <w:r>
              <w:rPr>
                <w:rFonts w:hint="eastAsia" w:ascii="Times New Roman" w:hAnsi="Times New Roman" w:eastAsia="宋体" w:cs="Times New Roman"/>
                <w:b/>
                <w:bCs/>
                <w:color w:val="000000"/>
                <w:kern w:val="0"/>
                <w:sz w:val="21"/>
                <w:szCs w:val="21"/>
                <w:lang w:val="en-US" w:eastAsia="zh-CN" w:bidi="ar-SA"/>
              </w:rPr>
              <w:t>3.6</w:t>
            </w:r>
            <w:r>
              <w:rPr>
                <w:rFonts w:hint="eastAsia" w:cs="Times New Roman"/>
                <w:b/>
                <w:bCs/>
                <w:color w:val="000000"/>
                <w:kern w:val="0"/>
                <w:sz w:val="21"/>
                <w:szCs w:val="21"/>
                <w:lang w:val="en-US" w:eastAsia="zh-CN" w:bidi="ar-SA"/>
              </w:rPr>
              <w:t xml:space="preserve">.2 </w:t>
            </w:r>
            <w:r>
              <w:rPr>
                <w:rFonts w:hint="eastAsia"/>
                <w:b/>
                <w:bCs/>
                <w:color w:val="000000"/>
                <w:sz w:val="21"/>
                <w:szCs w:val="21"/>
                <w:highlight w:val="none"/>
                <w:lang w:val="en-US" w:eastAsia="zh-CN"/>
              </w:rPr>
              <w:t>现有道路主要环境问题</w:t>
            </w:r>
          </w:p>
          <w:p>
            <w:pPr>
              <w:spacing w:line="360" w:lineRule="auto"/>
              <w:ind w:firstLine="480"/>
              <w:jc w:val="left"/>
              <w:rPr>
                <w:rFonts w:hint="eastAsia" w:ascii="Times New Roman" w:hAnsi="Times New Roman" w:cs="Times New Roman"/>
                <w:color w:val="000000"/>
                <w:sz w:val="21"/>
                <w:szCs w:val="21"/>
                <w:highlight w:val="none"/>
                <w:lang w:eastAsia="zh-CN"/>
              </w:rPr>
            </w:pPr>
            <w:r>
              <w:rPr>
                <w:rFonts w:hint="eastAsia" w:cs="Times New Roman"/>
                <w:color w:val="000000"/>
                <w:sz w:val="21"/>
                <w:szCs w:val="21"/>
                <w:highlight w:val="none"/>
                <w:lang w:val="en-US" w:eastAsia="zh-CN"/>
              </w:rPr>
              <w:t>1、现有道路设计标准不高，破损明显，导致比正常更多的噪声、尾气、扬尘</w:t>
            </w:r>
            <w:r>
              <w:rPr>
                <w:rFonts w:hint="eastAsia" w:ascii="Times New Roman" w:hAnsi="Times New Roman" w:cs="Times New Roman"/>
                <w:color w:val="000000"/>
                <w:sz w:val="21"/>
                <w:szCs w:val="21"/>
                <w:highlight w:val="none"/>
                <w:lang w:eastAsia="zh-CN"/>
              </w:rPr>
              <w:t>；</w:t>
            </w:r>
          </w:p>
          <w:p>
            <w:pPr>
              <w:spacing w:line="360" w:lineRule="auto"/>
              <w:ind w:firstLine="480"/>
              <w:jc w:val="left"/>
              <w:rPr>
                <w:rFonts w:hint="eastAsia" w:ascii="Times New Roman" w:hAnsi="Times New Roman" w:cs="Times New Roman"/>
                <w:color w:val="000000"/>
                <w:sz w:val="21"/>
                <w:szCs w:val="21"/>
                <w:highlight w:val="none"/>
                <w:lang w:eastAsia="zh-CN"/>
              </w:rPr>
            </w:pPr>
            <w:r>
              <w:rPr>
                <w:rFonts w:hint="eastAsia" w:cs="Times New Roman"/>
                <w:color w:val="000000"/>
                <w:sz w:val="21"/>
                <w:szCs w:val="21"/>
                <w:highlight w:val="none"/>
                <w:lang w:val="en-US" w:eastAsia="zh-CN"/>
              </w:rPr>
              <w:t>2、现状早晚高峰及节假日拥堵问题较严重</w:t>
            </w:r>
            <w:r>
              <w:rPr>
                <w:rFonts w:hint="eastAsia" w:ascii="Times New Roman" w:hAnsi="Times New Roman" w:cs="Times New Roman"/>
                <w:color w:val="000000"/>
                <w:sz w:val="21"/>
                <w:szCs w:val="21"/>
                <w:highlight w:val="none"/>
                <w:lang w:eastAsia="zh-CN"/>
              </w:rPr>
              <w:t>。</w:t>
            </w:r>
          </w:p>
          <w:p>
            <w:pPr>
              <w:spacing w:line="360" w:lineRule="auto"/>
              <w:jc w:val="left"/>
              <w:rPr>
                <w:rFonts w:hint="default"/>
                <w:b/>
                <w:bCs/>
                <w:color w:val="000000"/>
                <w:sz w:val="21"/>
                <w:szCs w:val="21"/>
                <w:highlight w:val="none"/>
                <w:lang w:val="en-US" w:eastAsia="zh-CN"/>
              </w:rPr>
            </w:pPr>
            <w:r>
              <w:rPr>
                <w:rFonts w:hint="eastAsia" w:ascii="Times New Roman" w:hAnsi="Times New Roman" w:eastAsia="宋体" w:cs="Times New Roman"/>
                <w:b/>
                <w:bCs/>
                <w:color w:val="000000"/>
                <w:kern w:val="0"/>
                <w:sz w:val="21"/>
                <w:szCs w:val="21"/>
                <w:lang w:val="en-US" w:eastAsia="zh-CN" w:bidi="ar-SA"/>
              </w:rPr>
              <w:t>3.6</w:t>
            </w:r>
            <w:r>
              <w:rPr>
                <w:rFonts w:hint="eastAsia" w:cs="Times New Roman"/>
                <w:b/>
                <w:bCs/>
                <w:color w:val="000000"/>
                <w:kern w:val="0"/>
                <w:sz w:val="21"/>
                <w:szCs w:val="21"/>
                <w:lang w:val="en-US" w:eastAsia="zh-CN" w:bidi="ar-SA"/>
              </w:rPr>
              <w:t>.3 已新带老措施</w:t>
            </w:r>
          </w:p>
          <w:p>
            <w:pPr>
              <w:pStyle w:val="229"/>
              <w:keepNext w:val="0"/>
              <w:keepLines w:val="0"/>
              <w:pageBreakBefore w:val="0"/>
              <w:widowControl w:val="0"/>
              <w:ind w:left="0" w:leftChars="0" w:firstLine="420" w:firstLineChars="200"/>
              <w:jc w:val="left"/>
              <w:rPr>
                <w:rFonts w:ascii="Times New Roman" w:hAnsi="Times New Roman" w:eastAsia="宋体" w:cs="Times New Roman"/>
                <w:color w:val="000000"/>
                <w:sz w:val="21"/>
                <w:szCs w:val="21"/>
                <w:highlight w:val="none"/>
                <w:lang w:val="zh-CN" w:eastAsia="zh-CN"/>
              </w:rPr>
            </w:pPr>
            <w:r>
              <w:rPr>
                <w:rFonts w:hint="eastAsia" w:cs="Times New Roman"/>
                <w:color w:val="000000"/>
                <w:sz w:val="21"/>
                <w:szCs w:val="21"/>
                <w:highlight w:val="none"/>
                <w:lang w:val="en-US" w:eastAsia="zh-CN"/>
              </w:rPr>
              <w:t>1、本路线建成通车后，将减少道路沿线经过的居民区，本项目将</w:t>
            </w:r>
            <w:r>
              <w:rPr>
                <w:rFonts w:ascii="Times New Roman" w:hAnsi="Times New Roman" w:eastAsia="宋体" w:cs="Times New Roman"/>
                <w:color w:val="000000"/>
                <w:sz w:val="21"/>
                <w:szCs w:val="21"/>
                <w:highlight w:val="none"/>
                <w:lang w:val="en-US" w:eastAsia="zh-CN"/>
              </w:rPr>
              <w:t>加强</w:t>
            </w:r>
            <w:r>
              <w:rPr>
                <w:rFonts w:hint="eastAsia" w:cs="Times New Roman"/>
                <w:color w:val="000000"/>
                <w:sz w:val="21"/>
                <w:szCs w:val="21"/>
                <w:highlight w:val="none"/>
                <w:lang w:val="en-US" w:eastAsia="zh-CN"/>
              </w:rPr>
              <w:t>道路</w:t>
            </w:r>
            <w:r>
              <w:rPr>
                <w:rFonts w:ascii="Times New Roman" w:hAnsi="Times New Roman" w:eastAsia="宋体" w:cs="Times New Roman"/>
                <w:color w:val="000000"/>
                <w:sz w:val="21"/>
                <w:szCs w:val="21"/>
                <w:highlight w:val="none"/>
                <w:lang w:val="en-US" w:eastAsia="zh-CN"/>
              </w:rPr>
              <w:t>两侧绿化率，</w:t>
            </w:r>
            <w:r>
              <w:rPr>
                <w:rFonts w:hint="eastAsia" w:cs="Times New Roman"/>
                <w:color w:val="000000"/>
                <w:sz w:val="21"/>
                <w:szCs w:val="21"/>
                <w:highlight w:val="none"/>
                <w:lang w:val="en-US" w:eastAsia="zh-CN"/>
              </w:rPr>
              <w:t>利于</w:t>
            </w:r>
            <w:r>
              <w:rPr>
                <w:rFonts w:hint="eastAsia" w:ascii="Times New Roman" w:hAnsi="Times New Roman" w:cs="Times New Roman"/>
                <w:color w:val="000000"/>
                <w:sz w:val="21"/>
                <w:szCs w:val="21"/>
                <w:highlight w:val="none"/>
                <w:lang w:val="en-US" w:eastAsia="zh-CN"/>
              </w:rPr>
              <w:t>减缓交通噪声、</w:t>
            </w:r>
            <w:r>
              <w:rPr>
                <w:rFonts w:hint="eastAsia" w:ascii="Times New Roman" w:hAnsi="Times New Roman" w:cs="Times New Roman"/>
                <w:color w:val="000000"/>
                <w:sz w:val="21"/>
                <w:szCs w:val="21"/>
                <w:highlight w:val="none"/>
                <w:lang w:eastAsia="zh-CN"/>
              </w:rPr>
              <w:t>汽车尾气及道路扬尘</w:t>
            </w:r>
            <w:r>
              <w:rPr>
                <w:rFonts w:hint="eastAsia" w:ascii="Times New Roman" w:hAnsi="Times New Roman" w:cs="Times New Roman"/>
                <w:color w:val="000000"/>
                <w:sz w:val="21"/>
                <w:szCs w:val="21"/>
                <w:highlight w:val="none"/>
                <w:lang w:val="en-US" w:eastAsia="zh-CN"/>
              </w:rPr>
              <w:t>对沿线居民及区域环境的影响</w:t>
            </w:r>
            <w:r>
              <w:rPr>
                <w:rFonts w:ascii="Times New Roman" w:hAnsi="Times New Roman" w:eastAsia="宋体" w:cs="Times New Roman"/>
                <w:color w:val="000000"/>
                <w:sz w:val="21"/>
                <w:szCs w:val="21"/>
                <w:highlight w:val="none"/>
                <w:lang w:val="zh-CN" w:eastAsia="zh-CN"/>
              </w:rPr>
              <w:t>。</w:t>
            </w:r>
          </w:p>
          <w:p>
            <w:pPr>
              <w:spacing w:line="360" w:lineRule="auto"/>
              <w:ind w:firstLine="480"/>
              <w:jc w:val="left"/>
              <w:rPr>
                <w:rFonts w:ascii="宋体" w:hAnsi="宋体" w:cs="宋体"/>
                <w:color w:val="000000"/>
                <w:sz w:val="21"/>
                <w:szCs w:val="21"/>
                <w:highlight w:val="none"/>
              </w:rPr>
            </w:pPr>
            <w:r>
              <w:rPr>
                <w:rFonts w:hint="eastAsia" w:cs="Times New Roman"/>
                <w:color w:val="000000"/>
                <w:sz w:val="21"/>
                <w:szCs w:val="21"/>
                <w:highlight w:val="none"/>
                <w:lang w:val="en-US" w:eastAsia="zh-CN"/>
              </w:rPr>
              <w:t>2、</w:t>
            </w:r>
            <w:r>
              <w:rPr>
                <w:rFonts w:hint="eastAsia" w:ascii="Times New Roman" w:hAnsi="Times New Roman" w:cs="Times New Roman"/>
                <w:color w:val="000000"/>
                <w:sz w:val="21"/>
                <w:szCs w:val="21"/>
                <w:highlight w:val="none"/>
                <w:lang w:val="en-US" w:eastAsia="zh-CN"/>
              </w:rPr>
              <w:t>随着本项目的实施，现有项目存在的问题将得到缓解。</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579" w:type="dxa"/>
            <w:noWrap w:val="0"/>
            <w:vAlign w:val="center"/>
          </w:tcPr>
          <w:p>
            <w:pPr>
              <w:spacing w:line="360" w:lineRule="auto"/>
              <w:jc w:val="center"/>
              <w:rPr>
                <w:rFonts w:ascii="宋体" w:hAnsi="宋体" w:cs="宋体"/>
                <w:color w:val="000000"/>
                <w:sz w:val="21"/>
                <w:szCs w:val="21"/>
                <w:highlight w:val="none"/>
              </w:rPr>
            </w:pPr>
            <w:r>
              <w:rPr>
                <w:rFonts w:hint="eastAsia" w:ascii="宋体" w:hAnsi="宋体" w:cs="宋体"/>
                <w:color w:val="000000"/>
                <w:sz w:val="21"/>
                <w:szCs w:val="21"/>
                <w:highlight w:val="none"/>
              </w:rPr>
              <w:t>生态环境保护目标</w:t>
            </w:r>
          </w:p>
        </w:tc>
        <w:tc>
          <w:tcPr>
            <w:tcW w:w="7941" w:type="dxa"/>
            <w:noWrap w:val="0"/>
            <w:vAlign w:val="center"/>
          </w:tcPr>
          <w:p>
            <w:pPr>
              <w:pStyle w:val="191"/>
              <w:keepNext/>
              <w:keepLines/>
              <w:pageBreakBefore w:val="0"/>
              <w:widowControl w:val="0"/>
              <w:spacing w:before="0" w:after="0" w:line="360" w:lineRule="auto"/>
              <w:ind w:right="0"/>
              <w:jc w:val="both"/>
              <w:outlineLvl w:val="1"/>
              <w:rPr>
                <w:rFonts w:hint="default"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Times New Roman"/>
                <w:b/>
                <w:bCs/>
                <w:color w:val="000000"/>
                <w:kern w:val="0"/>
                <w:sz w:val="21"/>
                <w:szCs w:val="21"/>
                <w:lang w:val="en-US" w:eastAsia="zh-CN" w:bidi="ar-SA"/>
              </w:rPr>
              <w:t>3.7 大气环境保护目标</w:t>
            </w:r>
          </w:p>
          <w:p>
            <w:pPr>
              <w:keepNext w:val="0"/>
              <w:keepLines w:val="0"/>
              <w:pageBreakBefore w:val="0"/>
              <w:widowControl/>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宋体"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根据项目所在地环境功能区划，本项目主要环境保护目标及分布情况如下：</w:t>
            </w:r>
          </w:p>
          <w:p>
            <w:pPr>
              <w:keepNext w:val="0"/>
              <w:keepLines w:val="0"/>
              <w:pageBreakBefore w:val="0"/>
              <w:widowControl w:val="0"/>
              <w:tabs>
                <w:tab w:val="left" w:pos="1041"/>
              </w:tabs>
              <w:spacing w:before="120"/>
              <w:ind w:right="0"/>
              <w:jc w:val="center"/>
              <w:rPr>
                <w:rFonts w:hint="eastAsia" w:ascii="Times New Roman" w:hAnsi="Times New Roman" w:eastAsia="宋体" w:cs="Times New Roman"/>
                <w:b/>
                <w:bCs/>
                <w:color w:val="000000"/>
                <w:sz w:val="21"/>
                <w:szCs w:val="21"/>
                <w:highlight w:val="none"/>
                <w:u w:val="none"/>
                <w:lang w:val="en-US" w:eastAsia="zh-CN"/>
              </w:rPr>
            </w:pPr>
            <w:r>
              <w:rPr>
                <w:rFonts w:ascii="Times New Roman" w:hAnsi="Times New Roman" w:eastAsia="宋体" w:cs="Times New Roman"/>
                <w:b/>
                <w:bCs/>
                <w:color w:val="000000"/>
                <w:sz w:val="21"/>
                <w:szCs w:val="21"/>
                <w:highlight w:val="none"/>
                <w:u w:val="none"/>
              </w:rPr>
              <w:t>表</w:t>
            </w:r>
            <w:r>
              <w:rPr>
                <w:rFonts w:hint="eastAsia" w:cs="Times New Roman"/>
                <w:b/>
                <w:bCs/>
                <w:color w:val="000000"/>
                <w:sz w:val="21"/>
                <w:szCs w:val="21"/>
                <w:highlight w:val="none"/>
                <w:u w:val="none"/>
                <w:lang w:val="en-US" w:eastAsia="zh-CN"/>
              </w:rPr>
              <w:t xml:space="preserve">3-3 </w:t>
            </w:r>
            <w:r>
              <w:rPr>
                <w:rFonts w:ascii="Times New Roman" w:hAnsi="Times New Roman" w:eastAsia="宋体" w:cs="Times New Roman"/>
                <w:b/>
                <w:bCs/>
                <w:color w:val="000000"/>
                <w:sz w:val="21"/>
                <w:szCs w:val="21"/>
                <w:highlight w:val="none"/>
                <w:u w:val="none"/>
              </w:rPr>
              <w:t>主要</w:t>
            </w:r>
            <w:r>
              <w:rPr>
                <w:rFonts w:hint="eastAsia" w:ascii="Times New Roman" w:hAnsi="Times New Roman" w:eastAsia="宋体" w:cs="Times New Roman"/>
                <w:b/>
                <w:bCs/>
                <w:color w:val="000000"/>
                <w:sz w:val="21"/>
                <w:szCs w:val="21"/>
                <w:highlight w:val="none"/>
                <w:u w:val="none"/>
                <w:lang w:eastAsia="zh-CN"/>
              </w:rPr>
              <w:t>大气</w:t>
            </w:r>
            <w:r>
              <w:rPr>
                <w:rFonts w:ascii="Times New Roman" w:hAnsi="Times New Roman" w:eastAsia="宋体" w:cs="Times New Roman"/>
                <w:b/>
                <w:bCs/>
                <w:color w:val="000000"/>
                <w:sz w:val="21"/>
                <w:szCs w:val="21"/>
                <w:highlight w:val="none"/>
                <w:u w:val="none"/>
              </w:rPr>
              <w:t>保护目标</w:t>
            </w:r>
            <w:r>
              <w:rPr>
                <w:rFonts w:hint="eastAsia" w:ascii="Times New Roman" w:hAnsi="Times New Roman" w:eastAsia="宋体" w:cs="Times New Roman"/>
                <w:b/>
                <w:bCs/>
                <w:color w:val="000000"/>
                <w:sz w:val="21"/>
                <w:szCs w:val="21"/>
                <w:highlight w:val="none"/>
                <w:u w:val="none"/>
                <w:lang w:eastAsia="zh-CN"/>
              </w:rPr>
              <w:t>一览表</w:t>
            </w:r>
          </w:p>
          <w:tbl>
            <w:tblPr>
              <w:tblStyle w:val="40"/>
              <w:tblW w:w="7714" w:type="dxa"/>
              <w:jc w:val="center"/>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423"/>
              <w:gridCol w:w="871"/>
              <w:gridCol w:w="1163"/>
              <w:gridCol w:w="1166"/>
              <w:gridCol w:w="647"/>
              <w:gridCol w:w="647"/>
              <w:gridCol w:w="437"/>
              <w:gridCol w:w="542"/>
              <w:gridCol w:w="841"/>
              <w:gridCol w:w="977"/>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219" w:hRule="atLeast"/>
                <w:jc w:val="center"/>
              </w:trPr>
              <w:tc>
                <w:tcPr>
                  <w:tcW w:w="423" w:type="dxa"/>
                  <w:vMerge w:val="restart"/>
                  <w:tcBorders>
                    <w:top w:val="single" w:color="auto" w:sz="2" w:space="0"/>
                    <w:left w:val="single" w:color="auto" w:sz="2"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z w:val="21"/>
                      <w:szCs w:val="21"/>
                      <w:u w:val="none" w:color="auto"/>
                      <w:lang w:val="en-US" w:eastAsia="zh-CN"/>
                    </w:rPr>
                  </w:pPr>
                  <w:r>
                    <w:rPr>
                      <w:rFonts w:hint="eastAsia" w:cs="Times New Roman"/>
                      <w:b w:val="0"/>
                      <w:bCs w:val="0"/>
                      <w:sz w:val="21"/>
                      <w:szCs w:val="21"/>
                      <w:u w:val="none" w:color="auto"/>
                      <w:lang w:val="en-US" w:eastAsia="zh-CN"/>
                    </w:rPr>
                    <w:t>路段</w:t>
                  </w:r>
                </w:p>
              </w:tc>
              <w:tc>
                <w:tcPr>
                  <w:tcW w:w="871" w:type="dxa"/>
                  <w:vMerge w:val="restart"/>
                  <w:tcBorders>
                    <w:top w:val="single" w:color="auto" w:sz="2" w:space="0"/>
                    <w:left w:val="single" w:color="auto" w:sz="2"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sz w:val="21"/>
                      <w:szCs w:val="21"/>
                      <w:u w:val="none" w:color="auto"/>
                    </w:rPr>
                    <w:t>名称</w:t>
                  </w:r>
                </w:p>
              </w:tc>
              <w:tc>
                <w:tcPr>
                  <w:tcW w:w="2329" w:type="dxa"/>
                  <w:gridSpan w:val="2"/>
                  <w:tcBorders>
                    <w:top w:val="single" w:color="auto" w:sz="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sz w:val="21"/>
                      <w:szCs w:val="21"/>
                      <w:u w:val="none" w:color="auto"/>
                    </w:rPr>
                    <w:t>坐标(°)</w:t>
                  </w:r>
                </w:p>
              </w:tc>
              <w:tc>
                <w:tcPr>
                  <w:tcW w:w="647" w:type="dxa"/>
                  <w:vMerge w:val="restart"/>
                  <w:tcBorders>
                    <w:top w:val="single" w:color="auto" w:sz="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sz w:val="21"/>
                      <w:szCs w:val="21"/>
                      <w:u w:val="none" w:color="auto"/>
                    </w:rPr>
                    <w:t>保护</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sz w:val="21"/>
                      <w:szCs w:val="21"/>
                      <w:u w:val="none" w:color="auto"/>
                    </w:rPr>
                    <w:t>对象</w:t>
                  </w:r>
                </w:p>
              </w:tc>
              <w:tc>
                <w:tcPr>
                  <w:tcW w:w="647" w:type="dxa"/>
                  <w:vMerge w:val="restart"/>
                  <w:tcBorders>
                    <w:top w:val="single" w:color="auto" w:sz="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sz w:val="21"/>
                      <w:szCs w:val="21"/>
                      <w:u w:val="none" w:color="auto"/>
                    </w:rPr>
                    <w:t>保护</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sz w:val="21"/>
                      <w:szCs w:val="21"/>
                      <w:u w:val="none" w:color="auto"/>
                    </w:rPr>
                    <w:t>内容</w:t>
                  </w:r>
                </w:p>
              </w:tc>
              <w:tc>
                <w:tcPr>
                  <w:tcW w:w="437" w:type="dxa"/>
                  <w:vMerge w:val="restart"/>
                  <w:tcBorders>
                    <w:top w:val="single" w:color="auto" w:sz="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sz w:val="21"/>
                      <w:szCs w:val="21"/>
                      <w:u w:val="none" w:color="auto"/>
                    </w:rPr>
                    <w:t>环境功能区</w:t>
                  </w:r>
                </w:p>
              </w:tc>
              <w:tc>
                <w:tcPr>
                  <w:tcW w:w="542" w:type="dxa"/>
                  <w:vMerge w:val="restart"/>
                  <w:tcBorders>
                    <w:top w:val="single" w:color="auto" w:sz="2"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sz w:val="21"/>
                      <w:szCs w:val="21"/>
                      <w:u w:val="none" w:color="auto"/>
                    </w:rPr>
                    <w:t>相对厂址方位</w:t>
                  </w:r>
                </w:p>
              </w:tc>
              <w:tc>
                <w:tcPr>
                  <w:tcW w:w="841" w:type="dxa"/>
                  <w:vMerge w:val="restart"/>
                  <w:tcBorders>
                    <w:top w:val="single" w:color="auto" w:sz="2" w:space="0"/>
                    <w:left w:val="single" w:color="auto" w:sz="6" w:space="0"/>
                    <w:bottom w:val="single" w:color="auto" w:sz="6"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eastAsia" w:ascii="Times New Roman" w:hAnsi="Times New Roman" w:eastAsia="宋体" w:cs="Times New Roman"/>
                      <w:b w:val="0"/>
                      <w:bCs w:val="0"/>
                      <w:sz w:val="21"/>
                      <w:szCs w:val="21"/>
                      <w:u w:val="none" w:color="auto"/>
                      <w:lang w:val="en-US" w:eastAsia="zh-CN"/>
                    </w:rPr>
                    <w:t>与道路用地红线的最近</w:t>
                  </w:r>
                  <w:r>
                    <w:rPr>
                      <w:rFonts w:hint="default" w:ascii="Times New Roman" w:hAnsi="Times New Roman" w:eastAsia="宋体" w:cs="Times New Roman"/>
                      <w:b w:val="0"/>
                      <w:bCs w:val="0"/>
                      <w:sz w:val="21"/>
                      <w:szCs w:val="21"/>
                      <w:u w:val="none" w:color="auto"/>
                    </w:rPr>
                    <w:t>距离（m）</w:t>
                  </w:r>
                </w:p>
              </w:tc>
              <w:tc>
                <w:tcPr>
                  <w:tcW w:w="977" w:type="dxa"/>
                  <w:vMerge w:val="restart"/>
                  <w:tcBorders>
                    <w:top w:val="single" w:color="auto" w:sz="2" w:space="0"/>
                    <w:left w:val="single" w:color="auto" w:sz="6"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路段</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122" w:hRule="atLeast"/>
                <w:jc w:val="center"/>
              </w:trPr>
              <w:tc>
                <w:tcPr>
                  <w:tcW w:w="423" w:type="dxa"/>
                  <w:vMerge w:val="continue"/>
                  <w:tcBorders>
                    <w:left w:val="single" w:color="auto" w:sz="2" w:space="0"/>
                    <w:bottom w:val="single" w:color="auto" w:sz="6" w:space="0"/>
                    <w:right w:val="single" w:color="auto" w:sz="6" w:space="0"/>
                  </w:tcBorders>
                  <w:noWrap w:val="0"/>
                  <w:vAlign w:val="center"/>
                </w:tcPr>
                <w:p>
                  <w:pPr>
                    <w:rPr>
                      <w:rFonts w:hint="default" w:ascii="Times New Roman" w:hAnsi="Times New Roman" w:eastAsia="宋体" w:cs="Times New Roman"/>
                      <w:b w:val="0"/>
                      <w:bCs w:val="0"/>
                      <w:sz w:val="21"/>
                      <w:szCs w:val="21"/>
                      <w:u w:val="none" w:color="auto"/>
                    </w:rPr>
                  </w:pPr>
                </w:p>
              </w:tc>
              <w:tc>
                <w:tcPr>
                  <w:tcW w:w="871" w:type="dxa"/>
                  <w:vMerge w:val="continue"/>
                  <w:tcBorders>
                    <w:top w:val="single" w:color="auto" w:sz="2" w:space="0"/>
                    <w:left w:val="single" w:color="auto" w:sz="2" w:space="0"/>
                    <w:bottom w:val="single" w:color="auto" w:sz="6" w:space="0"/>
                    <w:right w:val="single" w:color="auto" w:sz="6" w:space="0"/>
                  </w:tcBorders>
                  <w:noWrap w:val="0"/>
                  <w:vAlign w:val="center"/>
                </w:tcPr>
                <w:p>
                  <w:pPr>
                    <w:rPr>
                      <w:rFonts w:hint="default" w:ascii="Times New Roman" w:hAnsi="Times New Roman" w:eastAsia="宋体" w:cs="Times New Roman"/>
                      <w:b w:val="0"/>
                      <w:bCs w:val="0"/>
                      <w:sz w:val="21"/>
                      <w:szCs w:val="21"/>
                      <w:u w:val="none" w:color="auto"/>
                    </w:rPr>
                  </w:pPr>
                </w:p>
              </w:tc>
              <w:tc>
                <w:tcPr>
                  <w:tcW w:w="1163"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sz w:val="21"/>
                      <w:szCs w:val="21"/>
                      <w:u w:val="none" w:color="auto"/>
                    </w:rPr>
                    <w:t>东经</w:t>
                  </w:r>
                </w:p>
              </w:tc>
              <w:tc>
                <w:tcPr>
                  <w:tcW w:w="1166"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sz w:val="21"/>
                      <w:szCs w:val="21"/>
                      <w:u w:val="none" w:color="auto"/>
                    </w:rPr>
                  </w:pPr>
                  <w:r>
                    <w:rPr>
                      <w:rFonts w:hint="default" w:ascii="Times New Roman" w:hAnsi="Times New Roman" w:eastAsia="宋体" w:cs="Times New Roman"/>
                      <w:b w:val="0"/>
                      <w:bCs w:val="0"/>
                      <w:sz w:val="21"/>
                      <w:szCs w:val="21"/>
                      <w:u w:val="none" w:color="auto"/>
                    </w:rPr>
                    <w:t>北纬</w:t>
                  </w:r>
                </w:p>
              </w:tc>
              <w:tc>
                <w:tcPr>
                  <w:tcW w:w="647" w:type="dxa"/>
                  <w:vMerge w:val="continue"/>
                  <w:tcBorders>
                    <w:top w:val="single" w:color="auto" w:sz="2"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b w:val="0"/>
                      <w:bCs w:val="0"/>
                      <w:sz w:val="21"/>
                      <w:szCs w:val="21"/>
                      <w:u w:val="none" w:color="auto"/>
                    </w:rPr>
                  </w:pPr>
                </w:p>
              </w:tc>
              <w:tc>
                <w:tcPr>
                  <w:tcW w:w="647" w:type="dxa"/>
                  <w:vMerge w:val="continue"/>
                  <w:tcBorders>
                    <w:top w:val="single" w:color="auto" w:sz="2"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b w:val="0"/>
                      <w:bCs w:val="0"/>
                      <w:sz w:val="21"/>
                      <w:szCs w:val="21"/>
                      <w:u w:val="none" w:color="auto"/>
                    </w:rPr>
                  </w:pPr>
                </w:p>
              </w:tc>
              <w:tc>
                <w:tcPr>
                  <w:tcW w:w="437" w:type="dxa"/>
                  <w:vMerge w:val="continue"/>
                  <w:tcBorders>
                    <w:top w:val="single" w:color="auto" w:sz="2"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b w:val="0"/>
                      <w:bCs w:val="0"/>
                      <w:sz w:val="21"/>
                      <w:szCs w:val="21"/>
                      <w:u w:val="none" w:color="auto"/>
                    </w:rPr>
                  </w:pPr>
                </w:p>
              </w:tc>
              <w:tc>
                <w:tcPr>
                  <w:tcW w:w="542" w:type="dxa"/>
                  <w:vMerge w:val="continue"/>
                  <w:tcBorders>
                    <w:top w:val="single" w:color="auto" w:sz="2"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b w:val="0"/>
                      <w:bCs w:val="0"/>
                      <w:sz w:val="21"/>
                      <w:szCs w:val="21"/>
                      <w:u w:val="none" w:color="auto"/>
                    </w:rPr>
                  </w:pPr>
                </w:p>
              </w:tc>
              <w:tc>
                <w:tcPr>
                  <w:tcW w:w="841" w:type="dxa"/>
                  <w:vMerge w:val="continue"/>
                  <w:tcBorders>
                    <w:top w:val="single" w:color="auto" w:sz="2" w:space="0"/>
                    <w:left w:val="single" w:color="auto" w:sz="6" w:space="0"/>
                    <w:bottom w:val="single" w:color="auto" w:sz="6" w:space="0"/>
                    <w:right w:val="single" w:color="auto" w:sz="2" w:space="0"/>
                  </w:tcBorders>
                  <w:noWrap w:val="0"/>
                  <w:vAlign w:val="center"/>
                </w:tcPr>
                <w:p>
                  <w:pPr>
                    <w:rPr>
                      <w:rFonts w:hint="default" w:ascii="Times New Roman" w:hAnsi="Times New Roman" w:eastAsia="宋体" w:cs="Times New Roman"/>
                      <w:b w:val="0"/>
                      <w:bCs w:val="0"/>
                      <w:sz w:val="21"/>
                      <w:szCs w:val="21"/>
                      <w:u w:val="none" w:color="auto"/>
                    </w:rPr>
                  </w:pPr>
                </w:p>
              </w:tc>
              <w:tc>
                <w:tcPr>
                  <w:tcW w:w="977" w:type="dxa"/>
                  <w:vMerge w:val="continue"/>
                  <w:tcBorders>
                    <w:left w:val="single" w:color="auto" w:sz="6" w:space="0"/>
                    <w:bottom w:val="single" w:color="auto" w:sz="6" w:space="0"/>
                    <w:right w:val="single" w:color="auto" w:sz="2" w:space="0"/>
                  </w:tcBorders>
                  <w:noWrap w:val="0"/>
                  <w:vAlign w:val="center"/>
                </w:tcPr>
                <w:p>
                  <w:pPr>
                    <w:rPr>
                      <w:rFonts w:hint="default" w:ascii="Times New Roman" w:hAnsi="Times New Roman" w:eastAsia="宋体" w:cs="Times New Roman"/>
                      <w:b w:val="0"/>
                      <w:bCs w:val="0"/>
                      <w:sz w:val="21"/>
                      <w:szCs w:val="21"/>
                      <w:u w:val="none" w:color="auto"/>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423" w:type="dxa"/>
                  <w:vMerge w:val="restart"/>
                  <w:tcBorders>
                    <w:top w:val="single" w:color="auto" w:sz="6" w:space="0"/>
                    <w:left w:val="single" w:color="auto" w:sz="2" w:space="0"/>
                    <w:right w:val="single" w:color="auto" w:sz="6" w:space="0"/>
                  </w:tcBorders>
                  <w:shd w:val="clear" w:color="auto" w:fill="auto"/>
                  <w:noWrap w:val="0"/>
                  <w:vAlign w:val="center"/>
                </w:tcPr>
                <w:p>
                  <w:pPr>
                    <w:snapToGrid w:val="0"/>
                    <w:spacing w:line="240" w:lineRule="auto"/>
                    <w:jc w:val="center"/>
                    <w:rPr>
                      <w:rFonts w:hint="default" w:eastAsia="宋体"/>
                      <w:b w:val="0"/>
                      <w:bCs w:val="0"/>
                      <w:kern w:val="0"/>
                      <w:sz w:val="21"/>
                      <w:szCs w:val="21"/>
                      <w:highlight w:val="none"/>
                      <w:u w:val="none" w:color="auto"/>
                      <w:lang w:val="en-US" w:eastAsia="zh-CN"/>
                    </w:rPr>
                  </w:pPr>
                  <w:r>
                    <w:rPr>
                      <w:rFonts w:hint="eastAsia" w:ascii="Times New Roman" w:hAnsi="Times New Roman" w:eastAsia="宋体" w:cs="Times New Roman"/>
                      <w:color w:val="000000"/>
                      <w:sz w:val="21"/>
                      <w:szCs w:val="21"/>
                      <w:highlight w:val="none"/>
                      <w:lang w:eastAsia="zh-CN"/>
                    </w:rPr>
                    <w:t>萍洲大桥西岸匝道</w:t>
                  </w:r>
                </w:p>
              </w:tc>
              <w:tc>
                <w:tcPr>
                  <w:tcW w:w="871" w:type="dxa"/>
                  <w:tcBorders>
                    <w:top w:val="single" w:color="auto" w:sz="6" w:space="0"/>
                    <w:left w:val="single" w:color="auto" w:sz="2" w:space="0"/>
                    <w:bottom w:val="single" w:color="auto" w:sz="6" w:space="0"/>
                    <w:right w:val="single" w:color="auto" w:sz="6" w:space="0"/>
                  </w:tcBorders>
                  <w:shd w:val="clear" w:color="auto" w:fill="auto"/>
                  <w:noWrap w:val="0"/>
                  <w:vAlign w:val="center"/>
                </w:tcPr>
                <w:p>
                  <w:pPr>
                    <w:snapToGrid w:val="0"/>
                    <w:spacing w:line="240" w:lineRule="auto"/>
                    <w:jc w:val="center"/>
                    <w:rPr>
                      <w:rFonts w:hint="default" w:ascii="Times New Roman" w:hAnsi="Times New Roman" w:eastAsia="宋体" w:cs="Times New Roman"/>
                      <w:b w:val="0"/>
                      <w:bCs w:val="0"/>
                      <w:kern w:val="0"/>
                      <w:sz w:val="21"/>
                      <w:szCs w:val="21"/>
                      <w:highlight w:val="none"/>
                      <w:u w:val="none" w:color="auto"/>
                      <w:lang w:val="en-US" w:eastAsia="zh-CN" w:bidi="ar-SA"/>
                    </w:rPr>
                  </w:pPr>
                  <w:r>
                    <w:rPr>
                      <w:rFonts w:hint="default" w:eastAsia="宋体"/>
                      <w:b w:val="0"/>
                      <w:bCs w:val="0"/>
                      <w:kern w:val="0"/>
                      <w:sz w:val="21"/>
                      <w:szCs w:val="21"/>
                      <w:highlight w:val="none"/>
                      <w:u w:val="none" w:color="auto"/>
                      <w:lang w:val="en-US" w:eastAsia="zh-CN"/>
                    </w:rPr>
                    <w:t>梨头尖居民点</w:t>
                  </w:r>
                </w:p>
              </w:tc>
              <w:tc>
                <w:tcPr>
                  <w:tcW w:w="1163"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bidi="ar-SA"/>
                    </w:rPr>
                  </w:pPr>
                  <w:r>
                    <w:rPr>
                      <w:rFonts w:hint="eastAsia"/>
                      <w:b w:val="0"/>
                      <w:bCs w:val="0"/>
                      <w:sz w:val="21"/>
                      <w:szCs w:val="21"/>
                      <w:u w:val="none" w:color="auto"/>
                    </w:rPr>
                    <w:t>111.60926789</w:t>
                  </w:r>
                </w:p>
              </w:tc>
              <w:tc>
                <w:tcPr>
                  <w:tcW w:w="1166"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bidi="ar-SA"/>
                    </w:rPr>
                  </w:pPr>
                  <w:r>
                    <w:rPr>
                      <w:rFonts w:hint="eastAsia"/>
                      <w:b w:val="0"/>
                      <w:bCs w:val="0"/>
                      <w:sz w:val="21"/>
                      <w:szCs w:val="21"/>
                      <w:u w:val="none" w:color="auto"/>
                    </w:rPr>
                    <w:t>26.24487559</w:t>
                  </w:r>
                </w:p>
              </w:tc>
              <w:tc>
                <w:tcPr>
                  <w:tcW w:w="647"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bidi="ar-SA"/>
                    </w:rPr>
                  </w:pPr>
                  <w:r>
                    <w:rPr>
                      <w:rFonts w:hint="default" w:ascii="Times New Roman" w:hAnsi="Times New Roman" w:cs="Times New Roman"/>
                      <w:color w:val="auto"/>
                      <w:sz w:val="21"/>
                      <w:szCs w:val="21"/>
                      <w:u w:val="none" w:color="auto"/>
                    </w:rPr>
                    <w:t>居民</w:t>
                  </w:r>
                </w:p>
              </w:tc>
              <w:tc>
                <w:tcPr>
                  <w:tcW w:w="647"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3户，</w:t>
                  </w:r>
                  <w:r>
                    <w:rPr>
                      <w:rFonts w:hint="default" w:ascii="Times New Roman" w:hAnsi="Times New Roman" w:cs="Times New Roman"/>
                      <w:color w:val="auto"/>
                      <w:sz w:val="21"/>
                      <w:szCs w:val="21"/>
                      <w:u w:val="none" w:color="auto"/>
                      <w:lang w:val="en-US" w:eastAsia="zh-CN"/>
                    </w:rPr>
                    <w:t>约</w:t>
                  </w:r>
                  <w:r>
                    <w:rPr>
                      <w:rFonts w:hint="eastAsia" w:cs="Times New Roman"/>
                      <w:color w:val="auto"/>
                      <w:sz w:val="21"/>
                      <w:szCs w:val="21"/>
                      <w:u w:val="none" w:color="auto"/>
                      <w:lang w:val="en-US" w:eastAsia="zh-CN"/>
                    </w:rPr>
                    <w:t>10</w:t>
                  </w:r>
                  <w:r>
                    <w:rPr>
                      <w:rFonts w:hint="default" w:ascii="Times New Roman" w:hAnsi="Times New Roman" w:cs="Times New Roman"/>
                      <w:color w:val="auto"/>
                      <w:sz w:val="21"/>
                      <w:szCs w:val="21"/>
                      <w:u w:val="none" w:color="auto"/>
                      <w:lang w:val="en-US" w:eastAsia="zh-CN"/>
                    </w:rPr>
                    <w:t>人</w:t>
                  </w:r>
                </w:p>
              </w:tc>
              <w:tc>
                <w:tcPr>
                  <w:tcW w:w="437"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hint="default" w:ascii="Times New Roman" w:hAnsi="Times New Roman" w:eastAsia="宋体" w:cs="Times New Roman"/>
                      <w:b w:val="0"/>
                      <w:bCs w:val="0"/>
                      <w:sz w:val="21"/>
                      <w:szCs w:val="21"/>
                      <w:u w:val="none" w:color="auto"/>
                      <w:lang w:val="en-US" w:eastAsia="zh-CN" w:bidi="ar-SA"/>
                    </w:rPr>
                  </w:pPr>
                  <w:r>
                    <w:rPr>
                      <w:b w:val="0"/>
                      <w:bCs w:val="0"/>
                      <w:sz w:val="21"/>
                      <w:szCs w:val="21"/>
                      <w:u w:val="none" w:color="auto"/>
                    </w:rPr>
                    <w:t>二类区</w:t>
                  </w:r>
                </w:p>
              </w:tc>
              <w:tc>
                <w:tcPr>
                  <w:tcW w:w="54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hint="eastAsia" w:ascii="Times New Roman" w:hAnsi="Times New Roman" w:eastAsia="宋体" w:cs="Times New Roman"/>
                      <w:b w:val="0"/>
                      <w:bCs w:val="0"/>
                      <w:sz w:val="21"/>
                      <w:szCs w:val="21"/>
                      <w:u w:val="none" w:color="auto"/>
                      <w:lang w:val="en-US" w:eastAsia="zh-CN" w:bidi="ar-SA"/>
                    </w:rPr>
                  </w:pPr>
                  <w:r>
                    <w:rPr>
                      <w:rFonts w:hint="eastAsia"/>
                      <w:b w:val="0"/>
                      <w:bCs w:val="0"/>
                      <w:sz w:val="21"/>
                      <w:szCs w:val="21"/>
                      <w:u w:val="none" w:color="auto"/>
                      <w:lang w:val="en-US" w:eastAsia="zh-CN"/>
                    </w:rPr>
                    <w:t>S</w:t>
                  </w:r>
                </w:p>
              </w:tc>
              <w:tc>
                <w:tcPr>
                  <w:tcW w:w="841" w:type="dxa"/>
                  <w:tcBorders>
                    <w:top w:val="single" w:color="auto" w:sz="6" w:space="0"/>
                    <w:left w:val="single" w:color="auto" w:sz="6" w:space="0"/>
                    <w:bottom w:val="single" w:color="auto" w:sz="6" w:space="0"/>
                    <w:right w:val="single" w:color="auto" w:sz="2" w:space="0"/>
                  </w:tcBorders>
                  <w:shd w:val="clear" w:color="auto" w:fill="auto"/>
                  <w:noWrap w:val="0"/>
                  <w:vAlign w:val="center"/>
                </w:tcPr>
                <w:p>
                  <w:pPr>
                    <w:widowControl/>
                    <w:jc w:val="center"/>
                    <w:rPr>
                      <w:rFonts w:hint="eastAsia" w:ascii="Times New Roman" w:hAnsi="Times New Roman" w:eastAsia="宋体" w:cs="Times New Roman"/>
                      <w:b w:val="0"/>
                      <w:bCs w:val="0"/>
                      <w:sz w:val="21"/>
                      <w:szCs w:val="21"/>
                      <w:u w:val="none" w:color="auto"/>
                      <w:lang w:val="en-US" w:eastAsia="zh-CN" w:bidi="ar-SA"/>
                    </w:rPr>
                  </w:pPr>
                  <w:r>
                    <w:rPr>
                      <w:rFonts w:hint="eastAsia"/>
                      <w:b w:val="0"/>
                      <w:bCs w:val="0"/>
                      <w:sz w:val="21"/>
                      <w:szCs w:val="21"/>
                      <w:u w:val="none" w:color="auto"/>
                      <w:lang w:val="en-US" w:eastAsia="zh-CN"/>
                    </w:rPr>
                    <w:t>20</w:t>
                  </w:r>
                </w:p>
              </w:tc>
              <w:tc>
                <w:tcPr>
                  <w:tcW w:w="977" w:type="dxa"/>
                  <w:tcBorders>
                    <w:top w:val="single" w:color="auto" w:sz="6" w:space="0"/>
                    <w:left w:val="single" w:color="auto" w:sz="6" w:space="0"/>
                    <w:bottom w:val="single" w:color="auto" w:sz="6" w:space="0"/>
                    <w:right w:val="single" w:color="auto" w:sz="2" w:space="0"/>
                  </w:tcBorders>
                  <w:shd w:val="clear" w:color="auto" w:fill="auto"/>
                  <w:noWrap w:val="0"/>
                  <w:vAlign w:val="center"/>
                </w:tcPr>
                <w:p>
                  <w:pPr>
                    <w:widowControl/>
                    <w:jc w:val="center"/>
                    <w:rPr>
                      <w:rFonts w:hint="eastAsia" w:ascii="Times New Roman" w:hAnsi="Times New Roman" w:eastAsia="宋体" w:cs="Times New Roman"/>
                      <w:b w:val="0"/>
                      <w:bCs w:val="0"/>
                      <w:sz w:val="21"/>
                      <w:szCs w:val="21"/>
                      <w:u w:val="none" w:color="auto"/>
                      <w:lang w:val="en-US" w:eastAsia="zh-CN" w:bidi="ar-SA"/>
                    </w:rPr>
                  </w:pPr>
                  <w:r>
                    <w:rPr>
                      <w:rFonts w:hint="eastAsia"/>
                      <w:b w:val="0"/>
                      <w:bCs w:val="0"/>
                      <w:sz w:val="21"/>
                      <w:szCs w:val="21"/>
                      <w:u w:val="none" w:color="auto"/>
                      <w:lang w:val="en-US" w:eastAsia="zh-CN"/>
                    </w:rPr>
                    <w:t>K1+840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423" w:type="dxa"/>
                  <w:vMerge w:val="continue"/>
                  <w:tcBorders>
                    <w:left w:val="single" w:color="auto" w:sz="2" w:space="0"/>
                    <w:bottom w:val="single" w:color="auto" w:sz="6" w:space="0"/>
                    <w:right w:val="single" w:color="auto" w:sz="6" w:space="0"/>
                  </w:tcBorders>
                  <w:shd w:val="clear" w:color="auto" w:fill="auto"/>
                  <w:noWrap w:val="0"/>
                  <w:vAlign w:val="center"/>
                </w:tcPr>
                <w:p>
                  <w:pPr>
                    <w:snapToGrid w:val="0"/>
                    <w:spacing w:line="240" w:lineRule="auto"/>
                    <w:jc w:val="center"/>
                    <w:rPr>
                      <w:rFonts w:hint="default" w:eastAsia="宋体"/>
                      <w:b w:val="0"/>
                      <w:bCs w:val="0"/>
                      <w:kern w:val="0"/>
                      <w:sz w:val="21"/>
                      <w:szCs w:val="21"/>
                      <w:highlight w:val="none"/>
                      <w:u w:val="none" w:color="auto"/>
                      <w:lang w:val="en-US" w:eastAsia="zh-CN"/>
                    </w:rPr>
                  </w:pPr>
                </w:p>
              </w:tc>
              <w:tc>
                <w:tcPr>
                  <w:tcW w:w="871" w:type="dxa"/>
                  <w:tcBorders>
                    <w:top w:val="single" w:color="auto" w:sz="6" w:space="0"/>
                    <w:left w:val="single" w:color="auto" w:sz="2" w:space="0"/>
                    <w:bottom w:val="single" w:color="auto" w:sz="6" w:space="0"/>
                    <w:right w:val="single" w:color="auto" w:sz="6" w:space="0"/>
                  </w:tcBorders>
                  <w:shd w:val="clear" w:color="auto" w:fill="auto"/>
                  <w:noWrap w:val="0"/>
                  <w:vAlign w:val="center"/>
                </w:tcPr>
                <w:p>
                  <w:pPr>
                    <w:snapToGrid w:val="0"/>
                    <w:spacing w:line="240" w:lineRule="auto"/>
                    <w:jc w:val="center"/>
                    <w:rPr>
                      <w:rFonts w:hint="default" w:ascii="Times New Roman" w:hAnsi="Times New Roman" w:eastAsia="宋体" w:cs="Times New Roman"/>
                      <w:b w:val="0"/>
                      <w:bCs w:val="0"/>
                      <w:kern w:val="0"/>
                      <w:sz w:val="21"/>
                      <w:szCs w:val="21"/>
                      <w:highlight w:val="none"/>
                      <w:u w:val="none" w:color="auto"/>
                      <w:lang w:val="en-US" w:eastAsia="zh-CN" w:bidi="ar-SA"/>
                    </w:rPr>
                  </w:pPr>
                  <w:r>
                    <w:rPr>
                      <w:rFonts w:hint="default" w:eastAsia="宋体"/>
                      <w:b w:val="0"/>
                      <w:bCs w:val="0"/>
                      <w:kern w:val="0"/>
                      <w:sz w:val="21"/>
                      <w:szCs w:val="21"/>
                      <w:highlight w:val="none"/>
                      <w:u w:val="none" w:color="auto"/>
                      <w:lang w:val="en-US" w:eastAsia="zh-CN"/>
                    </w:rPr>
                    <w:t>萍阳北路居民点</w:t>
                  </w:r>
                </w:p>
              </w:tc>
              <w:tc>
                <w:tcPr>
                  <w:tcW w:w="1163"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bidi w:val="0"/>
                    <w:spacing w:line="240" w:lineRule="auto"/>
                    <w:jc w:val="center"/>
                    <w:rPr>
                      <w:rFonts w:hint="eastAsia" w:ascii="Times New Roman" w:hAnsi="Times New Roman" w:eastAsia="宋体" w:cs="Times New Roman"/>
                      <w:b w:val="0"/>
                      <w:bCs w:val="0"/>
                      <w:sz w:val="21"/>
                      <w:szCs w:val="21"/>
                      <w:u w:val="none" w:color="auto"/>
                      <w:lang w:val="en-US" w:eastAsia="zh-CN" w:bidi="ar-SA"/>
                    </w:rPr>
                  </w:pPr>
                  <w:r>
                    <w:rPr>
                      <w:rFonts w:hint="eastAsia"/>
                      <w:b w:val="0"/>
                      <w:bCs w:val="0"/>
                      <w:sz w:val="21"/>
                      <w:szCs w:val="21"/>
                      <w:u w:val="none" w:color="auto"/>
                    </w:rPr>
                    <w:t>111.60968900</w:t>
                  </w:r>
                </w:p>
              </w:tc>
              <w:tc>
                <w:tcPr>
                  <w:tcW w:w="1166"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bidi w:val="0"/>
                    <w:spacing w:line="240" w:lineRule="auto"/>
                    <w:jc w:val="center"/>
                    <w:rPr>
                      <w:rFonts w:hint="eastAsia" w:ascii="Times New Roman" w:hAnsi="Times New Roman" w:eastAsia="宋体" w:cs="Times New Roman"/>
                      <w:b w:val="0"/>
                      <w:bCs w:val="0"/>
                      <w:sz w:val="21"/>
                      <w:szCs w:val="21"/>
                      <w:u w:val="none" w:color="auto"/>
                      <w:lang w:val="en-US" w:eastAsia="zh-CN" w:bidi="ar-SA"/>
                    </w:rPr>
                  </w:pPr>
                  <w:r>
                    <w:rPr>
                      <w:rFonts w:hint="eastAsia"/>
                      <w:b w:val="0"/>
                      <w:bCs w:val="0"/>
                      <w:sz w:val="21"/>
                      <w:szCs w:val="21"/>
                      <w:u w:val="none" w:color="auto"/>
                    </w:rPr>
                    <w:t>26.24119240</w:t>
                  </w:r>
                </w:p>
              </w:tc>
              <w:tc>
                <w:tcPr>
                  <w:tcW w:w="647"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bidi="ar-SA"/>
                    </w:rPr>
                  </w:pPr>
                  <w:r>
                    <w:rPr>
                      <w:rFonts w:hint="eastAsia" w:eastAsia="宋体"/>
                      <w:b w:val="0"/>
                      <w:bCs w:val="0"/>
                      <w:sz w:val="21"/>
                      <w:szCs w:val="21"/>
                      <w:u w:val="none" w:color="auto"/>
                      <w:lang w:val="en-US" w:eastAsia="zh-CN"/>
                    </w:rPr>
                    <w:t>居民</w:t>
                  </w:r>
                </w:p>
              </w:tc>
              <w:tc>
                <w:tcPr>
                  <w:tcW w:w="647"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5户，约15人</w:t>
                  </w:r>
                </w:p>
              </w:tc>
              <w:tc>
                <w:tcPr>
                  <w:tcW w:w="437"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hint="default" w:ascii="Times New Roman" w:hAnsi="Times New Roman" w:eastAsia="宋体" w:cs="Times New Roman"/>
                      <w:b w:val="0"/>
                      <w:bCs w:val="0"/>
                      <w:sz w:val="21"/>
                      <w:szCs w:val="21"/>
                      <w:u w:val="none" w:color="auto"/>
                      <w:lang w:val="en-US" w:eastAsia="zh-CN" w:bidi="ar-SA"/>
                    </w:rPr>
                  </w:pPr>
                  <w:r>
                    <w:rPr>
                      <w:b w:val="0"/>
                      <w:bCs w:val="0"/>
                      <w:sz w:val="21"/>
                      <w:szCs w:val="21"/>
                      <w:u w:val="none" w:color="auto"/>
                    </w:rPr>
                    <w:t>二类区</w:t>
                  </w:r>
                </w:p>
              </w:tc>
              <w:tc>
                <w:tcPr>
                  <w:tcW w:w="542"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hint="default" w:ascii="Times New Roman" w:hAnsi="Times New Roman" w:eastAsia="宋体" w:cs="Times New Roman"/>
                      <w:b w:val="0"/>
                      <w:bCs w:val="0"/>
                      <w:sz w:val="21"/>
                      <w:szCs w:val="21"/>
                      <w:u w:val="none" w:color="auto"/>
                      <w:lang w:val="en-US" w:eastAsia="zh-CN" w:bidi="ar-SA"/>
                    </w:rPr>
                  </w:pPr>
                  <w:r>
                    <w:rPr>
                      <w:rFonts w:hint="eastAsia"/>
                      <w:b w:val="0"/>
                      <w:bCs w:val="0"/>
                      <w:sz w:val="21"/>
                      <w:szCs w:val="21"/>
                      <w:u w:val="none" w:color="auto"/>
                      <w:lang w:val="en-US" w:eastAsia="zh-CN"/>
                    </w:rPr>
                    <w:t>EN</w:t>
                  </w:r>
                </w:p>
              </w:tc>
              <w:tc>
                <w:tcPr>
                  <w:tcW w:w="841" w:type="dxa"/>
                  <w:tcBorders>
                    <w:top w:val="single" w:color="auto" w:sz="6" w:space="0"/>
                    <w:left w:val="single" w:color="auto" w:sz="6" w:space="0"/>
                    <w:bottom w:val="single" w:color="auto" w:sz="6" w:space="0"/>
                    <w:right w:val="single" w:color="auto" w:sz="2" w:space="0"/>
                  </w:tcBorders>
                  <w:shd w:val="clear" w:color="auto" w:fill="auto"/>
                  <w:noWrap w:val="0"/>
                  <w:vAlign w:val="center"/>
                </w:tcPr>
                <w:p>
                  <w:pPr>
                    <w:widowControl/>
                    <w:jc w:val="center"/>
                    <w:rPr>
                      <w:rFonts w:hint="default" w:ascii="Times New Roman" w:hAnsi="Times New Roman" w:eastAsia="宋体" w:cs="Times New Roman"/>
                      <w:b w:val="0"/>
                      <w:bCs w:val="0"/>
                      <w:sz w:val="21"/>
                      <w:szCs w:val="21"/>
                      <w:u w:val="none" w:color="auto"/>
                      <w:lang w:val="en-US" w:eastAsia="zh-CN" w:bidi="ar-SA"/>
                    </w:rPr>
                  </w:pPr>
                  <w:r>
                    <w:rPr>
                      <w:rFonts w:hint="eastAsia"/>
                      <w:b w:val="0"/>
                      <w:bCs w:val="0"/>
                      <w:sz w:val="21"/>
                      <w:szCs w:val="21"/>
                      <w:u w:val="none" w:color="auto"/>
                      <w:lang w:val="en-US" w:eastAsia="zh-CN"/>
                    </w:rPr>
                    <w:t>110</w:t>
                  </w:r>
                </w:p>
              </w:tc>
              <w:tc>
                <w:tcPr>
                  <w:tcW w:w="977" w:type="dxa"/>
                  <w:tcBorders>
                    <w:top w:val="single" w:color="auto" w:sz="6" w:space="0"/>
                    <w:left w:val="single" w:color="auto" w:sz="6" w:space="0"/>
                    <w:bottom w:val="single" w:color="auto" w:sz="6" w:space="0"/>
                    <w:right w:val="single" w:color="auto" w:sz="2" w:space="0"/>
                  </w:tcBorders>
                  <w:shd w:val="clear" w:color="auto" w:fill="auto"/>
                  <w:noWrap w:val="0"/>
                  <w:vAlign w:val="center"/>
                </w:tcPr>
                <w:p>
                  <w:pPr>
                    <w:widowControl/>
                    <w:jc w:val="center"/>
                    <w:rPr>
                      <w:rFonts w:hint="eastAsia" w:ascii="Times New Roman" w:hAnsi="Times New Roman" w:eastAsia="宋体" w:cs="Times New Roman"/>
                      <w:b w:val="0"/>
                      <w:bCs w:val="0"/>
                      <w:sz w:val="21"/>
                      <w:szCs w:val="21"/>
                      <w:u w:val="none" w:color="auto"/>
                      <w:lang w:val="en-US" w:eastAsia="zh-CN" w:bidi="ar-SA"/>
                    </w:rPr>
                  </w:pPr>
                  <w:r>
                    <w:rPr>
                      <w:rFonts w:hint="eastAsia"/>
                      <w:b w:val="0"/>
                      <w:bCs w:val="0"/>
                      <w:sz w:val="21"/>
                      <w:szCs w:val="21"/>
                      <w:u w:val="none" w:color="auto"/>
                      <w:lang w:val="en-US" w:eastAsia="zh-CN"/>
                    </w:rPr>
                    <w:t>K1+480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423" w:type="dxa"/>
                  <w:vMerge w:val="restart"/>
                  <w:tcBorders>
                    <w:top w:val="single" w:color="auto" w:sz="6" w:space="0"/>
                    <w:left w:val="single" w:color="auto" w:sz="2" w:space="0"/>
                    <w:right w:val="single" w:color="auto" w:sz="6" w:space="0"/>
                  </w:tcBorders>
                  <w:noWrap w:val="0"/>
                  <w:vAlign w:val="center"/>
                </w:tcPr>
                <w:p>
                  <w:pPr>
                    <w:snapToGrid w:val="0"/>
                    <w:spacing w:line="240" w:lineRule="auto"/>
                    <w:jc w:val="center"/>
                    <w:rPr>
                      <w:rFonts w:hint="default" w:eastAsia="宋体"/>
                      <w:b w:val="0"/>
                      <w:bCs w:val="0"/>
                      <w:kern w:val="0"/>
                      <w:sz w:val="21"/>
                      <w:szCs w:val="21"/>
                      <w:highlight w:val="none"/>
                      <w:u w:val="none" w:color="auto"/>
                      <w:lang w:val="en-US" w:eastAsia="zh-CN"/>
                    </w:rPr>
                  </w:pPr>
                  <w:r>
                    <w:rPr>
                      <w:rFonts w:hint="eastAsia" w:ascii="Times New Roman" w:hAnsi="Times New Roman" w:eastAsia="宋体" w:cs="Times New Roman"/>
                      <w:color w:val="000000"/>
                      <w:sz w:val="21"/>
                      <w:szCs w:val="21"/>
                      <w:highlight w:val="none"/>
                      <w:lang w:eastAsia="zh-CN"/>
                    </w:rPr>
                    <w:t>萍阳北路延伸段</w:t>
                  </w:r>
                </w:p>
              </w:tc>
              <w:tc>
                <w:tcPr>
                  <w:tcW w:w="871" w:type="dxa"/>
                  <w:tcBorders>
                    <w:top w:val="single" w:color="auto" w:sz="6" w:space="0"/>
                    <w:left w:val="single" w:color="auto" w:sz="2" w:space="0"/>
                    <w:bottom w:val="single" w:color="auto" w:sz="6" w:space="0"/>
                    <w:right w:val="single" w:color="auto" w:sz="6" w:space="0"/>
                  </w:tcBorders>
                  <w:noWrap w:val="0"/>
                  <w:vAlign w:val="center"/>
                </w:tcPr>
                <w:p>
                  <w:pPr>
                    <w:snapToGrid w:val="0"/>
                    <w:spacing w:line="240" w:lineRule="auto"/>
                    <w:jc w:val="center"/>
                    <w:rPr>
                      <w:rFonts w:hint="default" w:eastAsia="宋体"/>
                      <w:b w:val="0"/>
                      <w:bCs w:val="0"/>
                      <w:kern w:val="0"/>
                      <w:sz w:val="21"/>
                      <w:szCs w:val="21"/>
                      <w:highlight w:val="none"/>
                      <w:u w:val="none" w:color="auto"/>
                      <w:lang w:val="en-US" w:eastAsia="zh-CN"/>
                    </w:rPr>
                  </w:pPr>
                  <w:r>
                    <w:rPr>
                      <w:rFonts w:hint="default" w:eastAsia="宋体"/>
                      <w:b w:val="0"/>
                      <w:bCs w:val="0"/>
                      <w:kern w:val="0"/>
                      <w:sz w:val="21"/>
                      <w:szCs w:val="21"/>
                      <w:highlight w:val="none"/>
                      <w:u w:val="none" w:color="auto"/>
                      <w:lang w:val="en-US" w:eastAsia="zh-CN"/>
                    </w:rPr>
                    <w:t>原化工集团宿舍</w:t>
                  </w:r>
                </w:p>
              </w:tc>
              <w:tc>
                <w:tcPr>
                  <w:tcW w:w="1163"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eastAsia"/>
                      <w:b w:val="0"/>
                      <w:bCs w:val="0"/>
                      <w:sz w:val="21"/>
                      <w:szCs w:val="21"/>
                      <w:u w:val="none" w:color="auto"/>
                    </w:rPr>
                  </w:pPr>
                  <w:r>
                    <w:rPr>
                      <w:rFonts w:hint="eastAsia"/>
                      <w:b w:val="0"/>
                      <w:bCs w:val="0"/>
                      <w:sz w:val="21"/>
                      <w:szCs w:val="21"/>
                      <w:u w:val="none" w:color="auto"/>
                    </w:rPr>
                    <w:t>111.61110520</w:t>
                  </w:r>
                </w:p>
              </w:tc>
              <w:tc>
                <w:tcPr>
                  <w:tcW w:w="1166"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eastAsia"/>
                      <w:b w:val="0"/>
                      <w:bCs w:val="0"/>
                      <w:sz w:val="21"/>
                      <w:szCs w:val="21"/>
                      <w:u w:val="none" w:color="auto"/>
                    </w:rPr>
                  </w:pPr>
                  <w:r>
                    <w:rPr>
                      <w:rFonts w:hint="eastAsia"/>
                      <w:b w:val="0"/>
                      <w:bCs w:val="0"/>
                      <w:sz w:val="21"/>
                      <w:szCs w:val="21"/>
                      <w:u w:val="none" w:color="auto"/>
                    </w:rPr>
                    <w:t>26.23825249</w:t>
                  </w:r>
                </w:p>
              </w:tc>
              <w:tc>
                <w:tcPr>
                  <w:tcW w:w="647"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bidi="ar-SA"/>
                    </w:rPr>
                  </w:pPr>
                  <w:r>
                    <w:rPr>
                      <w:rFonts w:hint="default" w:ascii="Times New Roman" w:hAnsi="Times New Roman" w:cs="Times New Roman"/>
                      <w:color w:val="auto"/>
                      <w:sz w:val="21"/>
                      <w:szCs w:val="21"/>
                      <w:u w:val="none" w:color="auto"/>
                    </w:rPr>
                    <w:t>居民</w:t>
                  </w:r>
                </w:p>
              </w:tc>
              <w:tc>
                <w:tcPr>
                  <w:tcW w:w="647"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17户，</w:t>
                  </w:r>
                  <w:r>
                    <w:rPr>
                      <w:rFonts w:hint="default" w:ascii="Times New Roman" w:hAnsi="Times New Roman" w:cs="Times New Roman"/>
                      <w:color w:val="auto"/>
                      <w:sz w:val="21"/>
                      <w:szCs w:val="21"/>
                      <w:u w:val="none" w:color="auto"/>
                      <w:lang w:val="en-US" w:eastAsia="zh-CN"/>
                    </w:rPr>
                    <w:t>约</w:t>
                  </w:r>
                  <w:r>
                    <w:rPr>
                      <w:rFonts w:hint="eastAsia" w:cs="Times New Roman"/>
                      <w:color w:val="auto"/>
                      <w:sz w:val="21"/>
                      <w:szCs w:val="21"/>
                      <w:u w:val="none" w:color="auto"/>
                      <w:lang w:val="en-US" w:eastAsia="zh-CN"/>
                    </w:rPr>
                    <w:t>50</w:t>
                  </w:r>
                  <w:r>
                    <w:rPr>
                      <w:rFonts w:hint="default" w:ascii="Times New Roman" w:hAnsi="Times New Roman" w:cs="Times New Roman"/>
                      <w:color w:val="auto"/>
                      <w:sz w:val="21"/>
                      <w:szCs w:val="21"/>
                      <w:u w:val="none" w:color="auto"/>
                      <w:lang w:val="en-US" w:eastAsia="zh-CN"/>
                    </w:rPr>
                    <w:t>人</w:t>
                  </w:r>
                </w:p>
              </w:tc>
              <w:tc>
                <w:tcPr>
                  <w:tcW w:w="437"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widowControl/>
                    <w:jc w:val="center"/>
                    <w:rPr>
                      <w:rFonts w:hint="default" w:ascii="Times New Roman" w:hAnsi="Times New Roman" w:eastAsia="宋体" w:cs="Times New Roman"/>
                      <w:b w:val="0"/>
                      <w:bCs w:val="0"/>
                      <w:sz w:val="21"/>
                      <w:szCs w:val="21"/>
                      <w:u w:val="none" w:color="auto"/>
                      <w:lang w:val="en-US" w:eastAsia="zh-CN" w:bidi="ar-SA"/>
                    </w:rPr>
                  </w:pPr>
                  <w:r>
                    <w:rPr>
                      <w:b w:val="0"/>
                      <w:bCs w:val="0"/>
                      <w:sz w:val="21"/>
                      <w:szCs w:val="21"/>
                      <w:u w:val="none" w:color="auto"/>
                    </w:rPr>
                    <w:t>二类区</w:t>
                  </w:r>
                </w:p>
              </w:tc>
              <w:tc>
                <w:tcPr>
                  <w:tcW w:w="54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b w:val="0"/>
                      <w:bCs w:val="0"/>
                      <w:sz w:val="21"/>
                      <w:szCs w:val="21"/>
                      <w:u w:val="none" w:color="auto"/>
                      <w:lang w:val="en-US" w:eastAsia="zh-CN"/>
                    </w:rPr>
                  </w:pPr>
                  <w:r>
                    <w:rPr>
                      <w:rFonts w:hint="eastAsia"/>
                      <w:b w:val="0"/>
                      <w:bCs w:val="0"/>
                      <w:sz w:val="21"/>
                      <w:szCs w:val="21"/>
                      <w:u w:val="none" w:color="auto"/>
                      <w:lang w:val="en-US" w:eastAsia="zh-CN"/>
                    </w:rPr>
                    <w:t>W</w:t>
                  </w:r>
                </w:p>
              </w:tc>
              <w:tc>
                <w:tcPr>
                  <w:tcW w:w="841" w:type="dxa"/>
                  <w:tcBorders>
                    <w:top w:val="single" w:color="auto" w:sz="6" w:space="0"/>
                    <w:left w:val="single" w:color="auto" w:sz="6" w:space="0"/>
                    <w:bottom w:val="single" w:color="auto" w:sz="6" w:space="0"/>
                    <w:right w:val="single" w:color="auto" w:sz="2" w:space="0"/>
                  </w:tcBorders>
                  <w:noWrap w:val="0"/>
                  <w:vAlign w:val="center"/>
                </w:tcPr>
                <w:p>
                  <w:pPr>
                    <w:widowControl/>
                    <w:jc w:val="center"/>
                    <w:rPr>
                      <w:rFonts w:hint="default"/>
                      <w:b w:val="0"/>
                      <w:bCs w:val="0"/>
                      <w:sz w:val="21"/>
                      <w:szCs w:val="21"/>
                      <w:u w:val="none" w:color="auto"/>
                      <w:lang w:val="en-US" w:eastAsia="zh-CN"/>
                    </w:rPr>
                  </w:pPr>
                  <w:r>
                    <w:rPr>
                      <w:rFonts w:hint="eastAsia"/>
                      <w:b w:val="0"/>
                      <w:bCs w:val="0"/>
                      <w:sz w:val="21"/>
                      <w:szCs w:val="21"/>
                      <w:u w:val="none" w:color="auto"/>
                      <w:lang w:val="en-US" w:eastAsia="zh-CN"/>
                    </w:rPr>
                    <w:t>83</w:t>
                  </w:r>
                </w:p>
              </w:tc>
              <w:tc>
                <w:tcPr>
                  <w:tcW w:w="977" w:type="dxa"/>
                  <w:tcBorders>
                    <w:top w:val="single" w:color="auto" w:sz="6" w:space="0"/>
                    <w:left w:val="single" w:color="auto" w:sz="6" w:space="0"/>
                    <w:bottom w:val="single" w:color="auto" w:sz="6" w:space="0"/>
                    <w:right w:val="single" w:color="auto" w:sz="2" w:space="0"/>
                  </w:tcBorders>
                  <w:noWrap w:val="0"/>
                  <w:vAlign w:val="center"/>
                </w:tcPr>
                <w:p>
                  <w:pPr>
                    <w:widowControl/>
                    <w:jc w:val="center"/>
                    <w:rPr>
                      <w:rFonts w:hint="default"/>
                      <w:b w:val="0"/>
                      <w:bCs w:val="0"/>
                      <w:sz w:val="21"/>
                      <w:szCs w:val="21"/>
                      <w:u w:val="none" w:color="auto"/>
                      <w:lang w:val="en-US" w:eastAsia="zh-CN"/>
                    </w:rPr>
                  </w:pPr>
                  <w:r>
                    <w:rPr>
                      <w:rFonts w:hint="eastAsia"/>
                      <w:b w:val="0"/>
                      <w:bCs w:val="0"/>
                      <w:sz w:val="21"/>
                      <w:szCs w:val="21"/>
                      <w:u w:val="none" w:color="auto"/>
                      <w:lang w:val="en-US" w:eastAsia="zh-CN"/>
                    </w:rPr>
                    <w:t>K0+560-K0+640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423" w:type="dxa"/>
                  <w:vMerge w:val="continue"/>
                  <w:tcBorders>
                    <w:left w:val="single" w:color="auto" w:sz="2" w:space="0"/>
                    <w:right w:val="single" w:color="auto" w:sz="6" w:space="0"/>
                  </w:tcBorders>
                  <w:noWrap w:val="0"/>
                  <w:vAlign w:val="center"/>
                </w:tcPr>
                <w:p>
                  <w:pPr>
                    <w:snapToGrid w:val="0"/>
                    <w:spacing w:line="240" w:lineRule="auto"/>
                    <w:jc w:val="center"/>
                    <w:rPr>
                      <w:rFonts w:hint="default" w:eastAsia="宋体"/>
                      <w:b w:val="0"/>
                      <w:bCs w:val="0"/>
                      <w:kern w:val="0"/>
                      <w:sz w:val="21"/>
                      <w:szCs w:val="21"/>
                      <w:highlight w:val="none"/>
                      <w:u w:val="none" w:color="auto"/>
                      <w:lang w:val="en-US" w:eastAsia="zh-CN"/>
                    </w:rPr>
                  </w:pPr>
                </w:p>
              </w:tc>
              <w:tc>
                <w:tcPr>
                  <w:tcW w:w="871" w:type="dxa"/>
                  <w:tcBorders>
                    <w:top w:val="single" w:color="auto" w:sz="6" w:space="0"/>
                    <w:left w:val="single" w:color="auto" w:sz="2" w:space="0"/>
                    <w:bottom w:val="single" w:color="auto" w:sz="6" w:space="0"/>
                    <w:right w:val="single" w:color="auto" w:sz="6" w:space="0"/>
                  </w:tcBorders>
                  <w:noWrap w:val="0"/>
                  <w:vAlign w:val="center"/>
                </w:tcPr>
                <w:p>
                  <w:pPr>
                    <w:snapToGrid w:val="0"/>
                    <w:spacing w:line="240" w:lineRule="auto"/>
                    <w:jc w:val="center"/>
                    <w:rPr>
                      <w:rFonts w:hint="default" w:eastAsia="宋体"/>
                      <w:b w:val="0"/>
                      <w:bCs w:val="0"/>
                      <w:kern w:val="0"/>
                      <w:sz w:val="21"/>
                      <w:szCs w:val="21"/>
                      <w:highlight w:val="none"/>
                      <w:u w:val="none" w:color="auto"/>
                      <w:lang w:val="en-US" w:eastAsia="zh-CN"/>
                    </w:rPr>
                  </w:pPr>
                  <w:r>
                    <w:rPr>
                      <w:rFonts w:hint="default" w:eastAsia="宋体"/>
                      <w:b w:val="0"/>
                      <w:bCs w:val="0"/>
                      <w:kern w:val="0"/>
                      <w:sz w:val="21"/>
                      <w:szCs w:val="21"/>
                      <w:highlight w:val="none"/>
                      <w:u w:val="none" w:color="auto"/>
                      <w:lang w:val="en-US" w:eastAsia="zh-CN"/>
                    </w:rPr>
                    <w:t>君诚学校</w:t>
                  </w:r>
                </w:p>
              </w:tc>
              <w:tc>
                <w:tcPr>
                  <w:tcW w:w="1163"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eastAsia"/>
                      <w:b w:val="0"/>
                      <w:bCs w:val="0"/>
                      <w:sz w:val="21"/>
                      <w:szCs w:val="21"/>
                      <w:u w:val="none" w:color="auto"/>
                    </w:rPr>
                  </w:pPr>
                  <w:r>
                    <w:rPr>
                      <w:rFonts w:hint="eastAsia"/>
                    </w:rPr>
                    <w:t>111.61017179</w:t>
                  </w:r>
                </w:p>
              </w:tc>
              <w:tc>
                <w:tcPr>
                  <w:tcW w:w="1166"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eastAsia"/>
                      <w:b w:val="0"/>
                      <w:bCs w:val="0"/>
                      <w:sz w:val="21"/>
                      <w:szCs w:val="21"/>
                      <w:u w:val="none" w:color="auto"/>
                    </w:rPr>
                  </w:pPr>
                  <w:r>
                    <w:rPr>
                      <w:rFonts w:hint="eastAsia"/>
                      <w:b w:val="0"/>
                      <w:bCs w:val="0"/>
                      <w:sz w:val="21"/>
                      <w:szCs w:val="21"/>
                      <w:u w:val="none" w:color="auto"/>
                    </w:rPr>
                    <w:t>26.23959495</w:t>
                  </w:r>
                </w:p>
              </w:tc>
              <w:tc>
                <w:tcPr>
                  <w:tcW w:w="647"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学校</w:t>
                  </w:r>
                </w:p>
              </w:tc>
              <w:tc>
                <w:tcPr>
                  <w:tcW w:w="64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师生约600人</w:t>
                  </w:r>
                </w:p>
              </w:tc>
              <w:tc>
                <w:tcPr>
                  <w:tcW w:w="437"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b w:val="0"/>
                      <w:bCs w:val="0"/>
                      <w:sz w:val="21"/>
                      <w:szCs w:val="21"/>
                      <w:u w:val="none" w:color="auto"/>
                    </w:rPr>
                  </w:pPr>
                  <w:r>
                    <w:rPr>
                      <w:b w:val="0"/>
                      <w:bCs w:val="0"/>
                      <w:sz w:val="21"/>
                      <w:szCs w:val="21"/>
                      <w:u w:val="none" w:color="auto"/>
                    </w:rPr>
                    <w:t>二类区</w:t>
                  </w:r>
                </w:p>
              </w:tc>
              <w:tc>
                <w:tcPr>
                  <w:tcW w:w="54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b w:val="0"/>
                      <w:bCs w:val="0"/>
                      <w:sz w:val="21"/>
                      <w:szCs w:val="21"/>
                      <w:u w:val="none" w:color="auto"/>
                      <w:lang w:val="en-US" w:eastAsia="zh-CN"/>
                    </w:rPr>
                  </w:pPr>
                  <w:r>
                    <w:rPr>
                      <w:rFonts w:hint="eastAsia"/>
                      <w:b w:val="0"/>
                      <w:bCs w:val="0"/>
                      <w:sz w:val="21"/>
                      <w:szCs w:val="21"/>
                      <w:u w:val="none" w:color="auto"/>
                      <w:lang w:val="en-US" w:eastAsia="zh-CN"/>
                    </w:rPr>
                    <w:t>W</w:t>
                  </w:r>
                </w:p>
              </w:tc>
              <w:tc>
                <w:tcPr>
                  <w:tcW w:w="841" w:type="dxa"/>
                  <w:tcBorders>
                    <w:top w:val="single" w:color="auto" w:sz="6" w:space="0"/>
                    <w:left w:val="single" w:color="auto" w:sz="6" w:space="0"/>
                    <w:bottom w:val="single" w:color="auto" w:sz="6" w:space="0"/>
                    <w:right w:val="single" w:color="auto" w:sz="2" w:space="0"/>
                  </w:tcBorders>
                  <w:noWrap w:val="0"/>
                  <w:vAlign w:val="center"/>
                </w:tcPr>
                <w:p>
                  <w:pPr>
                    <w:widowControl/>
                    <w:jc w:val="center"/>
                    <w:rPr>
                      <w:rFonts w:hint="default"/>
                      <w:b w:val="0"/>
                      <w:bCs w:val="0"/>
                      <w:sz w:val="21"/>
                      <w:szCs w:val="21"/>
                      <w:u w:val="none" w:color="auto"/>
                      <w:lang w:val="en-US" w:eastAsia="zh-CN"/>
                    </w:rPr>
                  </w:pPr>
                  <w:r>
                    <w:rPr>
                      <w:rFonts w:hint="eastAsia"/>
                      <w:b w:val="0"/>
                      <w:bCs w:val="0"/>
                      <w:sz w:val="21"/>
                      <w:szCs w:val="21"/>
                      <w:u w:val="none" w:color="auto"/>
                      <w:lang w:val="en-US" w:eastAsia="zh-CN"/>
                    </w:rPr>
                    <w:t>144</w:t>
                  </w:r>
                </w:p>
              </w:tc>
              <w:tc>
                <w:tcPr>
                  <w:tcW w:w="977" w:type="dxa"/>
                  <w:tcBorders>
                    <w:top w:val="single" w:color="auto" w:sz="6" w:space="0"/>
                    <w:left w:val="single" w:color="auto" w:sz="6" w:space="0"/>
                    <w:bottom w:val="single" w:color="auto" w:sz="6" w:space="0"/>
                    <w:right w:val="single" w:color="auto" w:sz="2" w:space="0"/>
                  </w:tcBorders>
                  <w:noWrap w:val="0"/>
                  <w:vAlign w:val="center"/>
                </w:tcPr>
                <w:p>
                  <w:pPr>
                    <w:widowControl/>
                    <w:jc w:val="center"/>
                    <w:rPr>
                      <w:rFonts w:hint="eastAsia"/>
                      <w:b w:val="0"/>
                      <w:bCs w:val="0"/>
                      <w:sz w:val="21"/>
                      <w:szCs w:val="21"/>
                      <w:u w:val="none" w:color="auto"/>
                      <w:lang w:val="en-US" w:eastAsia="zh-CN"/>
                    </w:rPr>
                  </w:pPr>
                  <w:r>
                    <w:rPr>
                      <w:rFonts w:hint="eastAsia"/>
                      <w:b w:val="0"/>
                      <w:bCs w:val="0"/>
                      <w:sz w:val="21"/>
                      <w:szCs w:val="21"/>
                      <w:u w:val="none" w:color="auto"/>
                      <w:lang w:val="en-US" w:eastAsia="zh-CN"/>
                    </w:rPr>
                    <w:t>K0+640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423" w:type="dxa"/>
                  <w:vMerge w:val="continue"/>
                  <w:tcBorders>
                    <w:left w:val="single" w:color="auto" w:sz="2" w:space="0"/>
                    <w:bottom w:val="single" w:color="auto" w:sz="6" w:space="0"/>
                    <w:right w:val="single" w:color="auto" w:sz="6" w:space="0"/>
                  </w:tcBorders>
                  <w:noWrap w:val="0"/>
                  <w:vAlign w:val="center"/>
                </w:tcPr>
                <w:p>
                  <w:pPr>
                    <w:snapToGrid w:val="0"/>
                    <w:spacing w:line="240" w:lineRule="auto"/>
                    <w:jc w:val="center"/>
                    <w:rPr>
                      <w:rFonts w:hint="default"/>
                      <w:highlight w:val="none"/>
                      <w:lang w:val="en-US" w:eastAsia="zh-CN"/>
                    </w:rPr>
                  </w:pPr>
                </w:p>
              </w:tc>
              <w:tc>
                <w:tcPr>
                  <w:tcW w:w="871" w:type="dxa"/>
                  <w:tcBorders>
                    <w:top w:val="single" w:color="auto" w:sz="6" w:space="0"/>
                    <w:left w:val="single" w:color="auto" w:sz="2" w:space="0"/>
                    <w:bottom w:val="single" w:color="auto" w:sz="6" w:space="0"/>
                    <w:right w:val="single" w:color="auto" w:sz="6" w:space="0"/>
                  </w:tcBorders>
                  <w:noWrap w:val="0"/>
                  <w:vAlign w:val="center"/>
                </w:tcPr>
                <w:p>
                  <w:pPr>
                    <w:snapToGrid w:val="0"/>
                    <w:spacing w:line="240" w:lineRule="auto"/>
                    <w:jc w:val="center"/>
                    <w:rPr>
                      <w:rFonts w:hint="default" w:eastAsia="宋体"/>
                      <w:b w:val="0"/>
                      <w:bCs w:val="0"/>
                      <w:kern w:val="0"/>
                      <w:sz w:val="21"/>
                      <w:szCs w:val="21"/>
                      <w:highlight w:val="none"/>
                      <w:u w:val="none" w:color="auto"/>
                      <w:lang w:val="en-US" w:eastAsia="zh-CN"/>
                    </w:rPr>
                  </w:pPr>
                  <w:r>
                    <w:rPr>
                      <w:rFonts w:hint="default"/>
                      <w:highlight w:val="none"/>
                      <w:lang w:val="en-US" w:eastAsia="zh-CN"/>
                    </w:rPr>
                    <w:t>老渡口社区居民委员会及居民委员会旁居民</w:t>
                  </w:r>
                </w:p>
              </w:tc>
              <w:tc>
                <w:tcPr>
                  <w:tcW w:w="1163"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eastAsia"/>
                    </w:rPr>
                  </w:pPr>
                  <w:r>
                    <w:rPr>
                      <w:rFonts w:hint="eastAsia"/>
                    </w:rPr>
                    <w:t>111.61381960</w:t>
                  </w:r>
                </w:p>
              </w:tc>
              <w:tc>
                <w:tcPr>
                  <w:tcW w:w="1166"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eastAsia"/>
                      <w:b w:val="0"/>
                      <w:bCs w:val="0"/>
                      <w:sz w:val="21"/>
                      <w:szCs w:val="21"/>
                      <w:u w:val="none" w:color="auto"/>
                    </w:rPr>
                  </w:pPr>
                  <w:r>
                    <w:rPr>
                      <w:rFonts w:hint="eastAsia"/>
                      <w:b w:val="0"/>
                      <w:bCs w:val="0"/>
                      <w:sz w:val="21"/>
                      <w:szCs w:val="21"/>
                      <w:u w:val="none" w:color="auto"/>
                    </w:rPr>
                    <w:t>26.23407106</w:t>
                  </w:r>
                </w:p>
              </w:tc>
              <w:tc>
                <w:tcPr>
                  <w:tcW w:w="647"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政府机构</w:t>
                  </w:r>
                  <w:r>
                    <w:rPr>
                      <w:rFonts w:hint="eastAsia" w:cs="Times New Roman"/>
                      <w:color w:val="auto"/>
                      <w:sz w:val="21"/>
                      <w:szCs w:val="21"/>
                      <w:u w:val="none" w:color="auto"/>
                      <w:lang w:val="en-US" w:eastAsia="zh-CN"/>
                    </w:rPr>
                    <w:t>、居民</w:t>
                  </w:r>
                </w:p>
              </w:tc>
              <w:tc>
                <w:tcPr>
                  <w:tcW w:w="647"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约200人</w:t>
                  </w:r>
                </w:p>
              </w:tc>
              <w:tc>
                <w:tcPr>
                  <w:tcW w:w="437"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eastAsia="宋体"/>
                      <w:b w:val="0"/>
                      <w:bCs w:val="0"/>
                      <w:sz w:val="21"/>
                      <w:szCs w:val="21"/>
                      <w:u w:val="none" w:color="auto"/>
                      <w:lang w:val="en-US" w:eastAsia="zh-CN"/>
                    </w:rPr>
                  </w:pPr>
                  <w:r>
                    <w:rPr>
                      <w:rFonts w:hint="eastAsia"/>
                      <w:b w:val="0"/>
                      <w:bCs w:val="0"/>
                      <w:sz w:val="21"/>
                      <w:szCs w:val="21"/>
                      <w:u w:val="none" w:color="auto"/>
                      <w:lang w:val="en-US" w:eastAsia="zh-CN"/>
                    </w:rPr>
                    <w:t>二类区</w:t>
                  </w:r>
                </w:p>
              </w:tc>
              <w:tc>
                <w:tcPr>
                  <w:tcW w:w="542"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default"/>
                      <w:b w:val="0"/>
                      <w:bCs w:val="0"/>
                      <w:sz w:val="21"/>
                      <w:szCs w:val="21"/>
                      <w:u w:val="none" w:color="auto"/>
                      <w:lang w:val="en-US" w:eastAsia="zh-CN"/>
                    </w:rPr>
                  </w:pPr>
                  <w:r>
                    <w:rPr>
                      <w:rFonts w:hint="eastAsia"/>
                      <w:b w:val="0"/>
                      <w:bCs w:val="0"/>
                      <w:sz w:val="21"/>
                      <w:szCs w:val="21"/>
                      <w:u w:val="none" w:color="auto"/>
                      <w:lang w:val="en-US" w:eastAsia="zh-CN"/>
                    </w:rPr>
                    <w:t>WS</w:t>
                  </w:r>
                </w:p>
              </w:tc>
              <w:tc>
                <w:tcPr>
                  <w:tcW w:w="841" w:type="dxa"/>
                  <w:tcBorders>
                    <w:top w:val="single" w:color="auto" w:sz="6" w:space="0"/>
                    <w:left w:val="single" w:color="auto" w:sz="6" w:space="0"/>
                    <w:bottom w:val="single" w:color="auto" w:sz="6" w:space="0"/>
                    <w:right w:val="single" w:color="auto" w:sz="2" w:space="0"/>
                  </w:tcBorders>
                  <w:noWrap w:val="0"/>
                  <w:vAlign w:val="center"/>
                </w:tcPr>
                <w:p>
                  <w:pPr>
                    <w:widowControl/>
                    <w:jc w:val="center"/>
                    <w:rPr>
                      <w:rFonts w:hint="default"/>
                      <w:b w:val="0"/>
                      <w:bCs w:val="0"/>
                      <w:sz w:val="21"/>
                      <w:szCs w:val="21"/>
                      <w:u w:val="none" w:color="auto"/>
                      <w:lang w:val="en-US" w:eastAsia="zh-CN"/>
                    </w:rPr>
                  </w:pPr>
                  <w:r>
                    <w:rPr>
                      <w:rFonts w:hint="eastAsia"/>
                      <w:b w:val="0"/>
                      <w:bCs w:val="0"/>
                      <w:sz w:val="21"/>
                      <w:szCs w:val="21"/>
                      <w:u w:val="none" w:color="auto"/>
                      <w:lang w:val="en-US" w:eastAsia="zh-CN"/>
                    </w:rPr>
                    <w:t>9</w:t>
                  </w:r>
                </w:p>
              </w:tc>
              <w:tc>
                <w:tcPr>
                  <w:tcW w:w="977" w:type="dxa"/>
                  <w:tcBorders>
                    <w:top w:val="single" w:color="auto" w:sz="6" w:space="0"/>
                    <w:left w:val="single" w:color="auto" w:sz="6" w:space="0"/>
                    <w:bottom w:val="single" w:color="auto" w:sz="6" w:space="0"/>
                    <w:right w:val="single" w:color="auto" w:sz="2" w:space="0"/>
                  </w:tcBorders>
                  <w:noWrap w:val="0"/>
                  <w:vAlign w:val="center"/>
                </w:tcPr>
                <w:p>
                  <w:pPr>
                    <w:widowControl/>
                    <w:jc w:val="center"/>
                    <w:rPr>
                      <w:rFonts w:hint="default"/>
                      <w:b w:val="0"/>
                      <w:bCs w:val="0"/>
                      <w:sz w:val="21"/>
                      <w:szCs w:val="21"/>
                      <w:u w:val="none" w:color="auto"/>
                      <w:lang w:val="en-US" w:eastAsia="zh-CN"/>
                    </w:rPr>
                  </w:pPr>
                  <w:r>
                    <w:rPr>
                      <w:rFonts w:hint="eastAsia"/>
                      <w:b w:val="0"/>
                      <w:bCs w:val="0"/>
                      <w:sz w:val="21"/>
                      <w:szCs w:val="21"/>
                      <w:u w:val="none" w:color="auto"/>
                      <w:lang w:val="en-US" w:eastAsia="zh-CN"/>
                    </w:rPr>
                    <w:t>K0+000</w:t>
                  </w:r>
                </w:p>
              </w:tc>
            </w:tr>
          </w:tbl>
          <w:p>
            <w:pPr>
              <w:pStyle w:val="191"/>
              <w:keepNext/>
              <w:keepLines/>
              <w:pageBreakBefore w:val="0"/>
              <w:widowControl w:val="0"/>
              <w:spacing w:before="0" w:after="0" w:line="360" w:lineRule="auto"/>
              <w:ind w:right="0"/>
              <w:jc w:val="both"/>
              <w:outlineLvl w:val="1"/>
              <w:rPr>
                <w:rFonts w:hint="default"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Times New Roman"/>
                <w:b/>
                <w:bCs/>
                <w:color w:val="000000"/>
                <w:kern w:val="0"/>
                <w:sz w:val="21"/>
                <w:szCs w:val="21"/>
                <w:lang w:val="en-US" w:eastAsia="zh-CN" w:bidi="ar-SA"/>
              </w:rPr>
              <w:t>3.8 地表水、地下水、生态环境保护目标</w:t>
            </w:r>
          </w:p>
          <w:p>
            <w:pPr>
              <w:widowControl/>
              <w:spacing w:line="360" w:lineRule="auto"/>
              <w:ind w:firstLine="480"/>
              <w:rPr>
                <w:rFonts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本工程不涉及自然保护区、世界文化和自然遗产地、风景名胜区、森林公园、珍稀濒危野生动植物天然集中分布区等特殊和重要生态敏感区，不涉及需要特殊保护的珍稀动植物。本项目沿线地形地貌以绿地为主，未占用基本农田</w:t>
            </w:r>
            <w:r>
              <w:rPr>
                <w:rFonts w:ascii="Times New Roman" w:hAnsi="Times New Roman" w:eastAsia="宋体" w:cs="Times New Roman"/>
                <w:color w:val="000000"/>
                <w:sz w:val="21"/>
                <w:szCs w:val="21"/>
                <w:highlight w:val="none"/>
                <w:lang w:bidi="ar"/>
              </w:rPr>
              <w:t>。</w:t>
            </w:r>
          </w:p>
          <w:p>
            <w:pPr>
              <w:widowControl/>
              <w:spacing w:line="360" w:lineRule="auto"/>
              <w:ind w:firstLine="480"/>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施工期加强管理，严格控制施工占地，尽可能减少植被破坏面积，采取有效措施减少水土流失量。</w:t>
            </w:r>
          </w:p>
          <w:p>
            <w:pPr>
              <w:adjustRightInd w:val="0"/>
              <w:snapToGrid w:val="0"/>
              <w:spacing w:line="240" w:lineRule="auto"/>
              <w:jc w:val="center"/>
              <w:rPr>
                <w:rFonts w:ascii="Times New Roman" w:hAnsi="Times New Roman" w:eastAsia="宋体" w:cs="Times New Roman"/>
                <w:b/>
                <w:bCs/>
                <w:color w:val="000000"/>
                <w:kern w:val="0"/>
                <w:sz w:val="21"/>
                <w:szCs w:val="21"/>
                <w:u w:val="none" w:color="auto"/>
                <w:lang w:bidi="ar"/>
              </w:rPr>
            </w:pPr>
            <w:r>
              <w:rPr>
                <w:rFonts w:ascii="Times New Roman" w:hAnsi="Times New Roman" w:eastAsia="宋体" w:cs="Times New Roman"/>
                <w:b/>
                <w:bCs/>
                <w:color w:val="000000"/>
                <w:kern w:val="0"/>
                <w:sz w:val="21"/>
                <w:szCs w:val="21"/>
                <w:u w:val="none" w:color="auto"/>
                <w:lang w:bidi="ar"/>
              </w:rPr>
              <w:t>表3-</w:t>
            </w:r>
            <w:r>
              <w:rPr>
                <w:rFonts w:hint="eastAsia" w:ascii="Times New Roman" w:hAnsi="Times New Roman" w:eastAsia="宋体" w:cs="Times New Roman"/>
                <w:b/>
                <w:bCs/>
                <w:color w:val="000000"/>
                <w:kern w:val="0"/>
                <w:sz w:val="21"/>
                <w:szCs w:val="21"/>
                <w:u w:val="none" w:color="auto"/>
                <w:lang w:val="en-US" w:eastAsia="zh-CN" w:bidi="ar"/>
              </w:rPr>
              <w:t xml:space="preserve">4 </w:t>
            </w:r>
            <w:r>
              <w:rPr>
                <w:rFonts w:hint="eastAsia" w:ascii="Times New Roman" w:hAnsi="Times New Roman" w:eastAsia="宋体" w:cs="Times New Roman"/>
                <w:b/>
                <w:bCs/>
                <w:color w:val="000000"/>
                <w:kern w:val="0"/>
                <w:sz w:val="21"/>
                <w:szCs w:val="21"/>
                <w:u w:val="none" w:color="auto"/>
                <w:lang w:bidi="ar"/>
              </w:rPr>
              <w:t>地表水、</w:t>
            </w:r>
            <w:r>
              <w:rPr>
                <w:rFonts w:hint="eastAsia" w:ascii="Times New Roman" w:hAnsi="Times New Roman" w:eastAsia="宋体" w:cs="Times New Roman"/>
                <w:b/>
                <w:bCs/>
                <w:color w:val="000000"/>
                <w:kern w:val="0"/>
                <w:sz w:val="21"/>
                <w:szCs w:val="21"/>
                <w:u w:val="none" w:color="auto"/>
                <w:lang w:val="en-US" w:eastAsia="zh-CN" w:bidi="ar"/>
              </w:rPr>
              <w:t>地下水</w:t>
            </w:r>
            <w:r>
              <w:rPr>
                <w:rFonts w:hint="eastAsia" w:ascii="Times New Roman" w:hAnsi="Times New Roman" w:eastAsia="宋体" w:cs="Times New Roman"/>
                <w:b/>
                <w:bCs/>
                <w:color w:val="000000"/>
                <w:kern w:val="0"/>
                <w:sz w:val="21"/>
                <w:szCs w:val="21"/>
                <w:u w:val="none" w:color="auto"/>
                <w:lang w:bidi="ar"/>
              </w:rPr>
              <w:t>环境</w:t>
            </w:r>
            <w:r>
              <w:rPr>
                <w:rFonts w:hint="eastAsia" w:ascii="Times New Roman" w:hAnsi="Times New Roman" w:eastAsia="宋体" w:cs="Times New Roman"/>
                <w:b/>
                <w:bCs/>
                <w:color w:val="000000"/>
                <w:kern w:val="0"/>
                <w:sz w:val="21"/>
                <w:szCs w:val="21"/>
                <w:u w:val="none" w:color="auto"/>
                <w:lang w:eastAsia="zh-CN" w:bidi="ar"/>
              </w:rPr>
              <w:t>、</w:t>
            </w:r>
            <w:r>
              <w:rPr>
                <w:rFonts w:hint="eastAsia" w:ascii="Times New Roman" w:hAnsi="Times New Roman" w:eastAsia="宋体" w:cs="Times New Roman"/>
                <w:b/>
                <w:bCs/>
                <w:color w:val="000000"/>
                <w:kern w:val="0"/>
                <w:sz w:val="21"/>
                <w:szCs w:val="21"/>
                <w:u w:val="none" w:color="auto"/>
                <w:lang w:bidi="ar"/>
              </w:rPr>
              <w:t>生态环境保护目标一览表</w:t>
            </w:r>
          </w:p>
          <w:tbl>
            <w:tblPr>
              <w:tblStyle w:val="40"/>
              <w:tblW w:w="7691" w:type="dxa"/>
              <w:tblInd w:w="1"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31"/>
              <w:gridCol w:w="1577"/>
              <w:gridCol w:w="651"/>
              <w:gridCol w:w="1536"/>
              <w:gridCol w:w="1328"/>
              <w:gridCol w:w="1768"/>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31" w:type="dxa"/>
                  <w:tcBorders>
                    <w:top w:val="single" w:color="auto" w:sz="2" w:space="0"/>
                    <w:left w:val="single" w:color="auto" w:sz="2" w:space="0"/>
                    <w:bottom w:val="single" w:color="auto" w:sz="6" w:space="0"/>
                    <w:right w:val="single" w:color="auto" w:sz="6"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项目</w:t>
                  </w:r>
                </w:p>
              </w:tc>
              <w:tc>
                <w:tcPr>
                  <w:tcW w:w="1577" w:type="dxa"/>
                  <w:tcBorders>
                    <w:top w:val="single" w:color="auto" w:sz="2" w:space="0"/>
                    <w:left w:val="single" w:color="auto" w:sz="6" w:space="0"/>
                    <w:bottom w:val="single" w:color="auto" w:sz="6" w:space="0"/>
                    <w:right w:val="single" w:color="auto" w:sz="6"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环境保护目标</w:t>
                  </w:r>
                </w:p>
              </w:tc>
              <w:tc>
                <w:tcPr>
                  <w:tcW w:w="651" w:type="dxa"/>
                  <w:tcBorders>
                    <w:top w:val="single" w:color="auto" w:sz="2" w:space="0"/>
                    <w:left w:val="single" w:color="auto" w:sz="6" w:space="0"/>
                    <w:bottom w:val="single" w:color="auto" w:sz="6" w:space="0"/>
                    <w:right w:val="single" w:color="auto" w:sz="6"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方位</w:t>
                  </w:r>
                </w:p>
              </w:tc>
              <w:tc>
                <w:tcPr>
                  <w:tcW w:w="1536" w:type="dxa"/>
                  <w:tcBorders>
                    <w:top w:val="single" w:color="auto" w:sz="2" w:space="0"/>
                    <w:left w:val="single" w:color="auto" w:sz="6" w:space="0"/>
                    <w:bottom w:val="single" w:color="auto" w:sz="6" w:space="0"/>
                    <w:right w:val="single" w:color="auto" w:sz="6"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与场界最近距离</w:t>
                  </w:r>
                </w:p>
              </w:tc>
              <w:tc>
                <w:tcPr>
                  <w:tcW w:w="1328" w:type="dxa"/>
                  <w:tcBorders>
                    <w:top w:val="single" w:color="auto" w:sz="2" w:space="0"/>
                    <w:left w:val="single" w:color="auto" w:sz="6" w:space="0"/>
                    <w:bottom w:val="single" w:color="auto" w:sz="6" w:space="0"/>
                    <w:right w:val="single" w:color="auto" w:sz="6"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规模、功能</w:t>
                  </w:r>
                </w:p>
              </w:tc>
              <w:tc>
                <w:tcPr>
                  <w:tcW w:w="1768" w:type="dxa"/>
                  <w:tcBorders>
                    <w:top w:val="single" w:color="auto" w:sz="2" w:space="0"/>
                    <w:left w:val="single" w:color="auto" w:sz="6" w:space="0"/>
                    <w:bottom w:val="single" w:color="auto" w:sz="6" w:space="0"/>
                    <w:right w:val="single" w:color="auto" w:sz="2"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保护级别</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79" w:hRule="atLeast"/>
              </w:trPr>
              <w:tc>
                <w:tcPr>
                  <w:tcW w:w="831" w:type="dxa"/>
                  <w:tcBorders>
                    <w:top w:val="single" w:color="auto" w:sz="6" w:space="0"/>
                    <w:left w:val="single" w:color="auto" w:sz="2" w:space="0"/>
                    <w:right w:val="single" w:color="auto" w:sz="6" w:space="0"/>
                  </w:tcBorders>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地表水环境</w:t>
                  </w:r>
                </w:p>
              </w:tc>
              <w:tc>
                <w:tcPr>
                  <w:tcW w:w="1577"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潇水</w:t>
                  </w:r>
                </w:p>
              </w:tc>
              <w:tc>
                <w:tcPr>
                  <w:tcW w:w="651"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E</w:t>
                  </w:r>
                </w:p>
              </w:tc>
              <w:tc>
                <w:tcPr>
                  <w:tcW w:w="1536"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51m</w:t>
                  </w:r>
                </w:p>
              </w:tc>
              <w:tc>
                <w:tcPr>
                  <w:tcW w:w="1328" w:type="dxa"/>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渔业用水</w:t>
                  </w:r>
                </w:p>
              </w:tc>
              <w:tc>
                <w:tcPr>
                  <w:tcW w:w="1768" w:type="dxa"/>
                  <w:tcBorders>
                    <w:top w:val="single" w:color="auto" w:sz="6" w:space="0"/>
                    <w:left w:val="single" w:color="auto" w:sz="6" w:space="0"/>
                    <w:right w:val="single" w:color="auto" w:sz="2"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GB 3838-2002中的Ⅲ类标准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307" w:hRule="atLeast"/>
              </w:trPr>
              <w:tc>
                <w:tcPr>
                  <w:tcW w:w="831" w:type="dxa"/>
                  <w:tcBorders>
                    <w:top w:val="single" w:color="auto" w:sz="6" w:space="0"/>
                    <w:left w:val="single" w:color="auto" w:sz="2" w:space="0"/>
                    <w:bottom w:val="single" w:color="auto" w:sz="6" w:space="0"/>
                    <w:right w:val="single" w:color="auto" w:sz="6" w:space="0"/>
                  </w:tcBorders>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地下水环境</w:t>
                  </w:r>
                </w:p>
              </w:tc>
              <w:tc>
                <w:tcPr>
                  <w:tcW w:w="5092" w:type="dxa"/>
                  <w:gridSpan w:val="4"/>
                  <w:tcBorders>
                    <w:top w:val="single" w:color="auto" w:sz="6" w:space="0"/>
                    <w:left w:val="single" w:color="auto" w:sz="6" w:space="0"/>
                    <w:bottom w:val="single" w:color="auto" w:sz="6" w:space="0"/>
                    <w:right w:val="single" w:color="auto" w:sz="6" w:space="0"/>
                  </w:tcBorders>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项目厂界外500m范围内无集中式饮水水源和热水、矿泉水、温泉等特殊地下水资源</w:t>
                  </w:r>
                </w:p>
              </w:tc>
              <w:tc>
                <w:tcPr>
                  <w:tcW w:w="1768" w:type="dxa"/>
                  <w:tcBorders>
                    <w:top w:val="single" w:color="auto" w:sz="6" w:space="0"/>
                    <w:left w:val="single" w:color="auto" w:sz="6" w:space="0"/>
                    <w:bottom w:val="single" w:color="auto" w:sz="6" w:space="0"/>
                    <w:right w:val="single" w:color="auto" w:sz="2" w:space="0"/>
                  </w:tcBorders>
                  <w:noWrap w:val="0"/>
                  <w:vAlign w:val="center"/>
                </w:tcPr>
                <w:p>
                  <w:pPr>
                    <w:snapToGrid w:val="0"/>
                    <w:spacing w:line="240" w:lineRule="auto"/>
                    <w:jc w:val="center"/>
                    <w:rPr>
                      <w:rFonts w:hint="default" w:ascii="Times New Roman" w:hAnsi="Times New Roman" w:eastAsia="宋体" w:cs="Times New Roman"/>
                      <w:b w:val="0"/>
                      <w:bCs w:val="0"/>
                      <w:sz w:val="21"/>
                      <w:szCs w:val="21"/>
                      <w:u w:val="none" w:color="auto"/>
                      <w:lang w:val="en-US" w:eastAsia="zh-CN"/>
                    </w:rPr>
                  </w:pPr>
                  <w:r>
                    <w:rPr>
                      <w:rFonts w:hint="default" w:ascii="Times New Roman" w:hAnsi="Times New Roman" w:eastAsia="宋体" w:cs="Times New Roman"/>
                      <w:b w:val="0"/>
                      <w:bCs w:val="0"/>
                      <w:sz w:val="21"/>
                      <w:szCs w:val="21"/>
                      <w:u w:val="none" w:color="auto"/>
                      <w:lang w:val="en-US" w:eastAsia="zh-CN"/>
                    </w:rPr>
                    <w:t>GB/T 14848-2017中Ⅲ类标准</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831" w:type="dxa"/>
                  <w:tcBorders>
                    <w:top w:val="single" w:color="auto" w:sz="6" w:space="0"/>
                    <w:left w:val="single" w:color="auto" w:sz="2" w:space="0"/>
                    <w:bottom w:val="single" w:color="auto" w:sz="2" w:space="0"/>
                    <w:right w:val="single" w:color="auto" w:sz="6" w:space="0"/>
                  </w:tcBorders>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生态环境</w:t>
                  </w:r>
                </w:p>
              </w:tc>
              <w:tc>
                <w:tcPr>
                  <w:tcW w:w="5092" w:type="dxa"/>
                  <w:gridSpan w:val="4"/>
                  <w:tcBorders>
                    <w:top w:val="single" w:color="auto" w:sz="6" w:space="0"/>
                    <w:left w:val="single" w:color="auto" w:sz="6" w:space="0"/>
                    <w:bottom w:val="single" w:color="auto" w:sz="2" w:space="0"/>
                    <w:right w:val="single" w:color="auto" w:sz="6" w:space="0"/>
                  </w:tcBorders>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项目周边不涉及生态敏感区，保护目标主要考虑项目周边农田、林地、植被等生态环境。</w:t>
                  </w:r>
                </w:p>
              </w:tc>
              <w:tc>
                <w:tcPr>
                  <w:tcW w:w="1768" w:type="dxa"/>
                  <w:tcBorders>
                    <w:top w:val="single" w:color="auto" w:sz="6" w:space="0"/>
                    <w:left w:val="single" w:color="auto" w:sz="6" w:space="0"/>
                    <w:bottom w:val="single" w:color="auto" w:sz="2" w:space="0"/>
                    <w:right w:val="single" w:color="auto" w:sz="2" w:space="0"/>
                  </w:tcBorders>
                  <w:noWrap w:val="0"/>
                  <w:vAlign w:val="center"/>
                </w:tcPr>
                <w:p>
                  <w:pPr>
                    <w:snapToGrid w:val="0"/>
                    <w:spacing w:line="240" w:lineRule="auto"/>
                    <w:jc w:val="center"/>
                    <w:rPr>
                      <w:rFonts w:hint="eastAsia" w:ascii="Times New Roman" w:hAnsi="Times New Roman" w:eastAsia="宋体" w:cs="Times New Roman"/>
                      <w:b w:val="0"/>
                      <w:bCs w:val="0"/>
                      <w:sz w:val="21"/>
                      <w:szCs w:val="21"/>
                      <w:u w:val="none" w:color="auto"/>
                      <w:lang w:val="en-US" w:eastAsia="zh-CN"/>
                    </w:rPr>
                  </w:pPr>
                  <w:r>
                    <w:rPr>
                      <w:rFonts w:hint="eastAsia" w:ascii="Times New Roman" w:hAnsi="Times New Roman" w:eastAsia="宋体" w:cs="Times New Roman"/>
                      <w:b w:val="0"/>
                      <w:bCs w:val="0"/>
                      <w:sz w:val="21"/>
                      <w:szCs w:val="21"/>
                      <w:u w:val="none" w:color="auto"/>
                      <w:lang w:val="en-US" w:eastAsia="zh-CN"/>
                    </w:rPr>
                    <w:t>/</w:t>
                  </w:r>
                </w:p>
              </w:tc>
            </w:tr>
          </w:tbl>
          <w:p>
            <w:pPr>
              <w:pStyle w:val="191"/>
              <w:keepNext/>
              <w:keepLines/>
              <w:pageBreakBefore w:val="0"/>
              <w:widowControl w:val="0"/>
              <w:spacing w:before="0" w:after="0" w:line="360" w:lineRule="auto"/>
              <w:ind w:right="0"/>
              <w:jc w:val="both"/>
              <w:outlineLvl w:val="1"/>
              <w:rPr>
                <w:rFonts w:hint="default"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Times New Roman"/>
                <w:b/>
                <w:bCs/>
                <w:color w:val="000000"/>
                <w:kern w:val="0"/>
                <w:sz w:val="21"/>
                <w:szCs w:val="21"/>
                <w:lang w:val="en-US" w:eastAsia="zh-CN" w:bidi="ar-SA"/>
              </w:rPr>
              <w:t>3.9 声环境保护目标</w:t>
            </w:r>
          </w:p>
          <w:p>
            <w:pPr>
              <w:widowControl/>
              <w:spacing w:line="360" w:lineRule="auto"/>
              <w:ind w:firstLine="480"/>
              <w:rPr>
                <w:sz w:val="21"/>
                <w:szCs w:val="21"/>
                <w:highlight w:val="none"/>
                <w:lang w:val="en-US"/>
              </w:rPr>
            </w:pPr>
            <w:r>
              <w:rPr>
                <w:rFonts w:hint="eastAsia" w:ascii="Times New Roman" w:hAnsi="Times New Roman" w:eastAsia="宋体" w:cs="Times New Roman"/>
                <w:color w:val="000000"/>
                <w:sz w:val="21"/>
                <w:szCs w:val="21"/>
                <w:highlight w:val="none"/>
                <w:lang w:val="en-US" w:eastAsia="zh-CN" w:bidi="ar"/>
              </w:rPr>
              <w:t>声环境保护目标详见声环境专章。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458" w:hRule="atLeast"/>
          <w:jc w:val="center"/>
        </w:trPr>
        <w:tc>
          <w:tcPr>
            <w:tcW w:w="579" w:type="dxa"/>
            <w:noWrap w:val="0"/>
            <w:vAlign w:val="center"/>
          </w:tcPr>
          <w:p>
            <w:pPr>
              <w:spacing w:line="360" w:lineRule="auto"/>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评价</w:t>
            </w:r>
          </w:p>
          <w:p>
            <w:pPr>
              <w:spacing w:line="360" w:lineRule="auto"/>
              <w:jc w:val="center"/>
              <w:rPr>
                <w:rFonts w:ascii="宋体" w:hAnsi="宋体" w:cs="宋体"/>
                <w:color w:val="000000"/>
                <w:sz w:val="21"/>
                <w:szCs w:val="21"/>
                <w:highlight w:val="none"/>
              </w:rPr>
            </w:pPr>
            <w:r>
              <w:rPr>
                <w:rFonts w:hint="eastAsia" w:ascii="宋体" w:hAnsi="宋体" w:cs="宋体"/>
                <w:color w:val="000000"/>
                <w:sz w:val="21"/>
                <w:szCs w:val="21"/>
                <w:highlight w:val="none"/>
              </w:rPr>
              <w:t>标准</w:t>
            </w:r>
          </w:p>
        </w:tc>
        <w:tc>
          <w:tcPr>
            <w:tcW w:w="7941" w:type="dxa"/>
            <w:noWrap w:val="0"/>
            <w:vAlign w:val="center"/>
          </w:tcPr>
          <w:p>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Times New Roman"/>
                <w:b/>
                <w:bCs/>
                <w:color w:val="000000"/>
                <w:kern w:val="0"/>
                <w:sz w:val="21"/>
                <w:szCs w:val="21"/>
                <w:lang w:val="en-US" w:eastAsia="zh-CN" w:bidi="ar-SA"/>
              </w:rPr>
              <w:t>3.10 环境质量标准</w:t>
            </w:r>
          </w:p>
          <w:p>
            <w:pPr>
              <w:pStyle w:val="191"/>
              <w:keepNext/>
              <w:keepLines/>
              <w:pageBreakBefore w:val="0"/>
              <w:widowControl w:val="0"/>
              <w:spacing w:before="0" w:after="0" w:line="360" w:lineRule="auto"/>
              <w:ind w:right="0"/>
              <w:jc w:val="both"/>
              <w:outlineLvl w:val="1"/>
              <w:rPr>
                <w:rFonts w:hint="default"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Times New Roman"/>
                <w:b/>
                <w:bCs/>
                <w:color w:val="000000"/>
                <w:kern w:val="0"/>
                <w:sz w:val="21"/>
                <w:szCs w:val="21"/>
                <w:lang w:val="en-US" w:eastAsia="zh-CN" w:bidi="ar-SA"/>
              </w:rPr>
              <w:t>3.10.1 环境空气</w:t>
            </w:r>
          </w:p>
          <w:p>
            <w:pPr>
              <w:keepNext w:val="0"/>
              <w:keepLines w:val="0"/>
              <w:pageBreakBefore w:val="0"/>
              <w:widowControl/>
              <w:spacing w:line="360" w:lineRule="auto"/>
              <w:ind w:firstLine="480"/>
              <w:rPr>
                <w:color w:val="000000"/>
                <w:sz w:val="21"/>
                <w:szCs w:val="21"/>
                <w:highlight w:val="none"/>
              </w:rPr>
            </w:pPr>
            <w:r>
              <w:rPr>
                <w:rFonts w:hint="eastAsia"/>
                <w:color w:val="000000"/>
                <w:sz w:val="21"/>
                <w:szCs w:val="21"/>
                <w:highlight w:val="none"/>
              </w:rPr>
              <w:t>按环境空气质量功能区分类，项目区域属二类区，故评价范围内的环境空气质量标准执行《环境空气质量标准》（GB3095-2012）中的二级标准，具体标准值见下表。</w:t>
            </w:r>
          </w:p>
          <w:p>
            <w:pPr>
              <w:keepNext w:val="0"/>
              <w:keepLines w:val="0"/>
              <w:pageBreakBefore w:val="0"/>
              <w:jc w:val="center"/>
              <w:rPr>
                <w:rFonts w:hint="eastAsia" w:eastAsia="宋体"/>
                <w:b/>
                <w:bCs/>
                <w:color w:val="000000"/>
                <w:sz w:val="21"/>
                <w:szCs w:val="21"/>
                <w:highlight w:val="none"/>
                <w:lang w:eastAsia="zh-CN"/>
              </w:rPr>
            </w:pPr>
            <w:r>
              <w:rPr>
                <w:b/>
                <w:bCs/>
                <w:color w:val="000000"/>
                <w:sz w:val="21"/>
                <w:szCs w:val="21"/>
                <w:highlight w:val="none"/>
              </w:rPr>
              <w:t>表</w:t>
            </w:r>
            <w:r>
              <w:rPr>
                <w:rFonts w:hint="eastAsia"/>
                <w:b/>
                <w:bCs/>
                <w:color w:val="000000"/>
                <w:sz w:val="21"/>
                <w:szCs w:val="21"/>
                <w:highlight w:val="none"/>
                <w:lang w:val="en-US" w:eastAsia="zh-CN"/>
              </w:rPr>
              <w:t>3-5</w:t>
            </w:r>
            <w:r>
              <w:rPr>
                <w:b/>
                <w:bCs/>
                <w:color w:val="000000"/>
                <w:sz w:val="21"/>
                <w:szCs w:val="21"/>
                <w:highlight w:val="none"/>
              </w:rPr>
              <w:t xml:space="preserve"> 环境空气质量标准 单位：ug/</w:t>
            </w:r>
            <w:r>
              <w:rPr>
                <w:rFonts w:hint="eastAsia"/>
                <w:b/>
                <w:bCs/>
                <w:color w:val="000000"/>
                <w:sz w:val="21"/>
                <w:szCs w:val="21"/>
                <w:highlight w:val="none"/>
                <w:lang w:eastAsia="zh-CN"/>
              </w:rPr>
              <w:t>m</w:t>
            </w:r>
            <w:r>
              <w:rPr>
                <w:rFonts w:hint="eastAsia"/>
                <w:b/>
                <w:bCs/>
                <w:color w:val="000000"/>
                <w:sz w:val="21"/>
                <w:szCs w:val="21"/>
                <w:highlight w:val="none"/>
                <w:vertAlign w:val="superscript"/>
                <w:lang w:eastAsia="zh-CN"/>
              </w:rPr>
              <w:t>3</w:t>
            </w:r>
          </w:p>
          <w:tbl>
            <w:tblPr>
              <w:tblStyle w:val="40"/>
              <w:tblW w:w="7713" w:type="dxa"/>
              <w:jc w:val="center"/>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1312"/>
              <w:gridCol w:w="1511"/>
              <w:gridCol w:w="2779"/>
              <w:gridCol w:w="2111"/>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312"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rPr>
                    <w:t>标准</w:t>
                  </w:r>
                </w:p>
              </w:tc>
              <w:tc>
                <w:tcPr>
                  <w:tcW w:w="15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rPr>
                    <w:t>污染物名称</w:t>
                  </w:r>
                </w:p>
              </w:tc>
              <w:tc>
                <w:tcPr>
                  <w:tcW w:w="2779"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rPr>
                    <w:t>平均时间</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rPr>
                    <w:t>二级标准浓度限值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jc w:val="center"/>
              </w:trPr>
              <w:tc>
                <w:tcPr>
                  <w:tcW w:w="1312" w:type="dxa"/>
                  <w:vMerge w:val="restart"/>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rPr>
                    <w:t>GB3095-2012二级标准</w:t>
                  </w:r>
                </w:p>
              </w:tc>
              <w:tc>
                <w:tcPr>
                  <w:tcW w:w="1511" w:type="dxa"/>
                  <w:vMerge w:val="restart"/>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rPr>
                    <w:t>二氧化硫（</w:t>
                  </w:r>
                  <w:r>
                    <w:rPr>
                      <w:rFonts w:hint="eastAsia"/>
                      <w:color w:val="000000"/>
                      <w:sz w:val="21"/>
                      <w:szCs w:val="21"/>
                      <w:highlight w:val="none"/>
                      <w:lang w:eastAsia="zh-CN"/>
                    </w:rPr>
                    <w:t>SO</w:t>
                  </w:r>
                  <w:r>
                    <w:rPr>
                      <w:rFonts w:hint="eastAsia"/>
                      <w:color w:val="000000"/>
                      <w:sz w:val="21"/>
                      <w:szCs w:val="21"/>
                      <w:highlight w:val="none"/>
                      <w:vertAlign w:val="subscript"/>
                      <w:lang w:eastAsia="zh-CN"/>
                    </w:rPr>
                    <w:t>2</w:t>
                  </w:r>
                  <w:r>
                    <w:rPr>
                      <w:color w:val="000000"/>
                      <w:sz w:val="21"/>
                      <w:szCs w:val="21"/>
                      <w:highlight w:val="none"/>
                    </w:rPr>
                    <w:t>）</w:t>
                  </w:r>
                </w:p>
              </w:tc>
              <w:tc>
                <w:tcPr>
                  <w:tcW w:w="2779"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lang w:val="en-US" w:eastAsia="zh-CN"/>
                    </w:rPr>
                    <w:t>年平均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2779"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rPr>
                    <w:t>24小时平均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rPr>
                    <w:t>150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restart"/>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rPr>
                    <w:t>二氧化氮（</w:t>
                  </w:r>
                  <w:r>
                    <w:rPr>
                      <w:rFonts w:hint="eastAsia"/>
                      <w:color w:val="000000"/>
                      <w:sz w:val="21"/>
                      <w:szCs w:val="21"/>
                      <w:highlight w:val="none"/>
                      <w:lang w:eastAsia="zh-CN"/>
                    </w:rPr>
                    <w:t>NO</w:t>
                  </w:r>
                  <w:r>
                    <w:rPr>
                      <w:rFonts w:hint="eastAsia"/>
                      <w:color w:val="000000"/>
                      <w:sz w:val="21"/>
                      <w:szCs w:val="21"/>
                      <w:highlight w:val="none"/>
                      <w:vertAlign w:val="subscript"/>
                      <w:lang w:eastAsia="zh-CN"/>
                    </w:rPr>
                    <w:t>2</w:t>
                  </w:r>
                  <w:r>
                    <w:rPr>
                      <w:color w:val="000000"/>
                      <w:sz w:val="21"/>
                      <w:szCs w:val="21"/>
                      <w:highlight w:val="none"/>
                    </w:rPr>
                    <w:t>）</w:t>
                  </w:r>
                </w:p>
              </w:tc>
              <w:tc>
                <w:tcPr>
                  <w:tcW w:w="2779"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lang w:val="en-US" w:eastAsia="zh-CN"/>
                    </w:rPr>
                    <w:t>年平均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2779"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rPr>
                    <w:t>24小时平均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rPr>
                    <w:t>80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restart"/>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lang w:val="en-US" w:eastAsia="zh-CN"/>
                    </w:rPr>
                    <w:t>CO</w:t>
                  </w:r>
                </w:p>
              </w:tc>
              <w:tc>
                <w:tcPr>
                  <w:tcW w:w="2779"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rPr>
                    <w:t>24小时平均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eastAsia="zh-CN"/>
                    </w:rPr>
                  </w:pPr>
                  <w:r>
                    <w:rPr>
                      <w:color w:val="000000"/>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p>
              </w:tc>
              <w:tc>
                <w:tcPr>
                  <w:tcW w:w="2779"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rPr>
                  </w:pPr>
                  <w:r>
                    <w:rPr>
                      <w:color w:val="000000"/>
                      <w:sz w:val="21"/>
                      <w:szCs w:val="21"/>
                      <w:highlight w:val="none"/>
                      <w:lang w:val="en-US"/>
                    </w:rPr>
                    <w:t>1小时平均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rFonts w:hint="eastAsia"/>
                      <w:color w:val="000000"/>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restart"/>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lang w:val="en-US" w:eastAsia="zh-CN"/>
                    </w:rPr>
                    <w:t>O</w:t>
                  </w:r>
                  <w:r>
                    <w:rPr>
                      <w:color w:val="000000"/>
                      <w:sz w:val="21"/>
                      <w:szCs w:val="21"/>
                      <w:highlight w:val="none"/>
                      <w:vertAlign w:val="subscript"/>
                      <w:lang w:val="en-US" w:eastAsia="zh-CN"/>
                    </w:rPr>
                    <w:t>3</w:t>
                  </w:r>
                </w:p>
              </w:tc>
              <w:tc>
                <w:tcPr>
                  <w:tcW w:w="2779"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lang w:val="en-US" w:eastAsia="zh-CN"/>
                    </w:rPr>
                    <w:t>日最大8小时</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lang w:val="en-US" w:eastAsia="zh-CN"/>
                    </w:rPr>
                    <w:t>160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p>
              </w:tc>
              <w:tc>
                <w:tcPr>
                  <w:tcW w:w="2779"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lang w:val="en-US" w:eastAsia="zh-CN"/>
                    </w:rPr>
                    <w:t>1小时平均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rFonts w:hint="eastAsia"/>
                      <w:color w:val="000000"/>
                      <w:sz w:val="21"/>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restart"/>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rFonts w:hint="eastAsia" w:eastAsia="宋体"/>
                      <w:color w:val="000000"/>
                      <w:sz w:val="21"/>
                      <w:szCs w:val="21"/>
                      <w:highlight w:val="none"/>
                      <w:lang w:eastAsia="zh-CN"/>
                    </w:rPr>
                  </w:pPr>
                  <w:r>
                    <w:rPr>
                      <w:rFonts w:hint="eastAsia"/>
                      <w:color w:val="000000"/>
                      <w:sz w:val="21"/>
                      <w:szCs w:val="21"/>
                      <w:highlight w:val="none"/>
                      <w:lang w:eastAsia="zh-CN"/>
                    </w:rPr>
                    <w:t>PM</w:t>
                  </w:r>
                  <w:r>
                    <w:rPr>
                      <w:rFonts w:hint="eastAsia"/>
                      <w:color w:val="000000"/>
                      <w:sz w:val="21"/>
                      <w:szCs w:val="21"/>
                      <w:highlight w:val="none"/>
                      <w:vertAlign w:val="subscript"/>
                      <w:lang w:eastAsia="zh-CN"/>
                    </w:rPr>
                    <w:t>10</w:t>
                  </w:r>
                </w:p>
              </w:tc>
              <w:tc>
                <w:tcPr>
                  <w:tcW w:w="277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lang w:val="en-US" w:eastAsia="zh-CN"/>
                    </w:rPr>
                    <w:t>年平均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277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rPr>
                    <w:t>24小时平均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lang w:val="en-US" w:eastAsia="zh-CN"/>
                    </w:rPr>
                    <w:t>150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restart"/>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rFonts w:hint="eastAsia" w:eastAsia="宋体"/>
                      <w:color w:val="000000"/>
                      <w:sz w:val="21"/>
                      <w:szCs w:val="21"/>
                      <w:highlight w:val="none"/>
                      <w:lang w:val="en-US" w:eastAsia="zh-CN"/>
                    </w:rPr>
                  </w:pPr>
                  <w:r>
                    <w:rPr>
                      <w:rFonts w:hint="eastAsia"/>
                      <w:color w:val="000000"/>
                      <w:sz w:val="21"/>
                      <w:szCs w:val="21"/>
                      <w:highlight w:val="none"/>
                      <w:lang w:eastAsia="zh-CN"/>
                    </w:rPr>
                    <w:t>PM</w:t>
                  </w:r>
                  <w:r>
                    <w:rPr>
                      <w:rFonts w:hint="eastAsia"/>
                      <w:color w:val="000000"/>
                      <w:sz w:val="21"/>
                      <w:szCs w:val="21"/>
                      <w:highlight w:val="none"/>
                      <w:vertAlign w:val="subscript"/>
                      <w:lang w:eastAsia="zh-CN"/>
                    </w:rPr>
                    <w:t>2.5</w:t>
                  </w:r>
                </w:p>
              </w:tc>
              <w:tc>
                <w:tcPr>
                  <w:tcW w:w="277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lang w:val="en-US" w:eastAsia="zh-CN"/>
                    </w:rPr>
                    <w:t>年平均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exact"/>
                <w:jc w:val="center"/>
              </w:trPr>
              <w:tc>
                <w:tcPr>
                  <w:tcW w:w="1312"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1511" w:type="dxa"/>
                  <w:vMerge w:val="continue"/>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rPr>
                  </w:pPr>
                </w:p>
              </w:tc>
              <w:tc>
                <w:tcPr>
                  <w:tcW w:w="2779"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000000"/>
                      <w:sz w:val="21"/>
                      <w:szCs w:val="21"/>
                      <w:highlight w:val="none"/>
                    </w:rPr>
                  </w:pPr>
                  <w:r>
                    <w:rPr>
                      <w:color w:val="000000"/>
                      <w:sz w:val="21"/>
                      <w:szCs w:val="21"/>
                      <w:highlight w:val="none"/>
                    </w:rPr>
                    <w:t>24小时平均</w:t>
                  </w:r>
                </w:p>
              </w:tc>
              <w:tc>
                <w:tcPr>
                  <w:tcW w:w="2111" w:type="dxa"/>
                  <w:noWrap w:val="0"/>
                  <w:vAlign w:val="center"/>
                </w:tcPr>
                <w:p>
                  <w:pPr>
                    <w:keepNext w:val="0"/>
                    <w:keepLines w:val="0"/>
                    <w:pageBreakBefore w:val="0"/>
                    <w:widowControl w:val="0"/>
                    <w:tabs>
                      <w:tab w:val="left" w:pos="2274"/>
                    </w:tabs>
                    <w:kinsoku/>
                    <w:wordWrap/>
                    <w:overflowPunct/>
                    <w:topLinePunct w:val="0"/>
                    <w:autoSpaceDE/>
                    <w:autoSpaceDN/>
                    <w:bidi w:val="0"/>
                    <w:adjustRightInd w:val="0"/>
                    <w:snapToGrid w:val="0"/>
                    <w:jc w:val="center"/>
                    <w:textAlignment w:val="auto"/>
                    <w:rPr>
                      <w:color w:val="000000"/>
                      <w:sz w:val="21"/>
                      <w:szCs w:val="21"/>
                      <w:highlight w:val="none"/>
                      <w:lang w:val="en-US" w:eastAsia="zh-CN"/>
                    </w:rPr>
                  </w:pPr>
                  <w:r>
                    <w:rPr>
                      <w:color w:val="000000"/>
                      <w:sz w:val="21"/>
                      <w:szCs w:val="21"/>
                      <w:highlight w:val="none"/>
                      <w:lang w:val="en-US" w:eastAsia="zh-CN"/>
                    </w:rPr>
                    <w:t>75</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000000"/>
                <w:sz w:val="21"/>
                <w:szCs w:val="21"/>
                <w:highlight w:val="none"/>
              </w:rPr>
            </w:pPr>
            <w:r>
              <w:rPr>
                <w:rFonts w:hint="eastAsia"/>
                <w:b/>
                <w:bCs/>
                <w:color w:val="000000"/>
                <w:sz w:val="21"/>
                <w:szCs w:val="21"/>
                <w:highlight w:val="none"/>
              </w:rPr>
              <w:t>3.10.</w:t>
            </w:r>
            <w:r>
              <w:rPr>
                <w:rFonts w:hint="eastAsia"/>
                <w:b/>
                <w:bCs/>
                <w:color w:val="000000"/>
                <w:sz w:val="21"/>
                <w:szCs w:val="21"/>
                <w:highlight w:val="none"/>
                <w:lang w:val="en-US" w:eastAsia="zh-CN"/>
              </w:rPr>
              <w:t xml:space="preserve">2 </w:t>
            </w:r>
            <w:r>
              <w:rPr>
                <w:b/>
                <w:bCs/>
                <w:color w:val="000000"/>
                <w:sz w:val="21"/>
                <w:szCs w:val="21"/>
                <w:highlight w:val="none"/>
              </w:rPr>
              <w:t>地表水环境</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pacing w:val="-1"/>
                <w:sz w:val="21"/>
                <w:szCs w:val="21"/>
                <w:highlight w:val="none"/>
              </w:rPr>
              <w:t>项目区域主要地表水体为</w:t>
            </w:r>
            <w:r>
              <w:rPr>
                <w:rFonts w:hint="eastAsia" w:cs="Times New Roman"/>
                <w:color w:val="000000"/>
                <w:spacing w:val="-1"/>
                <w:sz w:val="21"/>
                <w:szCs w:val="21"/>
                <w:highlight w:val="none"/>
                <w:lang w:val="en-US" w:eastAsia="zh-CN"/>
              </w:rPr>
              <w:t>潇水</w:t>
            </w:r>
            <w:r>
              <w:rPr>
                <w:rFonts w:hint="eastAsia" w:ascii="Times New Roman" w:hAnsi="Times New Roman" w:eastAsia="宋体" w:cs="Times New Roman"/>
                <w:color w:val="000000"/>
                <w:spacing w:val="-1"/>
                <w:sz w:val="21"/>
                <w:szCs w:val="21"/>
                <w:highlight w:val="none"/>
              </w:rPr>
              <w:t>，执行《地表水环境质量标准》中III类标准，具体详见下表</w:t>
            </w:r>
            <w:r>
              <w:rPr>
                <w:rFonts w:ascii="Times New Roman" w:hAnsi="Times New Roman" w:eastAsia="宋体" w:cs="Times New Roman"/>
                <w:color w:val="000000"/>
                <w:spacing w:val="-1"/>
                <w:sz w:val="21"/>
                <w:szCs w:val="21"/>
                <w:highlight w:val="none"/>
              </w:rPr>
              <w:t>。</w:t>
            </w:r>
          </w:p>
          <w:p>
            <w:pPr>
              <w:ind w:firstLine="422"/>
              <w:jc w:val="center"/>
              <w:rPr>
                <w:rFonts w:ascii="Times New Roman" w:hAnsi="Times New Roman" w:eastAsia="宋体" w:cs="Times New Roman"/>
                <w:bCs/>
                <w:color w:val="000000"/>
                <w:sz w:val="21"/>
                <w:szCs w:val="21"/>
                <w:highlight w:val="none"/>
              </w:rPr>
            </w:pPr>
            <w:r>
              <w:rPr>
                <w:b/>
                <w:bCs/>
                <w:color w:val="000000"/>
                <w:sz w:val="21"/>
                <w:szCs w:val="21"/>
                <w:highlight w:val="none"/>
              </w:rPr>
              <w:t>表</w:t>
            </w:r>
            <w:r>
              <w:rPr>
                <w:rFonts w:hint="eastAsia"/>
                <w:b/>
                <w:bCs/>
                <w:color w:val="000000"/>
                <w:sz w:val="21"/>
                <w:szCs w:val="21"/>
                <w:highlight w:val="none"/>
                <w:lang w:val="en-US" w:eastAsia="zh-CN"/>
              </w:rPr>
              <w:t xml:space="preserve">3-6 </w:t>
            </w:r>
            <w:r>
              <w:rPr>
                <w:rFonts w:ascii="Times New Roman" w:hAnsi="Times New Roman" w:eastAsia="宋体" w:cs="Times New Roman"/>
                <w:b/>
                <w:bCs/>
                <w:color w:val="000000"/>
                <w:sz w:val="21"/>
                <w:szCs w:val="21"/>
                <w:highlight w:val="none"/>
              </w:rPr>
              <w:t>《地表水环境质量标准》 单位：mg/L，pH无量纲</w:t>
            </w:r>
          </w:p>
          <w:tbl>
            <w:tblPr>
              <w:tblStyle w:val="40"/>
              <w:tblW w:w="7710" w:type="dxa"/>
              <w:jc w:val="center"/>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1666"/>
              <w:gridCol w:w="1009"/>
              <w:gridCol w:w="950"/>
              <w:gridCol w:w="980"/>
              <w:gridCol w:w="1043"/>
              <w:gridCol w:w="1037"/>
              <w:gridCol w:w="1025"/>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PrEx>
              <w:trPr>
                <w:trHeight w:val="420" w:hRule="exact"/>
                <w:jc w:val="center"/>
              </w:trPr>
              <w:tc>
                <w:tcPr>
                  <w:tcW w:w="1666" w:type="dxa"/>
                  <w:noWrap w:val="0"/>
                  <w:vAlign w:val="center"/>
                </w:tcPr>
                <w:p>
                  <w:pPr>
                    <w:jc w:val="center"/>
                    <w:rPr>
                      <w:rFonts w:ascii="Times New Roman" w:hAnsi="Times New Roman" w:eastAsia="宋体" w:cs="Times New Roman"/>
                      <w:b w:val="0"/>
                      <w:bCs/>
                      <w:color w:val="000000"/>
                      <w:sz w:val="21"/>
                      <w:szCs w:val="21"/>
                      <w:highlight w:val="none"/>
                    </w:rPr>
                  </w:pPr>
                  <w:r>
                    <w:rPr>
                      <w:rFonts w:ascii="Times New Roman" w:hAnsi="Times New Roman" w:eastAsia="宋体" w:cs="Times New Roman"/>
                      <w:b w:val="0"/>
                      <w:bCs/>
                      <w:color w:val="000000"/>
                      <w:sz w:val="21"/>
                      <w:szCs w:val="21"/>
                      <w:highlight w:val="none"/>
                    </w:rPr>
                    <w:t>项目</w:t>
                  </w:r>
                </w:p>
              </w:tc>
              <w:tc>
                <w:tcPr>
                  <w:tcW w:w="1009" w:type="dxa"/>
                  <w:noWrap w:val="0"/>
                  <w:vAlign w:val="center"/>
                </w:tcPr>
                <w:p>
                  <w:pPr>
                    <w:jc w:val="center"/>
                    <w:rPr>
                      <w:rFonts w:ascii="Times New Roman" w:hAnsi="Times New Roman" w:eastAsia="宋体" w:cs="Times New Roman"/>
                      <w:b w:val="0"/>
                      <w:bCs/>
                      <w:color w:val="000000"/>
                      <w:sz w:val="21"/>
                      <w:szCs w:val="21"/>
                      <w:highlight w:val="none"/>
                    </w:rPr>
                  </w:pPr>
                  <w:r>
                    <w:rPr>
                      <w:rFonts w:ascii="Times New Roman" w:hAnsi="Times New Roman" w:eastAsia="宋体" w:cs="Times New Roman"/>
                      <w:b w:val="0"/>
                      <w:bCs/>
                      <w:color w:val="000000"/>
                      <w:sz w:val="21"/>
                      <w:szCs w:val="21"/>
                      <w:highlight w:val="none"/>
                    </w:rPr>
                    <w:t>pH</w:t>
                  </w:r>
                </w:p>
              </w:tc>
              <w:tc>
                <w:tcPr>
                  <w:tcW w:w="950" w:type="dxa"/>
                  <w:noWrap w:val="0"/>
                  <w:vAlign w:val="center"/>
                </w:tcPr>
                <w:p>
                  <w:pPr>
                    <w:jc w:val="center"/>
                    <w:rPr>
                      <w:rFonts w:ascii="Times New Roman" w:hAnsi="Times New Roman" w:eastAsia="宋体" w:cs="Times New Roman"/>
                      <w:b w:val="0"/>
                      <w:bCs/>
                      <w:color w:val="000000"/>
                      <w:sz w:val="21"/>
                      <w:szCs w:val="21"/>
                      <w:highlight w:val="none"/>
                    </w:rPr>
                  </w:pPr>
                  <w:r>
                    <w:rPr>
                      <w:rFonts w:ascii="Times New Roman" w:hAnsi="Times New Roman" w:eastAsia="宋体" w:cs="Times New Roman"/>
                      <w:b w:val="0"/>
                      <w:bCs/>
                      <w:color w:val="000000"/>
                      <w:sz w:val="21"/>
                      <w:szCs w:val="21"/>
                      <w:highlight w:val="none"/>
                    </w:rPr>
                    <w:t>COD</w:t>
                  </w:r>
                </w:p>
              </w:tc>
              <w:tc>
                <w:tcPr>
                  <w:tcW w:w="980" w:type="dxa"/>
                  <w:noWrap w:val="0"/>
                  <w:vAlign w:val="center"/>
                </w:tcPr>
                <w:p>
                  <w:pPr>
                    <w:jc w:val="center"/>
                    <w:rPr>
                      <w:rFonts w:hint="eastAsia" w:ascii="Times New Roman" w:hAnsi="Times New Roman" w:eastAsia="宋体" w:cs="Times New Roman"/>
                      <w:b w:val="0"/>
                      <w:bCs/>
                      <w:color w:val="000000"/>
                      <w:sz w:val="21"/>
                      <w:szCs w:val="21"/>
                      <w:highlight w:val="none"/>
                      <w:lang w:eastAsia="zh-CN"/>
                    </w:rPr>
                  </w:pPr>
                  <w:r>
                    <w:rPr>
                      <w:rFonts w:hint="eastAsia" w:cs="Times New Roman"/>
                      <w:b w:val="0"/>
                      <w:bCs/>
                      <w:color w:val="000000"/>
                      <w:sz w:val="21"/>
                      <w:szCs w:val="21"/>
                      <w:highlight w:val="none"/>
                      <w:lang w:eastAsia="zh-CN"/>
                    </w:rPr>
                    <w:t>BOD</w:t>
                  </w:r>
                  <w:r>
                    <w:rPr>
                      <w:rFonts w:hint="eastAsia" w:cs="Times New Roman"/>
                      <w:b w:val="0"/>
                      <w:bCs/>
                      <w:color w:val="000000"/>
                      <w:sz w:val="21"/>
                      <w:szCs w:val="21"/>
                      <w:highlight w:val="none"/>
                      <w:vertAlign w:val="subscript"/>
                      <w:lang w:eastAsia="zh-CN"/>
                    </w:rPr>
                    <w:t>5</w:t>
                  </w:r>
                </w:p>
              </w:tc>
              <w:tc>
                <w:tcPr>
                  <w:tcW w:w="1043" w:type="dxa"/>
                  <w:noWrap w:val="0"/>
                  <w:vAlign w:val="center"/>
                </w:tcPr>
                <w:p>
                  <w:pPr>
                    <w:jc w:val="center"/>
                    <w:rPr>
                      <w:rFonts w:ascii="Times New Roman" w:hAnsi="Times New Roman" w:eastAsia="宋体" w:cs="Times New Roman"/>
                      <w:b w:val="0"/>
                      <w:bCs/>
                      <w:color w:val="000000"/>
                      <w:sz w:val="21"/>
                      <w:szCs w:val="21"/>
                      <w:highlight w:val="none"/>
                    </w:rPr>
                  </w:pPr>
                  <w:r>
                    <w:rPr>
                      <w:rFonts w:ascii="Times New Roman" w:hAnsi="Times New Roman" w:eastAsia="宋体" w:cs="Times New Roman"/>
                      <w:b w:val="0"/>
                      <w:bCs/>
                      <w:color w:val="000000"/>
                      <w:sz w:val="21"/>
                      <w:szCs w:val="21"/>
                      <w:highlight w:val="none"/>
                    </w:rPr>
                    <w:t>氨氮</w:t>
                  </w:r>
                </w:p>
              </w:tc>
              <w:tc>
                <w:tcPr>
                  <w:tcW w:w="1037" w:type="dxa"/>
                  <w:noWrap w:val="0"/>
                  <w:vAlign w:val="center"/>
                </w:tcPr>
                <w:p>
                  <w:pPr>
                    <w:jc w:val="center"/>
                    <w:rPr>
                      <w:rFonts w:ascii="Times New Roman" w:hAnsi="Times New Roman" w:eastAsia="宋体" w:cs="Times New Roman"/>
                      <w:b w:val="0"/>
                      <w:bCs/>
                      <w:color w:val="000000"/>
                      <w:sz w:val="21"/>
                      <w:szCs w:val="21"/>
                      <w:highlight w:val="none"/>
                    </w:rPr>
                  </w:pPr>
                  <w:r>
                    <w:rPr>
                      <w:rFonts w:ascii="Times New Roman" w:hAnsi="Times New Roman" w:eastAsia="宋体" w:cs="Times New Roman"/>
                      <w:b w:val="0"/>
                      <w:bCs/>
                      <w:color w:val="000000"/>
                      <w:sz w:val="21"/>
                      <w:szCs w:val="21"/>
                      <w:highlight w:val="none"/>
                    </w:rPr>
                    <w:t>石油类</w:t>
                  </w:r>
                </w:p>
              </w:tc>
              <w:tc>
                <w:tcPr>
                  <w:tcW w:w="1025" w:type="dxa"/>
                  <w:noWrap w:val="0"/>
                  <w:vAlign w:val="center"/>
                </w:tcPr>
                <w:p>
                  <w:pPr>
                    <w:jc w:val="center"/>
                    <w:rPr>
                      <w:rFonts w:ascii="Times New Roman" w:hAnsi="Times New Roman" w:eastAsia="宋体" w:cs="Times New Roman"/>
                      <w:b w:val="0"/>
                      <w:bCs/>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lang w:val="en-US" w:eastAsia="zh-CN"/>
                    </w:rPr>
                    <w:t>总磷</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Ex>
              <w:trPr>
                <w:trHeight w:val="532" w:hRule="exact"/>
                <w:jc w:val="center"/>
              </w:trPr>
              <w:tc>
                <w:tcPr>
                  <w:tcW w:w="1666"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GB3838-2002Ⅲ</w:t>
                  </w:r>
                </w:p>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类标准值</w:t>
                  </w:r>
                </w:p>
              </w:tc>
              <w:tc>
                <w:tcPr>
                  <w:tcW w:w="1009"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6～9</w:t>
                  </w:r>
                </w:p>
              </w:tc>
              <w:tc>
                <w:tcPr>
                  <w:tcW w:w="950"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≤20</w:t>
                  </w:r>
                </w:p>
              </w:tc>
              <w:tc>
                <w:tcPr>
                  <w:tcW w:w="980"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≤4</w:t>
                  </w:r>
                </w:p>
              </w:tc>
              <w:tc>
                <w:tcPr>
                  <w:tcW w:w="1043"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≤1.0</w:t>
                  </w:r>
                </w:p>
              </w:tc>
              <w:tc>
                <w:tcPr>
                  <w:tcW w:w="1037"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≤0.05</w:t>
                  </w:r>
                </w:p>
              </w:tc>
              <w:tc>
                <w:tcPr>
                  <w:tcW w:w="1025"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rPr>
                    <w:t>≤0.</w:t>
                  </w:r>
                  <w:r>
                    <w:rPr>
                      <w:rFonts w:hint="eastAsia" w:ascii="Times New Roman" w:hAnsi="Times New Roman" w:eastAsia="宋体" w:cs="Times New Roman"/>
                      <w:color w:val="000000"/>
                      <w:sz w:val="21"/>
                      <w:szCs w:val="21"/>
                      <w:highlight w:val="none"/>
                      <w:lang w:val="en-US" w:eastAsia="zh-CN"/>
                    </w:rPr>
                    <w:t>2</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b/>
                <w:bCs/>
                <w:color w:val="000000"/>
                <w:sz w:val="21"/>
                <w:szCs w:val="21"/>
                <w:highlight w:val="none"/>
              </w:rPr>
            </w:pPr>
            <w:r>
              <w:rPr>
                <w:rFonts w:hint="eastAsia"/>
                <w:b/>
                <w:bCs/>
                <w:color w:val="000000"/>
                <w:sz w:val="21"/>
                <w:szCs w:val="21"/>
                <w:highlight w:val="none"/>
              </w:rPr>
              <w:t>3.10.</w:t>
            </w:r>
            <w:r>
              <w:rPr>
                <w:rFonts w:hint="eastAsia"/>
                <w:b/>
                <w:bCs/>
                <w:color w:val="000000"/>
                <w:sz w:val="21"/>
                <w:szCs w:val="21"/>
                <w:highlight w:val="none"/>
                <w:lang w:val="en-US" w:eastAsia="zh-CN"/>
              </w:rPr>
              <w:t>3 声</w:t>
            </w:r>
            <w:r>
              <w:rPr>
                <w:b/>
                <w:bCs/>
                <w:color w:val="000000"/>
                <w:sz w:val="21"/>
                <w:szCs w:val="21"/>
                <w:highlight w:val="none"/>
              </w:rPr>
              <w:t>环境</w:t>
            </w:r>
          </w:p>
          <w:p>
            <w:pPr>
              <w:keepNext w:val="0"/>
              <w:keepLines w:val="0"/>
              <w:pageBreakBefore w:val="0"/>
              <w:widowControl w:val="0"/>
              <w:spacing w:line="360" w:lineRule="auto"/>
              <w:ind w:firstLine="480"/>
              <w:rPr>
                <w:color w:val="000000"/>
                <w:sz w:val="21"/>
                <w:szCs w:val="21"/>
                <w:highlight w:val="none"/>
              </w:rPr>
            </w:pPr>
            <w:r>
              <w:rPr>
                <w:rFonts w:hint="eastAsia"/>
                <w:color w:val="000000"/>
                <w:sz w:val="21"/>
                <w:szCs w:val="21"/>
                <w:highlight w:val="none"/>
                <w:lang w:val="en-US" w:eastAsia="zh-CN"/>
              </w:rPr>
              <w:t>根据</w:t>
            </w:r>
            <w:r>
              <w:rPr>
                <w:rFonts w:hint="eastAsia"/>
                <w:color w:val="000000"/>
                <w:sz w:val="21"/>
                <w:szCs w:val="21"/>
                <w:highlight w:val="none"/>
                <w:lang w:eastAsia="zh-CN"/>
              </w:rPr>
              <w:t>永州市人民政府办公室印发的关于《永州市中心城区声环境功能区划分方案》的通知（永政办发〔2020〕25号），</w:t>
            </w:r>
            <w:r>
              <w:rPr>
                <w:color w:val="000000"/>
                <w:sz w:val="21"/>
                <w:szCs w:val="21"/>
                <w:highlight w:val="none"/>
              </w:rPr>
              <w:t>本项目</w:t>
            </w:r>
            <w:r>
              <w:rPr>
                <w:rFonts w:hint="eastAsia"/>
                <w:color w:val="000000"/>
                <w:sz w:val="21"/>
                <w:szCs w:val="21"/>
                <w:highlight w:val="none"/>
                <w:lang w:val="en-US" w:eastAsia="zh-CN"/>
              </w:rPr>
              <w:t>道路</w:t>
            </w:r>
            <w:r>
              <w:rPr>
                <w:color w:val="000000"/>
                <w:sz w:val="21"/>
                <w:szCs w:val="21"/>
                <w:highlight w:val="none"/>
              </w:rPr>
              <w:t>两侧35m红线以内执行《声环境质量标准》（GB3096-2008）4a类标准，</w:t>
            </w:r>
            <w:r>
              <w:rPr>
                <w:rFonts w:hint="eastAsia"/>
                <w:color w:val="000000"/>
                <w:sz w:val="21"/>
                <w:szCs w:val="21"/>
                <w:highlight w:val="none"/>
                <w:lang w:val="en-US" w:eastAsia="zh-CN"/>
              </w:rPr>
              <w:t>道路</w:t>
            </w:r>
            <w:r>
              <w:rPr>
                <w:color w:val="000000"/>
                <w:sz w:val="21"/>
                <w:szCs w:val="21"/>
                <w:highlight w:val="none"/>
              </w:rPr>
              <w:t>两侧35m红线以外执行《声环境质量标准》（GB3096-2008）2类标准。</w:t>
            </w:r>
          </w:p>
          <w:p>
            <w:pPr>
              <w:ind w:firstLine="422"/>
              <w:jc w:val="center"/>
              <w:rPr>
                <w:rFonts w:hint="default" w:ascii="Times New Roman" w:hAnsi="Times New Roman" w:eastAsia="宋体" w:cs="Times New Roman"/>
                <w:bCs/>
                <w:color w:val="000000"/>
                <w:sz w:val="21"/>
                <w:szCs w:val="21"/>
                <w:highlight w:val="none"/>
                <w:lang w:val="en-US" w:eastAsia="zh-CN"/>
              </w:rPr>
            </w:pPr>
            <w:r>
              <w:rPr>
                <w:b/>
                <w:bCs/>
                <w:color w:val="000000"/>
                <w:sz w:val="21"/>
                <w:szCs w:val="21"/>
                <w:highlight w:val="none"/>
              </w:rPr>
              <w:t>表</w:t>
            </w:r>
            <w:r>
              <w:rPr>
                <w:rFonts w:hint="eastAsia"/>
                <w:b/>
                <w:bCs/>
                <w:color w:val="000000"/>
                <w:sz w:val="21"/>
                <w:szCs w:val="21"/>
                <w:highlight w:val="none"/>
                <w:lang w:val="en-US" w:eastAsia="zh-CN"/>
              </w:rPr>
              <w:t xml:space="preserve">3-7 </w:t>
            </w:r>
            <w:r>
              <w:rPr>
                <w:rFonts w:ascii="Times New Roman" w:hAnsi="Times New Roman" w:eastAsia="宋体" w:cs="Times New Roman"/>
                <w:b/>
                <w:bCs/>
                <w:color w:val="000000"/>
                <w:sz w:val="21"/>
                <w:szCs w:val="21"/>
                <w:highlight w:val="none"/>
              </w:rPr>
              <w:t>《</w:t>
            </w:r>
            <w:r>
              <w:rPr>
                <w:rFonts w:hint="eastAsia" w:ascii="Times New Roman" w:hAnsi="Times New Roman" w:eastAsia="宋体" w:cs="Times New Roman"/>
                <w:b/>
                <w:bCs/>
                <w:color w:val="000000"/>
                <w:sz w:val="21"/>
                <w:szCs w:val="21"/>
                <w:highlight w:val="none"/>
                <w:lang w:val="en-US" w:eastAsia="zh-CN"/>
              </w:rPr>
              <w:t>声</w:t>
            </w:r>
            <w:r>
              <w:rPr>
                <w:rFonts w:ascii="Times New Roman" w:hAnsi="Times New Roman" w:eastAsia="宋体" w:cs="Times New Roman"/>
                <w:b/>
                <w:bCs/>
                <w:color w:val="000000"/>
                <w:sz w:val="21"/>
                <w:szCs w:val="21"/>
                <w:highlight w:val="none"/>
              </w:rPr>
              <w:t xml:space="preserve">环境质量标准》 </w:t>
            </w:r>
            <w:r>
              <w:rPr>
                <w:rFonts w:hint="eastAsia" w:ascii="Times New Roman" w:hAnsi="Times New Roman" w:eastAsia="宋体" w:cs="Times New Roman"/>
                <w:b/>
                <w:bCs/>
                <w:color w:val="000000"/>
                <w:sz w:val="21"/>
                <w:szCs w:val="21"/>
                <w:highlight w:val="none"/>
                <w:lang w:val="en-US" w:eastAsia="zh-CN"/>
              </w:rPr>
              <w:t>单位：dB（A）</w:t>
            </w:r>
          </w:p>
          <w:tbl>
            <w:tblPr>
              <w:tblStyle w:val="41"/>
              <w:tblW w:w="77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6"/>
              <w:gridCol w:w="89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1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b w:val="0"/>
                      <w:bCs w:val="0"/>
                      <w:color w:val="000000"/>
                      <w:sz w:val="21"/>
                      <w:szCs w:val="21"/>
                      <w:highlight w:val="none"/>
                      <w:vertAlign w:val="baseline"/>
                      <w:lang w:val="en-US" w:eastAsia="zh-CN"/>
                    </w:rPr>
                  </w:pPr>
                  <w:r>
                    <w:rPr>
                      <w:rFonts w:hint="eastAsia"/>
                      <w:b w:val="0"/>
                      <w:bCs w:val="0"/>
                      <w:color w:val="000000"/>
                      <w:sz w:val="21"/>
                      <w:szCs w:val="21"/>
                      <w:highlight w:val="none"/>
                      <w:vertAlign w:val="baseline"/>
                      <w:lang w:val="en-US" w:eastAsia="zh-CN"/>
                    </w:rPr>
                    <w:t>声环境功能区类别</w:t>
                  </w:r>
                </w:p>
              </w:tc>
              <w:tc>
                <w:tcPr>
                  <w:tcW w:w="8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b w:val="0"/>
                      <w:bCs w:val="0"/>
                      <w:color w:val="000000"/>
                      <w:sz w:val="21"/>
                      <w:szCs w:val="21"/>
                      <w:highlight w:val="none"/>
                      <w:vertAlign w:val="baseline"/>
                      <w:lang w:val="en-US" w:eastAsia="zh-CN"/>
                    </w:rPr>
                  </w:pPr>
                  <w:r>
                    <w:rPr>
                      <w:rFonts w:hint="eastAsia"/>
                      <w:b w:val="0"/>
                      <w:bCs w:val="0"/>
                      <w:color w:val="000000"/>
                      <w:sz w:val="21"/>
                      <w:szCs w:val="21"/>
                      <w:highlight w:val="none"/>
                      <w:vertAlign w:val="baseline"/>
                      <w:lang w:val="en-US" w:eastAsia="zh-CN"/>
                    </w:rPr>
                    <w:t>昼间</w:t>
                  </w:r>
                </w:p>
              </w:tc>
              <w:tc>
                <w:tcPr>
                  <w:tcW w:w="8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b w:val="0"/>
                      <w:bCs w:val="0"/>
                      <w:color w:val="000000"/>
                      <w:sz w:val="21"/>
                      <w:szCs w:val="21"/>
                      <w:highlight w:val="none"/>
                      <w:vertAlign w:val="baseline"/>
                      <w:lang w:val="en-US" w:eastAsia="zh-CN"/>
                    </w:rPr>
                  </w:pPr>
                  <w:r>
                    <w:rPr>
                      <w:rFonts w:hint="eastAsia"/>
                      <w:b w:val="0"/>
                      <w:bCs w:val="0"/>
                      <w:color w:val="000000"/>
                      <w:sz w:val="21"/>
                      <w:szCs w:val="21"/>
                      <w:highlight w:val="none"/>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1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b w:val="0"/>
                      <w:bCs w:val="0"/>
                      <w:color w:val="000000"/>
                      <w:sz w:val="21"/>
                      <w:szCs w:val="21"/>
                      <w:highlight w:val="none"/>
                      <w:vertAlign w:val="baseline"/>
                      <w:lang w:val="en-US" w:eastAsia="zh-CN"/>
                    </w:rPr>
                  </w:pPr>
                  <w:r>
                    <w:rPr>
                      <w:rFonts w:hint="eastAsia"/>
                      <w:b w:val="0"/>
                      <w:bCs w:val="0"/>
                      <w:color w:val="000000"/>
                      <w:sz w:val="21"/>
                      <w:szCs w:val="21"/>
                      <w:highlight w:val="none"/>
                      <w:vertAlign w:val="baseline"/>
                      <w:lang w:val="en-US" w:eastAsia="zh-CN"/>
                    </w:rPr>
                    <w:t>《声环境质量标准》（GB3096-2008）4a类</w:t>
                  </w:r>
                </w:p>
              </w:tc>
              <w:tc>
                <w:tcPr>
                  <w:tcW w:w="8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b w:val="0"/>
                      <w:bCs w:val="0"/>
                      <w:color w:val="000000"/>
                      <w:sz w:val="21"/>
                      <w:szCs w:val="21"/>
                      <w:highlight w:val="none"/>
                      <w:vertAlign w:val="baseline"/>
                      <w:lang w:val="en-US" w:eastAsia="zh-CN"/>
                    </w:rPr>
                  </w:pPr>
                  <w:r>
                    <w:rPr>
                      <w:rFonts w:hint="eastAsia"/>
                      <w:b w:val="0"/>
                      <w:bCs w:val="0"/>
                      <w:color w:val="000000"/>
                      <w:sz w:val="21"/>
                      <w:szCs w:val="21"/>
                      <w:highlight w:val="none"/>
                      <w:vertAlign w:val="baseline"/>
                      <w:lang w:val="en-US" w:eastAsia="zh-CN"/>
                    </w:rPr>
                    <w:t>70</w:t>
                  </w:r>
                </w:p>
              </w:tc>
              <w:tc>
                <w:tcPr>
                  <w:tcW w:w="8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b w:val="0"/>
                      <w:bCs w:val="0"/>
                      <w:color w:val="000000"/>
                      <w:sz w:val="21"/>
                      <w:szCs w:val="21"/>
                      <w:highlight w:val="none"/>
                      <w:vertAlign w:val="baseline"/>
                      <w:lang w:val="en-US" w:eastAsia="zh-CN"/>
                    </w:rPr>
                  </w:pPr>
                  <w:r>
                    <w:rPr>
                      <w:rFonts w:hint="eastAsia"/>
                      <w:b w:val="0"/>
                      <w:bCs w:val="0"/>
                      <w:color w:val="000000"/>
                      <w:sz w:val="21"/>
                      <w:szCs w:val="21"/>
                      <w:highlight w:val="none"/>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916"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b w:val="0"/>
                      <w:bCs w:val="0"/>
                      <w:color w:val="000000"/>
                      <w:sz w:val="21"/>
                      <w:szCs w:val="21"/>
                      <w:highlight w:val="none"/>
                      <w:vertAlign w:val="baseline"/>
                      <w:lang w:val="en-US" w:eastAsia="zh-CN"/>
                    </w:rPr>
                  </w:pPr>
                  <w:r>
                    <w:rPr>
                      <w:b w:val="0"/>
                      <w:bCs w:val="0"/>
                      <w:color w:val="000000"/>
                      <w:sz w:val="21"/>
                      <w:szCs w:val="21"/>
                      <w:highlight w:val="none"/>
                    </w:rPr>
                    <w:t>《声环境质量标准》（GB3096-2008）2类</w:t>
                  </w:r>
                </w:p>
              </w:tc>
              <w:tc>
                <w:tcPr>
                  <w:tcW w:w="8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b w:val="0"/>
                      <w:bCs w:val="0"/>
                      <w:color w:val="000000"/>
                      <w:sz w:val="21"/>
                      <w:szCs w:val="21"/>
                      <w:highlight w:val="none"/>
                      <w:vertAlign w:val="baseline"/>
                      <w:lang w:val="en-US" w:eastAsia="zh-CN"/>
                    </w:rPr>
                  </w:pPr>
                  <w:r>
                    <w:rPr>
                      <w:rFonts w:hint="eastAsia"/>
                      <w:b w:val="0"/>
                      <w:bCs w:val="0"/>
                      <w:color w:val="000000"/>
                      <w:sz w:val="21"/>
                      <w:szCs w:val="21"/>
                      <w:highlight w:val="none"/>
                      <w:vertAlign w:val="baseline"/>
                      <w:lang w:val="en-US" w:eastAsia="zh-CN"/>
                    </w:rPr>
                    <w:t>60</w:t>
                  </w:r>
                </w:p>
              </w:tc>
              <w:tc>
                <w:tcPr>
                  <w:tcW w:w="89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b w:val="0"/>
                      <w:bCs w:val="0"/>
                      <w:color w:val="000000"/>
                      <w:sz w:val="21"/>
                      <w:szCs w:val="21"/>
                      <w:highlight w:val="none"/>
                      <w:vertAlign w:val="baseline"/>
                      <w:lang w:val="en-US" w:eastAsia="zh-CN"/>
                    </w:rPr>
                  </w:pPr>
                  <w:r>
                    <w:rPr>
                      <w:rFonts w:hint="eastAsia"/>
                      <w:b w:val="0"/>
                      <w:bCs w:val="0"/>
                      <w:color w:val="000000"/>
                      <w:sz w:val="21"/>
                      <w:szCs w:val="21"/>
                      <w:highlight w:val="none"/>
                      <w:vertAlign w:val="baseline"/>
                      <w:lang w:val="en-US" w:eastAsia="zh-CN"/>
                    </w:rPr>
                    <w:t>50</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b/>
                <w:bCs/>
                <w:color w:val="000000"/>
                <w:sz w:val="21"/>
                <w:szCs w:val="21"/>
                <w:highlight w:val="none"/>
              </w:rPr>
            </w:pPr>
            <w:r>
              <w:rPr>
                <w:rFonts w:hint="eastAsia"/>
                <w:b/>
                <w:bCs/>
                <w:color w:val="000000"/>
                <w:sz w:val="21"/>
                <w:szCs w:val="21"/>
                <w:highlight w:val="none"/>
                <w:lang w:val="en-US" w:eastAsia="zh-CN"/>
              </w:rPr>
              <w:t>3.11 污染物排放标准</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b/>
                <w:bCs/>
                <w:color w:val="000000"/>
                <w:sz w:val="21"/>
                <w:szCs w:val="21"/>
                <w:highlight w:val="none"/>
                <w:lang w:val="en-US"/>
              </w:rPr>
            </w:pPr>
            <w:r>
              <w:rPr>
                <w:rFonts w:hint="eastAsia"/>
                <w:b/>
                <w:bCs/>
                <w:color w:val="000000"/>
                <w:sz w:val="21"/>
                <w:szCs w:val="21"/>
                <w:highlight w:val="none"/>
                <w:lang w:val="en-US" w:eastAsia="zh-CN"/>
              </w:rPr>
              <w:t>3.11.1 废气</w:t>
            </w:r>
          </w:p>
          <w:p>
            <w:pPr>
              <w:spacing w:line="360" w:lineRule="auto"/>
              <w:ind w:firstLine="480"/>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大气污染物排放标准执行《大气污染物综合排放标准》（GB16297-1996）</w:t>
            </w:r>
            <w:r>
              <w:rPr>
                <w:rFonts w:hint="eastAsia" w:ascii="Times New Roman" w:hAnsi="Times New Roman" w:eastAsia="宋体" w:cs="Times New Roman"/>
                <w:color w:val="000000"/>
                <w:sz w:val="21"/>
                <w:szCs w:val="21"/>
                <w:highlight w:val="none"/>
              </w:rPr>
              <w:t>表2中的无组织排放浓度标准，详情如下：</w:t>
            </w:r>
          </w:p>
          <w:p>
            <w:pPr>
              <w:tabs>
                <w:tab w:val="left" w:pos="2139"/>
              </w:tabs>
              <w:spacing w:before="62"/>
              <w:ind w:firstLine="1265"/>
              <w:rPr>
                <w:rFonts w:hint="eastAsia" w:ascii="Times New Roman" w:hAnsi="Times New Roman" w:eastAsia="宋体" w:cs="Times New Roman"/>
                <w:b/>
                <w:bCs/>
                <w:color w:val="000000"/>
                <w:spacing w:val="-1"/>
                <w:sz w:val="21"/>
                <w:szCs w:val="21"/>
                <w:highlight w:val="none"/>
                <w:lang w:eastAsia="zh-CN"/>
              </w:rPr>
            </w:pPr>
            <w:r>
              <w:rPr>
                <w:rFonts w:ascii="Times New Roman" w:hAnsi="Times New Roman" w:eastAsia="宋体" w:cs="Times New Roman"/>
                <w:b/>
                <w:bCs/>
                <w:color w:val="000000"/>
                <w:sz w:val="21"/>
                <w:szCs w:val="21"/>
                <w:highlight w:val="none"/>
              </w:rPr>
              <w:t>表</w:t>
            </w:r>
            <w:r>
              <w:rPr>
                <w:rFonts w:hint="eastAsia" w:ascii="Times New Roman" w:hAnsi="Times New Roman" w:eastAsia="宋体" w:cs="Times New Roman"/>
                <w:b/>
                <w:bCs/>
                <w:color w:val="000000"/>
                <w:sz w:val="21"/>
                <w:szCs w:val="21"/>
                <w:highlight w:val="none"/>
                <w:lang w:val="en-US" w:eastAsia="zh-CN"/>
              </w:rPr>
              <w:t>3</w:t>
            </w:r>
            <w:r>
              <w:rPr>
                <w:rFonts w:hint="eastAsia" w:cs="Times New Roman"/>
                <w:b/>
                <w:bCs/>
                <w:color w:val="000000"/>
                <w:sz w:val="21"/>
                <w:szCs w:val="21"/>
                <w:highlight w:val="none"/>
                <w:lang w:val="en-US" w:eastAsia="zh-CN"/>
              </w:rPr>
              <w:t xml:space="preserve">-8 </w:t>
            </w:r>
            <w:r>
              <w:rPr>
                <w:rFonts w:ascii="Times New Roman" w:hAnsi="Times New Roman" w:eastAsia="宋体" w:cs="Times New Roman"/>
                <w:b/>
                <w:bCs/>
                <w:color w:val="000000"/>
                <w:spacing w:val="-1"/>
                <w:sz w:val="21"/>
                <w:szCs w:val="21"/>
                <w:highlight w:val="none"/>
              </w:rPr>
              <w:t>《大气污染物综合排放标准》（GB16297-1996）</w:t>
            </w:r>
            <w:r>
              <w:rPr>
                <w:rFonts w:ascii="Times New Roman" w:hAnsi="Times New Roman" w:eastAsia="宋体" w:cs="Times New Roman"/>
                <w:b/>
                <w:bCs w:val="0"/>
                <w:color w:val="000000"/>
                <w:spacing w:val="-1"/>
                <w:sz w:val="21"/>
                <w:szCs w:val="21"/>
                <w:highlight w:val="none"/>
              </w:rPr>
              <w:t>单位：mg/</w:t>
            </w:r>
            <w:r>
              <w:rPr>
                <w:rFonts w:hint="eastAsia" w:cs="Times New Roman"/>
                <w:b/>
                <w:bCs w:val="0"/>
                <w:color w:val="000000"/>
                <w:spacing w:val="-1"/>
                <w:sz w:val="21"/>
                <w:szCs w:val="21"/>
                <w:highlight w:val="none"/>
                <w:lang w:eastAsia="zh-CN"/>
              </w:rPr>
              <w:t>m</w:t>
            </w:r>
            <w:r>
              <w:rPr>
                <w:rFonts w:hint="eastAsia" w:cs="Times New Roman"/>
                <w:b/>
                <w:bCs w:val="0"/>
                <w:color w:val="000000"/>
                <w:spacing w:val="-1"/>
                <w:sz w:val="21"/>
                <w:szCs w:val="21"/>
                <w:highlight w:val="none"/>
                <w:vertAlign w:val="superscript"/>
                <w:lang w:eastAsia="zh-CN"/>
              </w:rPr>
              <w:t>3</w:t>
            </w:r>
          </w:p>
          <w:tbl>
            <w:tblPr>
              <w:tblStyle w:val="40"/>
              <w:tblW w:w="7713" w:type="dxa"/>
              <w:jc w:val="center"/>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3271"/>
              <w:gridCol w:w="4442"/>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3271" w:type="dxa"/>
                  <w:noWrap w:val="0"/>
                  <w:vAlign w:val="center"/>
                </w:tcPr>
                <w:p>
                  <w:pPr>
                    <w:keepNext w:val="0"/>
                    <w:keepLines w:val="0"/>
                    <w:pageBreakBefore w:val="0"/>
                    <w:widowControl w:val="0"/>
                    <w:tabs>
                      <w:tab w:val="left" w:pos="2139"/>
                    </w:tabs>
                    <w:kinsoku/>
                    <w:wordWrap/>
                    <w:overflowPunct/>
                    <w:topLinePunct w:val="0"/>
                    <w:autoSpaceDE/>
                    <w:autoSpaceDN/>
                    <w:bidi w:val="0"/>
                    <w:adjustRightInd w:val="0"/>
                    <w:snapToGrid/>
                    <w:spacing w:line="240" w:lineRule="auto"/>
                    <w:ind w:left="0" w:right="0" w:firstLine="0"/>
                    <w:jc w:val="center"/>
                    <w:textAlignment w:val="auto"/>
                    <w:outlineLvl w:val="9"/>
                    <w:rPr>
                      <w:rFonts w:ascii="Times New Roman" w:hAnsi="Times New Roman" w:eastAsia="宋体" w:cs="Times New Roman"/>
                      <w:b w:val="0"/>
                      <w:bCs w:val="0"/>
                      <w:color w:val="000000"/>
                      <w:spacing w:val="-1"/>
                      <w:sz w:val="21"/>
                      <w:szCs w:val="21"/>
                      <w:highlight w:val="none"/>
                    </w:rPr>
                  </w:pPr>
                  <w:r>
                    <w:rPr>
                      <w:rFonts w:ascii="Times New Roman" w:hAnsi="Times New Roman" w:eastAsia="宋体" w:cs="Times New Roman"/>
                      <w:b w:val="0"/>
                      <w:bCs w:val="0"/>
                      <w:color w:val="000000"/>
                      <w:spacing w:val="-1"/>
                      <w:sz w:val="21"/>
                      <w:szCs w:val="21"/>
                      <w:highlight w:val="none"/>
                    </w:rPr>
                    <w:t>污染物名称</w:t>
                  </w:r>
                </w:p>
              </w:tc>
              <w:tc>
                <w:tcPr>
                  <w:tcW w:w="4442" w:type="dxa"/>
                  <w:noWrap w:val="0"/>
                  <w:vAlign w:val="center"/>
                </w:tcPr>
                <w:p>
                  <w:pPr>
                    <w:keepNext w:val="0"/>
                    <w:keepLines w:val="0"/>
                    <w:pageBreakBefore w:val="0"/>
                    <w:widowControl w:val="0"/>
                    <w:tabs>
                      <w:tab w:val="left" w:pos="2139"/>
                    </w:tabs>
                    <w:kinsoku/>
                    <w:wordWrap/>
                    <w:overflowPunct/>
                    <w:topLinePunct w:val="0"/>
                    <w:autoSpaceDE/>
                    <w:autoSpaceDN/>
                    <w:bidi w:val="0"/>
                    <w:adjustRightInd w:val="0"/>
                    <w:snapToGrid/>
                    <w:spacing w:line="240" w:lineRule="auto"/>
                    <w:ind w:left="0" w:right="0" w:firstLine="0"/>
                    <w:jc w:val="center"/>
                    <w:textAlignment w:val="auto"/>
                    <w:outlineLvl w:val="9"/>
                    <w:rPr>
                      <w:rFonts w:ascii="Times New Roman" w:hAnsi="Times New Roman" w:eastAsia="宋体" w:cs="Times New Roman"/>
                      <w:b w:val="0"/>
                      <w:bCs w:val="0"/>
                      <w:color w:val="000000"/>
                      <w:spacing w:val="-1"/>
                      <w:sz w:val="21"/>
                      <w:szCs w:val="21"/>
                      <w:highlight w:val="none"/>
                    </w:rPr>
                  </w:pPr>
                  <w:r>
                    <w:rPr>
                      <w:rFonts w:ascii="Times New Roman" w:hAnsi="Times New Roman" w:eastAsia="宋体" w:cs="Times New Roman"/>
                      <w:b w:val="0"/>
                      <w:bCs w:val="0"/>
                      <w:color w:val="000000"/>
                      <w:spacing w:val="-1"/>
                      <w:sz w:val="21"/>
                      <w:szCs w:val="21"/>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3271" w:type="dxa"/>
                  <w:noWrap w:val="0"/>
                  <w:vAlign w:val="center"/>
                </w:tcPr>
                <w:p>
                  <w:pPr>
                    <w:keepNext w:val="0"/>
                    <w:keepLines w:val="0"/>
                    <w:pageBreakBefore w:val="0"/>
                    <w:widowControl w:val="0"/>
                    <w:tabs>
                      <w:tab w:val="left" w:pos="2139"/>
                    </w:tabs>
                    <w:kinsoku/>
                    <w:wordWrap/>
                    <w:overflowPunct/>
                    <w:topLinePunct w:val="0"/>
                    <w:autoSpaceDE/>
                    <w:autoSpaceDN/>
                    <w:bidi w:val="0"/>
                    <w:adjustRightInd w:val="0"/>
                    <w:snapToGrid/>
                    <w:spacing w:line="240" w:lineRule="auto"/>
                    <w:ind w:left="0" w:right="0" w:firstLine="0"/>
                    <w:jc w:val="center"/>
                    <w:textAlignment w:val="auto"/>
                    <w:outlineLvl w:val="9"/>
                    <w:rPr>
                      <w:rFonts w:ascii="Times New Roman" w:hAnsi="Times New Roman" w:eastAsia="宋体" w:cs="Times New Roman"/>
                      <w:bCs/>
                      <w:color w:val="000000"/>
                      <w:spacing w:val="-1"/>
                      <w:sz w:val="21"/>
                      <w:szCs w:val="21"/>
                      <w:highlight w:val="none"/>
                    </w:rPr>
                  </w:pPr>
                  <w:r>
                    <w:rPr>
                      <w:rFonts w:ascii="Times New Roman" w:hAnsi="Times New Roman" w:eastAsia="宋体" w:cs="Times New Roman"/>
                      <w:bCs/>
                      <w:color w:val="000000"/>
                      <w:spacing w:val="-1"/>
                      <w:sz w:val="21"/>
                      <w:szCs w:val="21"/>
                      <w:highlight w:val="none"/>
                    </w:rPr>
                    <w:t>颗粒物</w:t>
                  </w:r>
                </w:p>
              </w:tc>
              <w:tc>
                <w:tcPr>
                  <w:tcW w:w="4442" w:type="dxa"/>
                  <w:noWrap w:val="0"/>
                  <w:vAlign w:val="center"/>
                </w:tcPr>
                <w:p>
                  <w:pPr>
                    <w:keepNext w:val="0"/>
                    <w:keepLines w:val="0"/>
                    <w:pageBreakBefore w:val="0"/>
                    <w:widowControl w:val="0"/>
                    <w:tabs>
                      <w:tab w:val="left" w:pos="2139"/>
                    </w:tabs>
                    <w:kinsoku/>
                    <w:wordWrap/>
                    <w:overflowPunct/>
                    <w:topLinePunct w:val="0"/>
                    <w:autoSpaceDE/>
                    <w:autoSpaceDN/>
                    <w:bidi w:val="0"/>
                    <w:adjustRightInd w:val="0"/>
                    <w:snapToGrid/>
                    <w:spacing w:line="240" w:lineRule="auto"/>
                    <w:ind w:left="0" w:right="0" w:firstLine="0"/>
                    <w:jc w:val="center"/>
                    <w:textAlignment w:val="auto"/>
                    <w:outlineLvl w:val="9"/>
                    <w:rPr>
                      <w:rFonts w:ascii="Times New Roman" w:hAnsi="Times New Roman" w:eastAsia="宋体" w:cs="Times New Roman"/>
                      <w:bCs/>
                      <w:color w:val="000000"/>
                      <w:spacing w:val="-1"/>
                      <w:sz w:val="21"/>
                      <w:szCs w:val="21"/>
                      <w:highlight w:val="none"/>
                    </w:rPr>
                  </w:pPr>
                  <w:r>
                    <w:rPr>
                      <w:rFonts w:ascii="Times New Roman" w:hAnsi="Times New Roman" w:eastAsia="宋体" w:cs="Times New Roman"/>
                      <w:bCs/>
                      <w:color w:val="000000"/>
                      <w:spacing w:val="-1"/>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3271" w:type="dxa"/>
                  <w:noWrap w:val="0"/>
                  <w:vAlign w:val="center"/>
                </w:tcPr>
                <w:p>
                  <w:pPr>
                    <w:keepNext w:val="0"/>
                    <w:keepLines w:val="0"/>
                    <w:pageBreakBefore w:val="0"/>
                    <w:widowControl w:val="0"/>
                    <w:tabs>
                      <w:tab w:val="left" w:pos="2139"/>
                    </w:tabs>
                    <w:kinsoku/>
                    <w:wordWrap/>
                    <w:overflowPunct/>
                    <w:topLinePunct w:val="0"/>
                    <w:autoSpaceDE/>
                    <w:autoSpaceDN/>
                    <w:bidi w:val="0"/>
                    <w:adjustRightInd w:val="0"/>
                    <w:snapToGrid/>
                    <w:spacing w:line="240" w:lineRule="auto"/>
                    <w:ind w:left="0" w:right="0" w:firstLine="0"/>
                    <w:jc w:val="center"/>
                    <w:textAlignment w:val="auto"/>
                    <w:outlineLvl w:val="9"/>
                    <w:rPr>
                      <w:rFonts w:ascii="Times New Roman" w:hAnsi="Times New Roman" w:eastAsia="宋体" w:cs="Times New Roman"/>
                      <w:bCs/>
                      <w:color w:val="000000"/>
                      <w:spacing w:val="-1"/>
                      <w:sz w:val="21"/>
                      <w:szCs w:val="21"/>
                      <w:highlight w:val="none"/>
                    </w:rPr>
                  </w:pPr>
                  <w:r>
                    <w:rPr>
                      <w:rFonts w:ascii="Times New Roman" w:hAnsi="Times New Roman" w:eastAsia="宋体" w:cs="Times New Roman"/>
                      <w:bCs/>
                      <w:color w:val="000000"/>
                      <w:spacing w:val="-1"/>
                      <w:sz w:val="21"/>
                      <w:szCs w:val="21"/>
                      <w:highlight w:val="none"/>
                    </w:rPr>
                    <w:t>氮氧化物</w:t>
                  </w:r>
                </w:p>
              </w:tc>
              <w:tc>
                <w:tcPr>
                  <w:tcW w:w="4442" w:type="dxa"/>
                  <w:noWrap w:val="0"/>
                  <w:vAlign w:val="center"/>
                </w:tcPr>
                <w:p>
                  <w:pPr>
                    <w:keepNext w:val="0"/>
                    <w:keepLines w:val="0"/>
                    <w:pageBreakBefore w:val="0"/>
                    <w:widowControl w:val="0"/>
                    <w:tabs>
                      <w:tab w:val="left" w:pos="2139"/>
                    </w:tabs>
                    <w:kinsoku/>
                    <w:wordWrap/>
                    <w:overflowPunct/>
                    <w:topLinePunct w:val="0"/>
                    <w:autoSpaceDE/>
                    <w:autoSpaceDN/>
                    <w:bidi w:val="0"/>
                    <w:adjustRightInd w:val="0"/>
                    <w:snapToGrid/>
                    <w:spacing w:line="240" w:lineRule="auto"/>
                    <w:ind w:left="0" w:right="0" w:firstLine="0"/>
                    <w:jc w:val="center"/>
                    <w:textAlignment w:val="auto"/>
                    <w:outlineLvl w:val="9"/>
                    <w:rPr>
                      <w:rFonts w:ascii="Times New Roman" w:hAnsi="Times New Roman" w:eastAsia="宋体" w:cs="Times New Roman"/>
                      <w:bCs/>
                      <w:color w:val="000000"/>
                      <w:spacing w:val="-1"/>
                      <w:sz w:val="21"/>
                      <w:szCs w:val="21"/>
                      <w:highlight w:val="none"/>
                    </w:rPr>
                  </w:pPr>
                  <w:r>
                    <w:rPr>
                      <w:rFonts w:ascii="Times New Roman" w:hAnsi="Times New Roman" w:eastAsia="宋体" w:cs="Times New Roman"/>
                      <w:bCs/>
                      <w:color w:val="000000"/>
                      <w:spacing w:val="-1"/>
                      <w:sz w:val="21"/>
                      <w:szCs w:val="21"/>
                      <w:highlight w:val="none"/>
                    </w:rPr>
                    <w:t>0.12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3271" w:type="dxa"/>
                  <w:noWrap w:val="0"/>
                  <w:vAlign w:val="center"/>
                </w:tcPr>
                <w:p>
                  <w:pPr>
                    <w:keepNext w:val="0"/>
                    <w:keepLines w:val="0"/>
                    <w:pageBreakBefore w:val="0"/>
                    <w:widowControl w:val="0"/>
                    <w:tabs>
                      <w:tab w:val="left" w:pos="2139"/>
                    </w:tabs>
                    <w:kinsoku/>
                    <w:wordWrap/>
                    <w:overflowPunct/>
                    <w:topLinePunct w:val="0"/>
                    <w:autoSpaceDE/>
                    <w:autoSpaceDN/>
                    <w:bidi w:val="0"/>
                    <w:adjustRightInd w:val="0"/>
                    <w:snapToGrid/>
                    <w:spacing w:line="240" w:lineRule="auto"/>
                    <w:ind w:left="0" w:right="0" w:firstLine="0"/>
                    <w:jc w:val="center"/>
                    <w:textAlignment w:val="auto"/>
                    <w:outlineLvl w:val="9"/>
                    <w:rPr>
                      <w:rFonts w:ascii="Times New Roman" w:hAnsi="Times New Roman" w:eastAsia="宋体" w:cs="Times New Roman"/>
                      <w:bCs/>
                      <w:color w:val="000000"/>
                      <w:spacing w:val="-1"/>
                      <w:sz w:val="21"/>
                      <w:szCs w:val="21"/>
                      <w:highlight w:val="none"/>
                      <w:lang w:val="en-US" w:eastAsia="zh-CN"/>
                    </w:rPr>
                  </w:pPr>
                  <w:r>
                    <w:rPr>
                      <w:rFonts w:ascii="Times New Roman" w:hAnsi="Times New Roman" w:eastAsia="宋体" w:cs="Times New Roman"/>
                      <w:bCs/>
                      <w:color w:val="000000"/>
                      <w:spacing w:val="-1"/>
                      <w:sz w:val="21"/>
                      <w:szCs w:val="21"/>
                      <w:highlight w:val="none"/>
                      <w:lang w:val="en-US" w:eastAsia="zh-CN"/>
                    </w:rPr>
                    <w:t>二氧化硫</w:t>
                  </w:r>
                </w:p>
              </w:tc>
              <w:tc>
                <w:tcPr>
                  <w:tcW w:w="4442" w:type="dxa"/>
                  <w:noWrap w:val="0"/>
                  <w:vAlign w:val="center"/>
                </w:tcPr>
                <w:p>
                  <w:pPr>
                    <w:keepNext w:val="0"/>
                    <w:keepLines w:val="0"/>
                    <w:pageBreakBefore w:val="0"/>
                    <w:widowControl w:val="0"/>
                    <w:tabs>
                      <w:tab w:val="left" w:pos="2139"/>
                    </w:tabs>
                    <w:kinsoku/>
                    <w:wordWrap/>
                    <w:overflowPunct/>
                    <w:topLinePunct w:val="0"/>
                    <w:autoSpaceDE/>
                    <w:autoSpaceDN/>
                    <w:bidi w:val="0"/>
                    <w:adjustRightInd w:val="0"/>
                    <w:snapToGrid/>
                    <w:spacing w:line="240" w:lineRule="auto"/>
                    <w:ind w:left="0" w:right="0" w:firstLine="0"/>
                    <w:jc w:val="center"/>
                    <w:textAlignment w:val="auto"/>
                    <w:outlineLvl w:val="9"/>
                    <w:rPr>
                      <w:rFonts w:ascii="Times New Roman" w:hAnsi="Times New Roman" w:eastAsia="宋体" w:cs="Times New Roman"/>
                      <w:bCs/>
                      <w:color w:val="000000"/>
                      <w:spacing w:val="-1"/>
                      <w:sz w:val="21"/>
                      <w:szCs w:val="21"/>
                      <w:highlight w:val="none"/>
                      <w:lang w:val="en-US" w:eastAsia="zh-CN"/>
                    </w:rPr>
                  </w:pPr>
                  <w:r>
                    <w:rPr>
                      <w:rFonts w:ascii="Times New Roman" w:hAnsi="Times New Roman" w:eastAsia="宋体" w:cs="Times New Roman"/>
                      <w:bCs/>
                      <w:color w:val="000000"/>
                      <w:spacing w:val="-1"/>
                      <w:sz w:val="21"/>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3271" w:type="dxa"/>
                  <w:noWrap w:val="0"/>
                  <w:vAlign w:val="center"/>
                </w:tcPr>
                <w:p>
                  <w:pPr>
                    <w:keepNext w:val="0"/>
                    <w:keepLines w:val="0"/>
                    <w:pageBreakBefore w:val="0"/>
                    <w:widowControl w:val="0"/>
                    <w:tabs>
                      <w:tab w:val="left" w:pos="2139"/>
                    </w:tabs>
                    <w:kinsoku/>
                    <w:wordWrap/>
                    <w:overflowPunct/>
                    <w:topLinePunct w:val="0"/>
                    <w:autoSpaceDE/>
                    <w:autoSpaceDN/>
                    <w:bidi w:val="0"/>
                    <w:adjustRightInd w:val="0"/>
                    <w:snapToGrid/>
                    <w:spacing w:line="240" w:lineRule="auto"/>
                    <w:ind w:left="0" w:right="0" w:firstLine="0"/>
                    <w:jc w:val="center"/>
                    <w:textAlignment w:val="auto"/>
                    <w:outlineLvl w:val="9"/>
                    <w:rPr>
                      <w:rFonts w:hint="default" w:ascii="Times New Roman" w:hAnsi="Times New Roman" w:eastAsia="宋体" w:cs="Times New Roman"/>
                      <w:bCs/>
                      <w:color w:val="000000"/>
                      <w:spacing w:val="-1"/>
                      <w:sz w:val="21"/>
                      <w:szCs w:val="21"/>
                      <w:highlight w:val="none"/>
                      <w:lang w:val="en-US" w:eastAsia="zh-CN"/>
                    </w:rPr>
                  </w:pPr>
                  <w:r>
                    <w:rPr>
                      <w:rFonts w:hint="eastAsia" w:cs="Times New Roman"/>
                      <w:bCs/>
                      <w:color w:val="000000"/>
                      <w:spacing w:val="-1"/>
                      <w:sz w:val="21"/>
                      <w:szCs w:val="21"/>
                      <w:highlight w:val="none"/>
                      <w:lang w:val="en-US" w:eastAsia="zh-CN"/>
                    </w:rPr>
                    <w:t>沥青烟（沥青摊铺）</w:t>
                  </w:r>
                </w:p>
              </w:tc>
              <w:tc>
                <w:tcPr>
                  <w:tcW w:w="4442" w:type="dxa"/>
                  <w:noWrap w:val="0"/>
                  <w:vAlign w:val="center"/>
                </w:tcPr>
                <w:p>
                  <w:pPr>
                    <w:keepNext w:val="0"/>
                    <w:keepLines w:val="0"/>
                    <w:pageBreakBefore w:val="0"/>
                    <w:widowControl w:val="0"/>
                    <w:tabs>
                      <w:tab w:val="left" w:pos="2139"/>
                    </w:tabs>
                    <w:kinsoku/>
                    <w:wordWrap/>
                    <w:overflowPunct/>
                    <w:topLinePunct w:val="0"/>
                    <w:autoSpaceDE/>
                    <w:autoSpaceDN/>
                    <w:bidi w:val="0"/>
                    <w:adjustRightInd w:val="0"/>
                    <w:snapToGrid/>
                    <w:spacing w:line="240" w:lineRule="auto"/>
                    <w:ind w:left="0" w:right="0" w:firstLine="0"/>
                    <w:jc w:val="center"/>
                    <w:textAlignment w:val="auto"/>
                    <w:outlineLvl w:val="9"/>
                    <w:rPr>
                      <w:rFonts w:ascii="Times New Roman" w:hAnsi="Times New Roman" w:eastAsia="宋体" w:cs="Times New Roman"/>
                      <w:bCs/>
                      <w:color w:val="000000"/>
                      <w:spacing w:val="-1"/>
                      <w:sz w:val="21"/>
                      <w:szCs w:val="21"/>
                      <w:highlight w:val="none"/>
                      <w:lang w:val="en-US" w:eastAsia="zh-CN"/>
                    </w:rPr>
                  </w:pPr>
                  <w:r>
                    <w:rPr>
                      <w:rFonts w:hint="eastAsia" w:ascii="Times New Roman" w:hAnsi="Times New Roman" w:eastAsia="宋体" w:cs="Times New Roman"/>
                      <w:bCs/>
                      <w:color w:val="000000"/>
                      <w:spacing w:val="-1"/>
                      <w:sz w:val="21"/>
                      <w:szCs w:val="21"/>
                      <w:highlight w:val="none"/>
                      <w:lang w:val="en-US" w:eastAsia="zh-CN"/>
                    </w:rPr>
                    <w:t>不得有明显的无组织排放存在</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b/>
                <w:bCs/>
                <w:color w:val="000000"/>
                <w:sz w:val="21"/>
                <w:szCs w:val="21"/>
                <w:highlight w:val="none"/>
                <w:lang w:val="en-US"/>
              </w:rPr>
            </w:pPr>
            <w:r>
              <w:rPr>
                <w:rFonts w:hint="eastAsia"/>
                <w:b/>
                <w:bCs/>
                <w:color w:val="000000"/>
                <w:sz w:val="21"/>
                <w:szCs w:val="21"/>
                <w:highlight w:val="none"/>
                <w:lang w:val="en-US" w:eastAsia="zh-CN"/>
              </w:rPr>
              <w:t>3.11.2 废水</w:t>
            </w:r>
          </w:p>
          <w:p>
            <w:pPr>
              <w:spacing w:line="360" w:lineRule="auto"/>
              <w:ind w:firstLine="480"/>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项目营运期不产生生活污水，施工期不设施工营地，</w:t>
            </w:r>
            <w:r>
              <w:rPr>
                <w:rFonts w:hint="eastAsia"/>
                <w:color w:val="000000"/>
                <w:szCs w:val="21"/>
              </w:rPr>
              <w:t>生活污水依托周边居民家中化粪池处理后排入市政污水管网</w:t>
            </w:r>
            <w:r>
              <w:rPr>
                <w:rFonts w:hint="eastAsia" w:ascii="Times New Roman" w:hAnsi="Times New Roman" w:eastAsia="宋体" w:cs="Times New Roman"/>
                <w:color w:val="000000"/>
                <w:sz w:val="21"/>
                <w:szCs w:val="21"/>
                <w:highlight w:val="none"/>
              </w:rPr>
              <w:t>，施工废水经隔油沉淀后回用洒水降尘，不外排</w:t>
            </w:r>
            <w:r>
              <w:rPr>
                <w:rFonts w:ascii="Times New Roman" w:hAnsi="Times New Roman" w:eastAsia="宋体" w:cs="Times New Roman"/>
                <w:color w:val="000000"/>
                <w:sz w:val="21"/>
                <w:szCs w:val="21"/>
                <w:highlight w:val="none"/>
              </w:rPr>
              <w:t>。</w:t>
            </w:r>
          </w:p>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b/>
                <w:bCs/>
                <w:color w:val="000000"/>
                <w:sz w:val="21"/>
                <w:szCs w:val="21"/>
                <w:highlight w:val="none"/>
                <w:lang w:val="en-US"/>
              </w:rPr>
            </w:pPr>
            <w:r>
              <w:rPr>
                <w:rFonts w:hint="eastAsia"/>
                <w:b/>
                <w:bCs/>
                <w:color w:val="000000"/>
                <w:sz w:val="21"/>
                <w:szCs w:val="21"/>
                <w:highlight w:val="none"/>
                <w:lang w:val="en-US" w:eastAsia="zh-CN"/>
              </w:rPr>
              <w:t>3.11.3 噪声</w:t>
            </w:r>
          </w:p>
          <w:p>
            <w:pPr>
              <w:keepNext w:val="0"/>
              <w:keepLines w:val="0"/>
              <w:pageBreakBefore w:val="0"/>
              <w:widowControl w:val="0"/>
              <w:spacing w:line="360" w:lineRule="auto"/>
              <w:ind w:firstLine="480"/>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施工期噪声标准执行《建筑施工场界环境噪声排放标准》（GB12523-2011）中的相关排放限值。</w:t>
            </w:r>
          </w:p>
          <w:p>
            <w:pPr>
              <w:keepNext w:val="0"/>
              <w:keepLines w:val="0"/>
              <w:pageBreakBefore w:val="0"/>
              <w:widowControl w:val="0"/>
              <w:tabs>
                <w:tab w:val="left" w:pos="1788"/>
                <w:tab w:val="left" w:pos="5522"/>
              </w:tabs>
              <w:ind w:left="386" w:firstLine="1265"/>
              <w:rPr>
                <w:rFonts w:ascii="Times New Roman" w:hAnsi="Times New Roman" w:eastAsia="宋体" w:cs="Times New Roman"/>
                <w:b/>
                <w:bCs/>
                <w:color w:val="000000"/>
                <w:sz w:val="21"/>
                <w:szCs w:val="21"/>
                <w:highlight w:val="none"/>
              </w:rPr>
            </w:pPr>
            <w:r>
              <w:rPr>
                <w:rFonts w:ascii="Times New Roman" w:hAnsi="Times New Roman" w:eastAsia="宋体" w:cs="Times New Roman"/>
                <w:b/>
                <w:bCs/>
                <w:color w:val="000000"/>
                <w:sz w:val="21"/>
                <w:szCs w:val="21"/>
                <w:highlight w:val="none"/>
              </w:rPr>
              <w:t>表</w:t>
            </w:r>
            <w:r>
              <w:rPr>
                <w:rFonts w:hint="eastAsia" w:ascii="Times New Roman" w:hAnsi="Times New Roman" w:eastAsia="宋体" w:cs="Times New Roman"/>
                <w:b/>
                <w:bCs/>
                <w:color w:val="000000"/>
                <w:sz w:val="21"/>
                <w:szCs w:val="21"/>
                <w:highlight w:val="none"/>
                <w:lang w:val="en-US" w:eastAsia="zh-CN"/>
              </w:rPr>
              <w:t>3</w:t>
            </w:r>
            <w:r>
              <w:rPr>
                <w:rFonts w:hint="eastAsia" w:cs="Times New Roman"/>
                <w:b/>
                <w:bCs/>
                <w:color w:val="000000"/>
                <w:sz w:val="21"/>
                <w:szCs w:val="21"/>
                <w:highlight w:val="none"/>
                <w:lang w:val="en-US" w:eastAsia="zh-CN"/>
              </w:rPr>
              <w:t xml:space="preserve">-9 </w:t>
            </w:r>
            <w:r>
              <w:rPr>
                <w:rFonts w:ascii="Times New Roman" w:hAnsi="Times New Roman" w:eastAsia="宋体" w:cs="Times New Roman"/>
                <w:b/>
                <w:color w:val="000000"/>
                <w:sz w:val="21"/>
                <w:szCs w:val="21"/>
                <w:highlight w:val="none"/>
              </w:rPr>
              <w:t>《建筑施工场界环境噪声排放标准</w:t>
            </w:r>
            <w:r>
              <w:rPr>
                <w:rFonts w:ascii="Times New Roman" w:hAnsi="Times New Roman" w:eastAsia="宋体" w:cs="Times New Roman"/>
                <w:b/>
                <w:bCs w:val="0"/>
                <w:color w:val="000000"/>
                <w:sz w:val="21"/>
                <w:szCs w:val="21"/>
                <w:highlight w:val="none"/>
              </w:rPr>
              <w:t>》单位：dB（A）</w:t>
            </w:r>
          </w:p>
          <w:tbl>
            <w:tblPr>
              <w:tblStyle w:val="40"/>
              <w:tblW w:w="7713" w:type="dxa"/>
              <w:jc w:val="center"/>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2903"/>
              <w:gridCol w:w="2372"/>
              <w:gridCol w:w="2438"/>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2903" w:type="dxa"/>
                  <w:noWrap w:val="0"/>
                  <w:vAlign w:val="center"/>
                </w:tcPr>
                <w:p>
                  <w:pPr>
                    <w:keepNext w:val="0"/>
                    <w:keepLines w:val="0"/>
                    <w:pageBreakBefore w:val="0"/>
                    <w:widowControl w:val="0"/>
                    <w:tabs>
                      <w:tab w:val="left" w:pos="1788"/>
                      <w:tab w:val="left" w:pos="5522"/>
                    </w:tabs>
                    <w:kinsoku/>
                    <w:wordWrap/>
                    <w:overflowPunct/>
                    <w:topLinePunct w:val="0"/>
                    <w:autoSpaceDE/>
                    <w:autoSpaceDN/>
                    <w:bidi w:val="0"/>
                    <w:adjustRightInd/>
                    <w:snapToGrid/>
                    <w:jc w:val="center"/>
                    <w:textAlignment w:val="auto"/>
                    <w:rPr>
                      <w:rFonts w:ascii="Times New Roman" w:hAnsi="Times New Roman" w:eastAsia="宋体" w:cs="Times New Roman"/>
                      <w:b w:val="0"/>
                      <w:bCs/>
                      <w:color w:val="000000"/>
                      <w:sz w:val="21"/>
                      <w:szCs w:val="21"/>
                      <w:highlight w:val="none"/>
                    </w:rPr>
                  </w:pPr>
                  <w:r>
                    <w:rPr>
                      <w:rFonts w:ascii="Times New Roman" w:hAnsi="Times New Roman" w:eastAsia="宋体" w:cs="Times New Roman"/>
                      <w:b w:val="0"/>
                      <w:bCs/>
                      <w:color w:val="000000"/>
                      <w:sz w:val="21"/>
                      <w:szCs w:val="21"/>
                      <w:highlight w:val="none"/>
                    </w:rPr>
                    <w:t>昼间</w:t>
                  </w:r>
                </w:p>
              </w:tc>
              <w:tc>
                <w:tcPr>
                  <w:tcW w:w="2372" w:type="dxa"/>
                  <w:noWrap w:val="0"/>
                  <w:vAlign w:val="center"/>
                </w:tcPr>
                <w:p>
                  <w:pPr>
                    <w:keepNext w:val="0"/>
                    <w:keepLines w:val="0"/>
                    <w:pageBreakBefore w:val="0"/>
                    <w:widowControl w:val="0"/>
                    <w:tabs>
                      <w:tab w:val="left" w:pos="1788"/>
                      <w:tab w:val="left" w:pos="5522"/>
                    </w:tabs>
                    <w:kinsoku/>
                    <w:wordWrap/>
                    <w:overflowPunct/>
                    <w:topLinePunct w:val="0"/>
                    <w:autoSpaceDE/>
                    <w:autoSpaceDN/>
                    <w:bidi w:val="0"/>
                    <w:adjustRightInd/>
                    <w:snapToGrid/>
                    <w:jc w:val="center"/>
                    <w:textAlignment w:val="auto"/>
                    <w:rPr>
                      <w:rFonts w:ascii="Times New Roman" w:hAnsi="Times New Roman" w:eastAsia="宋体" w:cs="Times New Roman"/>
                      <w:b w:val="0"/>
                      <w:bCs/>
                      <w:color w:val="000000"/>
                      <w:sz w:val="21"/>
                      <w:szCs w:val="21"/>
                      <w:highlight w:val="none"/>
                    </w:rPr>
                  </w:pPr>
                  <w:r>
                    <w:rPr>
                      <w:rFonts w:ascii="Times New Roman" w:hAnsi="Times New Roman" w:eastAsia="宋体" w:cs="Times New Roman"/>
                      <w:b w:val="0"/>
                      <w:bCs/>
                      <w:color w:val="000000"/>
                      <w:sz w:val="21"/>
                      <w:szCs w:val="21"/>
                      <w:highlight w:val="none"/>
                    </w:rPr>
                    <w:t>夜间</w:t>
                  </w:r>
                </w:p>
              </w:tc>
              <w:tc>
                <w:tcPr>
                  <w:tcW w:w="2438" w:type="dxa"/>
                  <w:noWrap w:val="0"/>
                  <w:vAlign w:val="center"/>
                </w:tcPr>
                <w:p>
                  <w:pPr>
                    <w:keepNext w:val="0"/>
                    <w:keepLines w:val="0"/>
                    <w:pageBreakBefore w:val="0"/>
                    <w:widowControl w:val="0"/>
                    <w:tabs>
                      <w:tab w:val="left" w:pos="1788"/>
                      <w:tab w:val="left" w:pos="5522"/>
                    </w:tabs>
                    <w:kinsoku/>
                    <w:wordWrap/>
                    <w:overflowPunct/>
                    <w:topLinePunct w:val="0"/>
                    <w:autoSpaceDE/>
                    <w:autoSpaceDN/>
                    <w:bidi w:val="0"/>
                    <w:adjustRightInd/>
                    <w:snapToGrid/>
                    <w:jc w:val="center"/>
                    <w:textAlignment w:val="auto"/>
                    <w:rPr>
                      <w:rFonts w:ascii="Times New Roman" w:hAnsi="Times New Roman" w:eastAsia="宋体" w:cs="Times New Roman"/>
                      <w:b w:val="0"/>
                      <w:bCs/>
                      <w:color w:val="000000"/>
                      <w:sz w:val="21"/>
                      <w:szCs w:val="21"/>
                      <w:highlight w:val="none"/>
                    </w:rPr>
                  </w:pPr>
                  <w:r>
                    <w:rPr>
                      <w:rFonts w:ascii="Times New Roman" w:hAnsi="Times New Roman" w:eastAsia="宋体" w:cs="Times New Roman"/>
                      <w:b w:val="0"/>
                      <w:bCs/>
                      <w:color w:val="000000"/>
                      <w:sz w:val="21"/>
                      <w:szCs w:val="21"/>
                      <w:highlight w:val="none"/>
                    </w:rPr>
                    <w:t>标准依据</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283" w:hRule="atLeast"/>
                <w:jc w:val="center"/>
              </w:trPr>
              <w:tc>
                <w:tcPr>
                  <w:tcW w:w="2903" w:type="dxa"/>
                  <w:noWrap w:val="0"/>
                  <w:vAlign w:val="center"/>
                </w:tcPr>
                <w:p>
                  <w:pPr>
                    <w:keepNext w:val="0"/>
                    <w:keepLines w:val="0"/>
                    <w:pageBreakBefore w:val="0"/>
                    <w:widowControl w:val="0"/>
                    <w:tabs>
                      <w:tab w:val="left" w:pos="1788"/>
                      <w:tab w:val="left" w:pos="5522"/>
                    </w:tabs>
                    <w:kinsoku/>
                    <w:wordWrap/>
                    <w:overflowPunct/>
                    <w:topLinePunct w:val="0"/>
                    <w:autoSpaceDE/>
                    <w:autoSpaceDN/>
                    <w:bidi w:val="0"/>
                    <w:adjustRightInd/>
                    <w:snapToGrid/>
                    <w:jc w:val="center"/>
                    <w:textAlignment w:val="auto"/>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70</w:t>
                  </w:r>
                </w:p>
              </w:tc>
              <w:tc>
                <w:tcPr>
                  <w:tcW w:w="2372" w:type="dxa"/>
                  <w:noWrap w:val="0"/>
                  <w:vAlign w:val="center"/>
                </w:tcPr>
                <w:p>
                  <w:pPr>
                    <w:keepNext w:val="0"/>
                    <w:keepLines w:val="0"/>
                    <w:pageBreakBefore w:val="0"/>
                    <w:widowControl w:val="0"/>
                    <w:tabs>
                      <w:tab w:val="left" w:pos="1788"/>
                      <w:tab w:val="left" w:pos="5522"/>
                    </w:tabs>
                    <w:kinsoku/>
                    <w:wordWrap/>
                    <w:overflowPunct/>
                    <w:topLinePunct w:val="0"/>
                    <w:autoSpaceDE/>
                    <w:autoSpaceDN/>
                    <w:bidi w:val="0"/>
                    <w:adjustRightInd/>
                    <w:snapToGrid/>
                    <w:jc w:val="center"/>
                    <w:textAlignment w:val="auto"/>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55</w:t>
                  </w:r>
                </w:p>
              </w:tc>
              <w:tc>
                <w:tcPr>
                  <w:tcW w:w="2438" w:type="dxa"/>
                  <w:noWrap w:val="0"/>
                  <w:vAlign w:val="center"/>
                </w:tcPr>
                <w:p>
                  <w:pPr>
                    <w:keepNext w:val="0"/>
                    <w:keepLines w:val="0"/>
                    <w:pageBreakBefore w:val="0"/>
                    <w:widowControl w:val="0"/>
                    <w:tabs>
                      <w:tab w:val="left" w:pos="1788"/>
                      <w:tab w:val="left" w:pos="5522"/>
                    </w:tabs>
                    <w:kinsoku/>
                    <w:wordWrap/>
                    <w:overflowPunct/>
                    <w:topLinePunct w:val="0"/>
                    <w:autoSpaceDE/>
                    <w:autoSpaceDN/>
                    <w:bidi w:val="0"/>
                    <w:adjustRightInd/>
                    <w:snapToGrid/>
                    <w:jc w:val="center"/>
                    <w:textAlignment w:val="auto"/>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GB12523-2011</w:t>
                  </w:r>
                </w:p>
              </w:tc>
            </w:tr>
          </w:tbl>
          <w:p>
            <w:pPr>
              <w:keepNext w:val="0"/>
              <w:keepLines w:val="0"/>
              <w:pageBreakBefore w:val="0"/>
              <w:widowControl/>
              <w:kinsoku/>
              <w:wordWrap/>
              <w:overflowPunct/>
              <w:topLinePunct w:val="0"/>
              <w:autoSpaceDE/>
              <w:autoSpaceDN/>
              <w:bidi w:val="0"/>
              <w:adjustRightInd/>
              <w:snapToGrid w:val="0"/>
              <w:spacing w:line="360" w:lineRule="auto"/>
              <w:textAlignment w:val="auto"/>
              <w:rPr>
                <w:rFonts w:hint="default"/>
                <w:b/>
                <w:bCs/>
                <w:color w:val="000000"/>
                <w:sz w:val="21"/>
                <w:szCs w:val="21"/>
                <w:highlight w:val="none"/>
                <w:lang w:val="en-US"/>
              </w:rPr>
            </w:pPr>
            <w:r>
              <w:rPr>
                <w:rFonts w:hint="eastAsia"/>
                <w:b/>
                <w:bCs/>
                <w:color w:val="000000"/>
                <w:sz w:val="21"/>
                <w:szCs w:val="21"/>
                <w:highlight w:val="none"/>
                <w:lang w:val="en-US" w:eastAsia="zh-CN"/>
              </w:rPr>
              <w:t>3.11.4 固体废物</w:t>
            </w:r>
          </w:p>
          <w:p>
            <w:pPr>
              <w:keepNext w:val="0"/>
              <w:keepLines w:val="0"/>
              <w:pageBreakBefore w:val="0"/>
              <w:widowControl w:val="0"/>
              <w:spacing w:line="360" w:lineRule="auto"/>
              <w:ind w:firstLine="480"/>
              <w:rPr>
                <w:rFonts w:ascii="宋体" w:hAnsi="宋体" w:cs="宋体"/>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一般工业固体废物临时收集点执行《一般工业固体废物贮存和填埋污染控制标准》（</w:t>
            </w:r>
            <w:r>
              <w:rPr>
                <w:rFonts w:hint="default" w:ascii="Times New Roman" w:hAnsi="Times New Roman" w:eastAsia="宋体" w:cs="Times New Roman"/>
                <w:color w:val="000000"/>
                <w:sz w:val="21"/>
                <w:szCs w:val="21"/>
                <w:highlight w:val="none"/>
                <w:lang w:val="en-US" w:eastAsia="zh-CN"/>
              </w:rPr>
              <w:t>GB18599-2020</w:t>
            </w:r>
            <w:r>
              <w:rPr>
                <w:rFonts w:hint="eastAsia" w:ascii="Times New Roman" w:hAnsi="Times New Roman" w:eastAsia="宋体" w:cs="Times New Roman"/>
                <w:color w:val="000000"/>
                <w:sz w:val="21"/>
                <w:szCs w:val="21"/>
                <w:highlight w:val="none"/>
                <w:lang w:val="en-US" w:eastAsia="zh-CN"/>
              </w:rPr>
              <w:t>）；生活垃圾委托环卫部门处置，危险废物执行《危险废物贮存污染控制标准》（</w:t>
            </w:r>
            <w:r>
              <w:rPr>
                <w:rFonts w:hint="default" w:ascii="Times New Roman" w:hAnsi="Times New Roman" w:eastAsia="宋体" w:cs="Times New Roman"/>
                <w:color w:val="000000"/>
                <w:sz w:val="21"/>
                <w:szCs w:val="21"/>
                <w:highlight w:val="none"/>
                <w:lang w:val="en-US" w:eastAsia="zh-CN"/>
              </w:rPr>
              <w:t>GB18597-2023</w:t>
            </w:r>
            <w:r>
              <w:rPr>
                <w:rFonts w:hint="eastAsia" w:ascii="Times New Roman" w:hAnsi="Times New Roman" w:eastAsia="宋体" w:cs="Times New Roman"/>
                <w:color w:val="000000"/>
                <w:sz w:val="21"/>
                <w:szCs w:val="21"/>
                <w:highlight w:val="none"/>
                <w:lang w:val="en-US" w:eastAsia="zh-CN"/>
              </w:rPr>
              <w:t>）要求。</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579" w:type="dxa"/>
            <w:noWrap w:val="0"/>
            <w:vAlign w:val="center"/>
          </w:tcPr>
          <w:p>
            <w:pPr>
              <w:jc w:val="center"/>
              <w:rPr>
                <w:rFonts w:ascii="宋体" w:hAnsi="宋体" w:cs="宋体"/>
                <w:color w:val="000000"/>
                <w:sz w:val="21"/>
                <w:szCs w:val="21"/>
                <w:highlight w:val="none"/>
              </w:rPr>
            </w:pPr>
            <w:r>
              <w:rPr>
                <w:rFonts w:hint="eastAsia" w:ascii="宋体" w:hAnsi="宋体" w:cs="宋体"/>
                <w:color w:val="000000"/>
                <w:sz w:val="21"/>
                <w:szCs w:val="21"/>
                <w:highlight w:val="none"/>
              </w:rPr>
              <w:t>其他</w:t>
            </w:r>
          </w:p>
        </w:tc>
        <w:tc>
          <w:tcPr>
            <w:tcW w:w="7941" w:type="dxa"/>
            <w:noWrap w:val="0"/>
            <w:vAlign w:val="center"/>
          </w:tcPr>
          <w:p>
            <w:pPr>
              <w:spacing w:line="360" w:lineRule="auto"/>
              <w:ind w:firstLine="420" w:firstLineChars="200"/>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本项目为道路工程建设项目，运营期主要污染物为汽车尾气和路面径流，</w:t>
            </w:r>
            <w:r>
              <w:rPr>
                <w:rFonts w:hint="eastAsia" w:ascii="宋体" w:hAnsi="宋体" w:cs="宋体"/>
                <w:color w:val="000000"/>
                <w:sz w:val="21"/>
                <w:szCs w:val="21"/>
                <w:highlight w:val="none"/>
                <w:lang w:val="en-US" w:eastAsia="zh-CN"/>
              </w:rPr>
              <w:t>无</w:t>
            </w:r>
            <w:r>
              <w:rPr>
                <w:rFonts w:hint="eastAsia" w:ascii="宋体" w:hAnsi="宋体" w:eastAsia="宋体" w:cs="宋体"/>
                <w:color w:val="000000"/>
                <w:sz w:val="21"/>
                <w:szCs w:val="21"/>
                <w:highlight w:val="none"/>
                <w:lang w:eastAsia="zh-CN"/>
              </w:rPr>
              <w:t>需纳入总量控制范围。</w:t>
            </w:r>
          </w:p>
        </w:tc>
      </w:tr>
    </w:tbl>
    <w:p>
      <w:pPr>
        <w:pStyle w:val="218"/>
        <w:keepNext w:val="0"/>
        <w:keepLines w:val="0"/>
        <w:pageBreakBefore w:val="0"/>
        <w:widowControl/>
        <w:spacing w:before="0" w:beforeAutospacing="0" w:after="0" w:afterAutospacing="0" w:line="15" w:lineRule="auto"/>
        <w:jc w:val="center"/>
        <w:outlineLvl w:val="9"/>
        <w:rPr>
          <w:rFonts w:ascii="黑体" w:hAnsi="黑体" w:eastAsia="黑体"/>
          <w:color w:val="000000"/>
          <w:sz w:val="36"/>
          <w:szCs w:val="36"/>
          <w:highlight w:val="none"/>
        </w:rPr>
      </w:pPr>
    </w:p>
    <w:p>
      <w:pPr>
        <w:pStyle w:val="218"/>
        <w:keepNext w:val="0"/>
        <w:keepLines w:val="0"/>
        <w:pageBreakBefore w:val="0"/>
        <w:widowControl/>
        <w:jc w:val="center"/>
        <w:outlineLvl w:val="0"/>
        <w:rPr>
          <w:rFonts w:ascii="黑体" w:hAnsi="黑体" w:eastAsia="黑体"/>
          <w:color w:val="000000"/>
          <w:sz w:val="30"/>
          <w:szCs w:val="30"/>
          <w:highlight w:val="none"/>
        </w:rPr>
      </w:pPr>
      <w:r>
        <w:rPr>
          <w:rFonts w:ascii="黑体" w:hAnsi="黑体" w:eastAsia="黑体"/>
          <w:color w:val="000000"/>
          <w:sz w:val="36"/>
          <w:szCs w:val="36"/>
          <w:highlight w:val="none"/>
        </w:rPr>
        <w:br w:type="page" w:clear="all"/>
      </w:r>
      <w:bookmarkStart w:id="19" w:name="_Toc27129"/>
      <w:bookmarkStart w:id="20" w:name="_Toc3738"/>
      <w:r>
        <w:rPr>
          <w:rFonts w:hint="eastAsia" w:ascii="黑体" w:hAnsi="黑体" w:eastAsia="黑体"/>
          <w:color w:val="000000"/>
          <w:sz w:val="30"/>
          <w:szCs w:val="30"/>
          <w:highlight w:val="none"/>
        </w:rPr>
        <w:t>四、生态环境影响分析</w:t>
      </w:r>
      <w:bookmarkEnd w:id="19"/>
      <w:bookmarkEnd w:id="20"/>
    </w:p>
    <w:tbl>
      <w:tblPr>
        <w:tblStyle w:val="40"/>
        <w:tblW w:w="8360"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28" w:type="dxa"/>
          <w:bottom w:w="0" w:type="dxa"/>
          <w:right w:w="28" w:type="dxa"/>
        </w:tblCellMar>
      </w:tblPr>
      <w:tblGrid>
        <w:gridCol w:w="772"/>
        <w:gridCol w:w="758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28" w:type="dxa"/>
            <w:bottom w:w="0" w:type="dxa"/>
            <w:right w:w="28" w:type="dxa"/>
          </w:tblCellMar>
        </w:tblPrEx>
        <w:trPr>
          <w:trHeight w:val="90" w:hRule="atLeast"/>
          <w:jc w:val="center"/>
        </w:trPr>
        <w:tc>
          <w:tcPr>
            <w:tcW w:w="772" w:type="dxa"/>
            <w:noWrap w:val="0"/>
            <w:tcMar>
              <w:left w:w="28" w:type="dxa"/>
              <w:right w:w="28" w:type="dxa"/>
            </w:tcMar>
            <w:vAlign w:val="center"/>
          </w:tcPr>
          <w:p>
            <w:pPr>
              <w:pStyle w:val="218"/>
              <w:spacing w:before="0" w:beforeAutospacing="0" w:after="0" w:afterAutospacing="0" w:line="360" w:lineRule="auto"/>
              <w:jc w:val="center"/>
              <w:rPr>
                <w:rFonts w:cs="宋体"/>
                <w:bCs/>
                <w:color w:val="000000"/>
                <w:sz w:val="21"/>
                <w:szCs w:val="21"/>
                <w:highlight w:val="none"/>
              </w:rPr>
            </w:pPr>
            <w:bookmarkStart w:id="21" w:name="_Hlk49796138"/>
            <w:r>
              <w:rPr>
                <w:rFonts w:hint="eastAsia" w:cs="宋体"/>
                <w:bCs/>
                <w:color w:val="000000"/>
                <w:spacing w:val="10"/>
                <w:sz w:val="21"/>
                <w:szCs w:val="21"/>
                <w:highlight w:val="none"/>
              </w:rPr>
              <w:t>施工期生态环境影响分析</w:t>
            </w:r>
            <w:bookmarkEnd w:id="21"/>
          </w:p>
        </w:tc>
        <w:tc>
          <w:tcPr>
            <w:tcW w:w="758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4.1</w:t>
            </w:r>
            <w:r>
              <w:rPr>
                <w:rFonts w:hint="eastAsia" w:cs="Times New Roman"/>
                <w:b/>
                <w:color w:val="000000"/>
                <w:sz w:val="21"/>
                <w:szCs w:val="21"/>
                <w:highlight w:val="none"/>
                <w:lang w:val="en-US" w:eastAsia="zh-CN" w:bidi="ar"/>
              </w:rPr>
              <w:t xml:space="preserve"> </w:t>
            </w:r>
            <w:r>
              <w:rPr>
                <w:rFonts w:ascii="Times New Roman" w:hAnsi="Times New Roman" w:eastAsia="宋体" w:cs="Times New Roman"/>
                <w:b/>
                <w:color w:val="000000"/>
                <w:sz w:val="21"/>
                <w:szCs w:val="21"/>
                <w:highlight w:val="none"/>
                <w:lang w:bidi="ar"/>
              </w:rPr>
              <w:t>施工期</w:t>
            </w:r>
            <w:r>
              <w:rPr>
                <w:rFonts w:hint="eastAsia" w:cs="Times New Roman"/>
                <w:b/>
                <w:color w:val="000000"/>
                <w:sz w:val="21"/>
                <w:szCs w:val="21"/>
                <w:highlight w:val="none"/>
                <w:lang w:val="en-US" w:eastAsia="zh-CN" w:bidi="ar"/>
              </w:rPr>
              <w:t>生态环境影响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color w:val="000000"/>
                <w:sz w:val="21"/>
                <w:szCs w:val="21"/>
                <w:highlight w:val="none"/>
                <w:lang w:val="en-US" w:bidi="ar"/>
              </w:rPr>
            </w:pPr>
            <w:r>
              <w:rPr>
                <w:rFonts w:hint="eastAsia" w:ascii="Times New Roman" w:hAnsi="Times New Roman" w:eastAsia="宋体" w:cs="Times New Roman"/>
                <w:b/>
                <w:color w:val="000000"/>
                <w:sz w:val="21"/>
                <w:szCs w:val="21"/>
                <w:highlight w:val="none"/>
                <w:lang w:val="en-US" w:eastAsia="zh-CN" w:bidi="ar"/>
              </w:rPr>
              <w:t>4.</w:t>
            </w:r>
            <w:r>
              <w:rPr>
                <w:rFonts w:ascii="Times New Roman" w:hAnsi="Times New Roman" w:eastAsia="宋体" w:cs="Times New Roman"/>
                <w:b/>
                <w:color w:val="000000"/>
                <w:sz w:val="21"/>
                <w:szCs w:val="21"/>
                <w:highlight w:val="none"/>
                <w:lang w:bidi="ar"/>
              </w:rPr>
              <w:t>1.</w:t>
            </w:r>
            <w:r>
              <w:rPr>
                <w:rFonts w:ascii="Times New Roman" w:hAnsi="Times New Roman" w:eastAsia="宋体" w:cs="Times New Roman"/>
                <w:b/>
                <w:color w:val="000000"/>
                <w:sz w:val="21"/>
                <w:szCs w:val="21"/>
                <w:highlight w:val="none"/>
                <w:lang w:val="en-US" w:eastAsia="zh-CN" w:bidi="ar"/>
              </w:rPr>
              <w:t>1</w:t>
            </w:r>
            <w:r>
              <w:rPr>
                <w:rFonts w:ascii="Times New Roman" w:hAnsi="Times New Roman" w:eastAsia="宋体" w:cs="Times New Roman"/>
                <w:b/>
                <w:color w:val="000000"/>
                <w:sz w:val="21"/>
                <w:szCs w:val="21"/>
                <w:highlight w:val="none"/>
                <w:lang w:bidi="ar"/>
              </w:rPr>
              <w:t xml:space="preserve"> </w:t>
            </w:r>
            <w:r>
              <w:rPr>
                <w:rFonts w:hint="eastAsia" w:ascii="Times New Roman" w:hAnsi="Times New Roman" w:eastAsia="宋体" w:cs="Times New Roman"/>
                <w:b/>
                <w:color w:val="000000"/>
                <w:sz w:val="21"/>
                <w:szCs w:val="21"/>
                <w:highlight w:val="none"/>
                <w:lang w:bidi="ar"/>
              </w:rPr>
              <w:t>对土地利用和景观影响分析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eastAsia="zh-CN" w:bidi="ar"/>
              </w:rPr>
            </w:pPr>
            <w:r>
              <w:rPr>
                <w:rFonts w:hint="eastAsia" w:ascii="Times New Roman" w:hAnsi="Times New Roman" w:eastAsia="宋体" w:cs="Times New Roman"/>
                <w:color w:val="000000"/>
                <w:sz w:val="21"/>
                <w:szCs w:val="21"/>
                <w:highlight w:val="none"/>
                <w:lang w:eastAsia="zh-CN" w:bidi="ar"/>
              </w:rPr>
              <w:t>该工程施工建设过程中，破坏原生地貌和植被，打破原有生态系统形成的相对平衡，形成的再塑地貌土层松散、地表裸露，这大大降低了地表土壤的抗蚀能力，这些都会对项目建设区的环境造成破坏。建设过程中临时堆土结构松散、无植被防护，易产生水土流失，对周边环境也将产生一定影响，对周边地区可能形成危害。该工程施工人员多，机械设备的运行等影响周围生态环境所有不可避免的人类活动对当地的生态系统都可能产生一定的不利影响。本项目的实施将导致区域土地利用类型局部略微发生变化，基本不改变评价区现有的土地利用格局。总体上，项目实施对项目评价区自然体系的生态影响也会很小，而且工程完工后通过自然生态系统体系的自我调节和水土保持及迹地恢复等工程措施，区域自然体系的性质和功能将得到恢复。</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eastAsia="zh-CN" w:bidi="ar"/>
              </w:rPr>
            </w:pPr>
            <w:r>
              <w:rPr>
                <w:rFonts w:hint="eastAsia" w:cs="Times New Roman"/>
                <w:color w:val="000000"/>
                <w:sz w:val="21"/>
                <w:szCs w:val="21"/>
                <w:highlight w:val="none"/>
                <w:lang w:val="en-US" w:eastAsia="zh-CN" w:bidi="ar"/>
              </w:rPr>
              <w:t>本项目为萍阳北路延续段及</w:t>
            </w:r>
            <w:r>
              <w:rPr>
                <w:rFonts w:hint="eastAsia" w:ascii="Times New Roman" w:hAnsi="Times New Roman" w:eastAsia="宋体" w:cs="Times New Roman"/>
                <w:color w:val="000000"/>
                <w:sz w:val="21"/>
                <w:szCs w:val="21"/>
                <w:highlight w:val="none"/>
                <w:lang w:eastAsia="zh-CN"/>
              </w:rPr>
              <w:t>萍洲大桥西岸匝道</w:t>
            </w:r>
            <w:r>
              <w:rPr>
                <w:rFonts w:hint="eastAsia" w:eastAsia="宋体" w:cs="Times New Roman"/>
                <w:color w:val="000000"/>
                <w:sz w:val="21"/>
                <w:szCs w:val="21"/>
                <w:highlight w:val="none"/>
                <w:lang w:val="en-US" w:eastAsia="zh-CN"/>
              </w:rPr>
              <w:t>建设，萍阳北路延续路段建设桩号为</w:t>
            </w:r>
            <w:r>
              <w:rPr>
                <w:rFonts w:hint="eastAsia" w:ascii="Times New Roman" w:hAnsi="Times New Roman" w:eastAsia="宋体" w:cs="Times New Roman"/>
                <w:color w:val="000000"/>
                <w:sz w:val="21"/>
                <w:szCs w:val="21"/>
                <w:highlight w:val="none"/>
                <w:vertAlign w:val="baseline"/>
              </w:rPr>
              <w:t>K0</w:t>
            </w:r>
            <w:r>
              <w:rPr>
                <w:rFonts w:hint="eastAsia" w:eastAsia="宋体" w:cs="Times New Roman"/>
                <w:color w:val="000000"/>
                <w:sz w:val="21"/>
                <w:szCs w:val="21"/>
                <w:highlight w:val="none"/>
                <w:vertAlign w:val="baseline"/>
                <w:lang w:val="en-US" w:eastAsia="zh-CN"/>
              </w:rPr>
              <w:t>-280至K1-840段，</w:t>
            </w:r>
            <w:r>
              <w:rPr>
                <w:rFonts w:hint="eastAsia" w:ascii="Times New Roman" w:hAnsi="Times New Roman" w:eastAsia="宋体" w:cs="Times New Roman"/>
                <w:color w:val="000000"/>
                <w:sz w:val="21"/>
                <w:szCs w:val="21"/>
                <w:highlight w:val="none"/>
                <w:lang w:eastAsia="zh-CN" w:bidi="ar"/>
              </w:rPr>
              <w:t>由于原有</w:t>
            </w:r>
            <w:r>
              <w:rPr>
                <w:rFonts w:hint="default" w:ascii="Times New Roman" w:hAnsi="Times New Roman" w:eastAsia="宋体" w:cs="Times New Roman"/>
                <w:color w:val="000000"/>
                <w:sz w:val="21"/>
                <w:szCs w:val="21"/>
                <w:highlight w:val="none"/>
                <w:lang w:val="en-US" w:eastAsia="zh-CN"/>
              </w:rPr>
              <w:t>萍阳北路桩号（</w:t>
            </w:r>
            <w:r>
              <w:rPr>
                <w:rFonts w:hint="eastAsia" w:cs="Times New Roman"/>
                <w:color w:val="000000"/>
                <w:sz w:val="21"/>
                <w:szCs w:val="21"/>
                <w:highlight w:val="none"/>
                <w:lang w:val="en-US" w:eastAsia="zh-CN"/>
              </w:rPr>
              <w:t>k</w:t>
            </w:r>
            <w:r>
              <w:rPr>
                <w:rFonts w:hint="default" w:ascii="Times New Roman" w:hAnsi="Times New Roman" w:eastAsia="宋体" w:cs="Times New Roman"/>
                <w:color w:val="000000"/>
                <w:sz w:val="21"/>
                <w:szCs w:val="21"/>
                <w:highlight w:val="none"/>
                <w:lang w:val="en-US" w:eastAsia="zh-CN"/>
              </w:rPr>
              <w:t>0+</w:t>
            </w:r>
            <w:r>
              <w:rPr>
                <w:rFonts w:hint="eastAsia" w:cs="Times New Roman"/>
                <w:color w:val="000000"/>
                <w:sz w:val="21"/>
                <w:szCs w:val="21"/>
                <w:highlight w:val="none"/>
                <w:lang w:val="en-US" w:eastAsia="zh-CN"/>
              </w:rPr>
              <w:t>280</w:t>
            </w:r>
            <w:r>
              <w:rPr>
                <w:rFonts w:hint="default" w:ascii="Times New Roman" w:hAnsi="Times New Roman" w:eastAsia="宋体" w:cs="Times New Roman"/>
                <w:color w:val="000000"/>
                <w:sz w:val="21"/>
                <w:szCs w:val="21"/>
                <w:highlight w:val="none"/>
                <w:lang w:val="en-US" w:eastAsia="zh-CN"/>
              </w:rPr>
              <w:t>至0+520）段为旧路</w:t>
            </w:r>
            <w:r>
              <w:rPr>
                <w:rFonts w:hint="eastAsia" w:ascii="Times New Roman" w:hAnsi="Times New Roman" w:eastAsia="宋体" w:cs="Times New Roman"/>
                <w:color w:val="000000"/>
                <w:sz w:val="21"/>
                <w:szCs w:val="21"/>
                <w:highlight w:val="none"/>
                <w:lang w:eastAsia="zh-CN" w:bidi="ar"/>
              </w:rPr>
              <w:t>已经存在，本次工程在原有道路基础上进行</w:t>
            </w:r>
            <w:r>
              <w:rPr>
                <w:rFonts w:hint="eastAsia" w:ascii="Times New Roman" w:hAnsi="Times New Roman" w:eastAsia="宋体" w:cs="Times New Roman"/>
                <w:color w:val="000000"/>
                <w:sz w:val="21"/>
                <w:szCs w:val="21"/>
                <w:highlight w:val="none"/>
                <w:lang w:val="en-US" w:eastAsia="zh-CN" w:bidi="ar"/>
              </w:rPr>
              <w:t>挖除</w:t>
            </w:r>
            <w:r>
              <w:rPr>
                <w:rFonts w:hint="eastAsia" w:ascii="Times New Roman" w:hAnsi="Times New Roman" w:eastAsia="宋体" w:cs="Times New Roman"/>
                <w:color w:val="000000"/>
                <w:sz w:val="21"/>
                <w:szCs w:val="21"/>
                <w:highlight w:val="none"/>
                <w:lang w:eastAsia="zh-CN" w:bidi="ar"/>
              </w:rPr>
              <w:t>改造，</w:t>
            </w:r>
            <w:r>
              <w:rPr>
                <w:rFonts w:hint="eastAsia" w:cs="Times New Roman"/>
                <w:color w:val="000000"/>
                <w:sz w:val="21"/>
                <w:szCs w:val="21"/>
                <w:highlight w:val="none"/>
                <w:lang w:val="en-US" w:eastAsia="zh-CN" w:bidi="ar"/>
              </w:rPr>
              <w:t>项目</w:t>
            </w:r>
            <w:r>
              <w:rPr>
                <w:rFonts w:hint="eastAsia" w:ascii="Times New Roman" w:hAnsi="Times New Roman" w:eastAsia="宋体" w:cs="Times New Roman"/>
                <w:color w:val="000000"/>
                <w:sz w:val="21"/>
                <w:szCs w:val="21"/>
                <w:highlight w:val="none"/>
                <w:lang w:eastAsia="zh-CN" w:bidi="ar"/>
              </w:rPr>
              <w:t>施工期不会对景观格局有很大的影响，施工作业面、裸露地等景观在工程完工后都将消失，并在施工结束后对沿线路基边坡及裸露地皮进行植草防护，其景观格局将朝着原有状态逐渐恢复。本项目建设与运行对评价区生态景观的影响很小。</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w:t>
            </w:r>
            <w:r>
              <w:rPr>
                <w:rFonts w:ascii="Times New Roman" w:hAnsi="Times New Roman" w:eastAsia="宋体" w:cs="Times New Roman"/>
                <w:b/>
                <w:color w:val="000000"/>
                <w:sz w:val="21"/>
                <w:szCs w:val="21"/>
                <w:highlight w:val="none"/>
                <w:lang w:bidi="ar"/>
              </w:rPr>
              <w:t>1.</w:t>
            </w:r>
            <w:r>
              <w:rPr>
                <w:rFonts w:hint="eastAsia" w:ascii="Times New Roman" w:hAnsi="Times New Roman" w:eastAsia="宋体" w:cs="Times New Roman"/>
                <w:b/>
                <w:color w:val="000000"/>
                <w:sz w:val="21"/>
                <w:szCs w:val="21"/>
                <w:highlight w:val="none"/>
                <w:lang w:val="en-US" w:eastAsia="zh-CN" w:bidi="ar"/>
              </w:rPr>
              <w:t>2</w:t>
            </w:r>
            <w:r>
              <w:rPr>
                <w:rFonts w:ascii="Times New Roman" w:hAnsi="Times New Roman" w:eastAsia="宋体" w:cs="Times New Roman"/>
                <w:b/>
                <w:color w:val="000000"/>
                <w:sz w:val="21"/>
                <w:szCs w:val="21"/>
                <w:highlight w:val="none"/>
                <w:lang w:bidi="ar"/>
              </w:rPr>
              <w:t xml:space="preserve"> </w:t>
            </w:r>
            <w:r>
              <w:rPr>
                <w:rFonts w:hint="eastAsia" w:ascii="Times New Roman" w:hAnsi="Times New Roman" w:eastAsia="宋体" w:cs="Times New Roman"/>
                <w:b/>
                <w:color w:val="000000"/>
                <w:sz w:val="21"/>
                <w:szCs w:val="21"/>
                <w:highlight w:val="none"/>
                <w:lang w:bidi="ar"/>
              </w:rPr>
              <w:t>对</w:t>
            </w:r>
            <w:r>
              <w:rPr>
                <w:rFonts w:hint="eastAsia" w:ascii="Times New Roman" w:hAnsi="Times New Roman" w:eastAsia="宋体" w:cs="Times New Roman"/>
                <w:b/>
                <w:color w:val="000000"/>
                <w:sz w:val="21"/>
                <w:szCs w:val="21"/>
                <w:highlight w:val="none"/>
                <w:lang w:val="en-US" w:eastAsia="zh-CN" w:bidi="ar"/>
              </w:rPr>
              <w:t>植被和植物多样性影响分析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eastAsia="zh-CN" w:bidi="ar"/>
              </w:rPr>
            </w:pPr>
            <w:r>
              <w:rPr>
                <w:rFonts w:hint="eastAsia" w:ascii="Times New Roman" w:hAnsi="Times New Roman" w:eastAsia="宋体" w:cs="Times New Roman"/>
                <w:color w:val="000000"/>
                <w:sz w:val="21"/>
                <w:szCs w:val="21"/>
                <w:highlight w:val="none"/>
                <w:u w:val="single"/>
                <w:lang w:val="en-US" w:eastAsia="zh-CN" w:bidi="ar"/>
              </w:rPr>
              <w:t>道路建设中影响地表植被的主要工程环节一般有以下几个方面：</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eastAsia="zh-CN" w:bidi="ar"/>
              </w:rPr>
            </w:pPr>
            <w:r>
              <w:rPr>
                <w:rFonts w:hint="eastAsia" w:ascii="Times New Roman" w:hAnsi="Times New Roman" w:eastAsia="宋体" w:cs="Times New Roman"/>
                <w:color w:val="000000"/>
                <w:sz w:val="21"/>
                <w:szCs w:val="21"/>
                <w:highlight w:val="none"/>
                <w:u w:val="single"/>
                <w:lang w:val="en-US" w:eastAsia="zh-CN" w:bidi="ar"/>
              </w:rPr>
              <w:t>a.道路工程永久性征用土地，是道路沿线地表植被遭受损失和破坏的主要原因；</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eastAsia="zh-CN" w:bidi="ar"/>
              </w:rPr>
            </w:pPr>
            <w:r>
              <w:rPr>
                <w:rFonts w:hint="eastAsia" w:ascii="Times New Roman" w:hAnsi="Times New Roman" w:eastAsia="宋体" w:cs="Times New Roman"/>
                <w:color w:val="000000"/>
                <w:sz w:val="21"/>
                <w:szCs w:val="21"/>
                <w:highlight w:val="none"/>
                <w:u w:val="single"/>
                <w:lang w:val="en-US" w:eastAsia="zh-CN" w:bidi="ar"/>
              </w:rPr>
              <w:t>b.施工期的其他原因损坏，施工期由于材料运输、机械碾压及施工人员践踏，将破坏施工作业区周围植被。</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eastAsia="zh-CN" w:bidi="ar"/>
              </w:rPr>
            </w:pPr>
            <w:r>
              <w:rPr>
                <w:rFonts w:hint="default" w:ascii="Times New Roman" w:hAnsi="Times New Roman" w:eastAsia="宋体" w:cs="Times New Roman"/>
                <w:color w:val="000000"/>
                <w:sz w:val="21"/>
                <w:szCs w:val="21"/>
                <w:highlight w:val="none"/>
                <w:u w:val="single"/>
                <w:lang w:val="en-US" w:eastAsia="zh-CN" w:bidi="ar"/>
              </w:rPr>
              <w:t>①</w:t>
            </w:r>
            <w:r>
              <w:rPr>
                <w:rFonts w:hint="eastAsia" w:ascii="Times New Roman" w:hAnsi="Times New Roman" w:eastAsia="宋体" w:cs="Times New Roman"/>
                <w:color w:val="000000"/>
                <w:sz w:val="21"/>
                <w:szCs w:val="21"/>
                <w:highlight w:val="none"/>
                <w:u w:val="single"/>
                <w:lang w:val="en-US" w:eastAsia="zh-CN" w:bidi="ar"/>
              </w:rPr>
              <w:t>对植被的影响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根据调查，萍阳北路道路沿线主要为城市生态系统，道路延续段占地会使沿线的植被受到破坏，受到直接影响的植被类型是道路现有绿化植被，主要为樟树等，延续段还需新建道路，根据现场踏勘，其现未平整前土地上植被类型主要为樟树、</w:t>
            </w:r>
            <w:r>
              <w:rPr>
                <w:rFonts w:hint="eastAsia" w:ascii="宋体" w:hAnsi="宋体" w:cs="宋体"/>
                <w:color w:val="000000"/>
                <w:sz w:val="21"/>
                <w:szCs w:val="21"/>
                <w:highlight w:val="none"/>
                <w:u w:val="single"/>
                <w:lang w:val="en-US" w:eastAsia="zh-CN"/>
              </w:rPr>
              <w:t>落羽杉、栾树等，因此在建设项目时，将区域的植被全部铲除，因此施工期会对原有植被进行破坏。</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③其他因素对植被的影响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施工期间，由于开挖土石方及各种施工机械、运输车辆进入道路施工现场，以及在路基施工中产生的扬尘和运输车辆排放尾气对附近植被会产生一定的影响，其中以扬尘影响更大些，部分粉尘沉降在植物叶片表面，降低植物的光合与呼吸作用，进而对植物生长发育产生一定的影响，如果在花期，扬尘影响植物坐果，影响植物特别是农作物的产量和品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项目建设会造成一定程度的植被损失，但由于植被损失面积与路线所经地区相比是极少量的，因此，道路施工期间破坏的植被不会对沿线生态系统物种的丰度和生态功能产生重大影响。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w:t>
            </w:r>
            <w:r>
              <w:rPr>
                <w:rFonts w:ascii="Times New Roman" w:hAnsi="Times New Roman" w:eastAsia="宋体" w:cs="Times New Roman"/>
                <w:b/>
                <w:color w:val="000000"/>
                <w:sz w:val="21"/>
                <w:szCs w:val="21"/>
                <w:highlight w:val="none"/>
                <w:lang w:bidi="ar"/>
              </w:rPr>
              <w:t>1.</w:t>
            </w:r>
            <w:r>
              <w:rPr>
                <w:rFonts w:hint="eastAsia" w:ascii="Times New Roman" w:hAnsi="Times New Roman" w:eastAsia="宋体" w:cs="Times New Roman"/>
                <w:b/>
                <w:color w:val="000000"/>
                <w:sz w:val="21"/>
                <w:szCs w:val="21"/>
                <w:highlight w:val="none"/>
                <w:lang w:val="en-US" w:eastAsia="zh-CN" w:bidi="ar"/>
              </w:rPr>
              <w:t>3</w:t>
            </w:r>
            <w:r>
              <w:rPr>
                <w:rFonts w:ascii="Times New Roman" w:hAnsi="Times New Roman" w:eastAsia="宋体" w:cs="Times New Roman"/>
                <w:b/>
                <w:color w:val="000000"/>
                <w:sz w:val="21"/>
                <w:szCs w:val="21"/>
                <w:highlight w:val="none"/>
                <w:lang w:bidi="ar"/>
              </w:rPr>
              <w:t xml:space="preserve"> </w:t>
            </w:r>
            <w:r>
              <w:rPr>
                <w:rFonts w:hint="eastAsia" w:ascii="Times New Roman" w:hAnsi="Times New Roman" w:eastAsia="宋体" w:cs="Times New Roman"/>
                <w:b/>
                <w:color w:val="000000"/>
                <w:sz w:val="21"/>
                <w:szCs w:val="21"/>
                <w:highlight w:val="none"/>
                <w:lang w:bidi="ar"/>
              </w:rPr>
              <w:t>对</w:t>
            </w:r>
            <w:r>
              <w:rPr>
                <w:rFonts w:hint="eastAsia" w:ascii="Times New Roman" w:hAnsi="Times New Roman" w:eastAsia="宋体" w:cs="Times New Roman"/>
                <w:b/>
                <w:color w:val="000000"/>
                <w:sz w:val="21"/>
                <w:szCs w:val="21"/>
                <w:highlight w:val="none"/>
                <w:lang w:val="en-US" w:eastAsia="zh-CN" w:bidi="ar"/>
              </w:rPr>
              <w:t>动物和动物多样性影响分析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项目施工过程，使用的机械噪声、人群活动等，会使区域内的动物受到干扰，根据调查，区域内陆生动物主要以鸟类、鼠类、青蛙和蛇类为主，这些动物移动速度较快，施工机械的声音和树木的消失会使其很快远离施工区域，避免受到伤害；但大部分节肢动物的移动速度较慢，挖土时会连其一同挖起，因此对其会产生一定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w:t>
            </w:r>
            <w:r>
              <w:rPr>
                <w:rFonts w:ascii="Times New Roman" w:hAnsi="Times New Roman" w:eastAsia="宋体" w:cs="Times New Roman"/>
                <w:b/>
                <w:color w:val="000000"/>
                <w:sz w:val="21"/>
                <w:szCs w:val="21"/>
                <w:highlight w:val="none"/>
                <w:lang w:bidi="ar"/>
              </w:rPr>
              <w:t>1.</w:t>
            </w:r>
            <w:r>
              <w:rPr>
                <w:rFonts w:hint="eastAsia" w:ascii="Times New Roman" w:hAnsi="Times New Roman" w:eastAsia="宋体" w:cs="Times New Roman"/>
                <w:b/>
                <w:color w:val="000000"/>
                <w:sz w:val="21"/>
                <w:szCs w:val="21"/>
                <w:highlight w:val="none"/>
                <w:lang w:val="en-US" w:eastAsia="zh-CN" w:bidi="ar"/>
              </w:rPr>
              <w:t>4</w:t>
            </w:r>
            <w:r>
              <w:rPr>
                <w:rFonts w:ascii="Times New Roman" w:hAnsi="Times New Roman" w:eastAsia="宋体" w:cs="Times New Roman"/>
                <w:b/>
                <w:color w:val="000000"/>
                <w:sz w:val="21"/>
                <w:szCs w:val="21"/>
                <w:highlight w:val="none"/>
                <w:lang w:bidi="ar"/>
              </w:rPr>
              <w:t xml:space="preserve"> </w:t>
            </w:r>
            <w:r>
              <w:rPr>
                <w:rFonts w:hint="eastAsia" w:ascii="Times New Roman" w:hAnsi="Times New Roman" w:eastAsia="宋体" w:cs="Times New Roman"/>
                <w:b/>
                <w:color w:val="000000"/>
                <w:sz w:val="21"/>
                <w:szCs w:val="21"/>
                <w:highlight w:val="none"/>
                <w:lang w:bidi="ar"/>
              </w:rPr>
              <w:t>对工程本身可能造成的危害</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本工程开挖改变了区域的原地貌、土壤结构和地面物质组成，造成土地肥力的严重退化，从而导致土地生产力降低，为水土流失的加剧创造了条件，这将会对工程建设的正常进行造成一定的影响。根据资料收集及</w:t>
            </w:r>
            <w:r>
              <w:rPr>
                <w:rFonts w:hint="eastAsia" w:ascii="Times New Roman" w:hAnsi="Times New Roman" w:eastAsia="宋体" w:cs="Times New Roman"/>
                <w:color w:val="000000"/>
                <w:sz w:val="21"/>
                <w:szCs w:val="21"/>
                <w:highlight w:val="none"/>
                <w:u w:val="none"/>
                <w:lang w:val="en-US" w:eastAsia="zh-CN" w:bidi="ar"/>
              </w:rPr>
              <w:t>现场踏勘，工程K0+520至1+560段为原</w:t>
            </w:r>
            <w:r>
              <w:rPr>
                <w:szCs w:val="24"/>
                <w:u w:val="none"/>
              </w:rPr>
              <w:t>永州市广丰农化有限公司</w:t>
            </w:r>
            <w:r>
              <w:rPr>
                <w:rFonts w:hint="eastAsia" w:ascii="Times New Roman" w:hAnsi="Times New Roman" w:eastAsia="宋体" w:cs="Times New Roman"/>
                <w:color w:val="000000"/>
                <w:sz w:val="21"/>
                <w:szCs w:val="21"/>
                <w:highlight w:val="none"/>
                <w:u w:val="none"/>
                <w:lang w:val="en-US" w:eastAsia="zh-CN" w:bidi="ar"/>
              </w:rPr>
              <w:t>用地，根据</w:t>
            </w:r>
            <w:r>
              <w:rPr>
                <w:rFonts w:hint="eastAsia"/>
                <w:u w:val="none"/>
              </w:rPr>
              <w:t>2023年6月10日永州市零陵区国有土地储备中心和永州市广丰农化有限公司签订的《国有土地使用权回收补偿协议》</w:t>
            </w:r>
            <w:r>
              <w:rPr>
                <w:rFonts w:hint="eastAsia"/>
                <w:u w:val="none"/>
                <w:lang w:val="en-US" w:eastAsia="zh-CN"/>
              </w:rPr>
              <w:t>可知，</w:t>
            </w:r>
            <w:r>
              <w:rPr>
                <w:u w:val="none"/>
              </w:rPr>
              <w:t>该地块</w:t>
            </w:r>
            <w:r>
              <w:rPr>
                <w:rFonts w:hint="eastAsia"/>
                <w:u w:val="none"/>
              </w:rPr>
              <w:t>进行国有土地使用权回收</w:t>
            </w:r>
            <w:r>
              <w:rPr>
                <w:rFonts w:hint="eastAsia"/>
                <w:u w:val="none"/>
                <w:lang w:eastAsia="zh-CN"/>
              </w:rPr>
              <w:t>，</w:t>
            </w:r>
            <w:r>
              <w:rPr>
                <w:rFonts w:hint="eastAsia"/>
                <w:u w:val="none"/>
                <w:lang w:val="en-US" w:eastAsia="zh-CN"/>
              </w:rPr>
              <w:t>该地块已完成《土壤污染状况初步调查报告》，根据该报告结论，该地块可依法依规进行开发利用，</w:t>
            </w:r>
            <w:r>
              <w:rPr>
                <w:rFonts w:hint="eastAsia"/>
                <w:lang w:val="en-US" w:eastAsia="zh-CN"/>
              </w:rPr>
              <w:t>本</w:t>
            </w:r>
            <w:r>
              <w:rPr>
                <w:rFonts w:hint="eastAsia" w:ascii="Times New Roman" w:hAnsi="Times New Roman" w:eastAsia="宋体" w:cs="Times New Roman"/>
                <w:color w:val="000000"/>
                <w:sz w:val="21"/>
                <w:szCs w:val="21"/>
                <w:highlight w:val="none"/>
                <w:lang w:val="en-US" w:eastAsia="zh-CN" w:bidi="ar"/>
              </w:rPr>
              <w:t>工程中的开挖、回填等施工活动，将破坏地表稳定及地表植被，如果不能采取有效的防护措施，将产生水土流失或扬尘，影响施工正常进行。</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bCs/>
                <w:color w:val="000000"/>
                <w:sz w:val="21"/>
                <w:szCs w:val="21"/>
                <w:highlight w:val="none"/>
                <w:lang w:val="en-US" w:eastAsia="zh-CN" w:bidi="ar"/>
              </w:rPr>
              <w:t>4.</w:t>
            </w:r>
            <w:r>
              <w:rPr>
                <w:rFonts w:ascii="Times New Roman" w:hAnsi="Times New Roman" w:eastAsia="宋体" w:cs="Times New Roman"/>
                <w:b/>
                <w:bCs/>
                <w:color w:val="000000"/>
                <w:sz w:val="21"/>
                <w:szCs w:val="21"/>
                <w:highlight w:val="none"/>
                <w:lang w:bidi="ar"/>
              </w:rPr>
              <w:t>1.</w:t>
            </w:r>
            <w:r>
              <w:rPr>
                <w:rFonts w:hint="eastAsia" w:cs="Times New Roman"/>
                <w:b/>
                <w:bCs/>
                <w:color w:val="000000"/>
                <w:sz w:val="21"/>
                <w:szCs w:val="21"/>
                <w:highlight w:val="none"/>
                <w:lang w:val="en-US" w:eastAsia="zh-CN" w:bidi="ar"/>
              </w:rPr>
              <w:t>5</w:t>
            </w:r>
            <w:r>
              <w:rPr>
                <w:rFonts w:ascii="Times New Roman" w:hAnsi="Times New Roman" w:eastAsia="宋体" w:cs="Times New Roman"/>
                <w:b/>
                <w:bCs/>
                <w:color w:val="000000"/>
                <w:sz w:val="21"/>
                <w:szCs w:val="21"/>
                <w:highlight w:val="none"/>
                <w:lang w:bidi="ar"/>
              </w:rPr>
              <w:t xml:space="preserve"> </w:t>
            </w:r>
            <w:r>
              <w:rPr>
                <w:rFonts w:hint="eastAsia" w:ascii="Times New Roman" w:hAnsi="Times New Roman" w:eastAsia="宋体" w:cs="Times New Roman"/>
                <w:b/>
                <w:bCs/>
                <w:color w:val="000000"/>
                <w:sz w:val="21"/>
                <w:szCs w:val="21"/>
                <w:highlight w:val="none"/>
                <w:lang w:val="en-US" w:eastAsia="zh-CN" w:bidi="ar"/>
              </w:rPr>
              <w:t>水土流失影响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由于开挖地面、机械碾压、排放废弃物等原因，施工破坏了原有的地貌和植被，扰动了表土结构，致使土壤抗蚀能力降低，裸露的土壤极易被降雨径流冲刷而产生水土流失，特别是暴雨时冲刷更为严重。为减少水土流失，保护生态环境，应落实水土保持相关措施。</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4.2</w:t>
            </w:r>
            <w:r>
              <w:rPr>
                <w:rFonts w:hint="eastAsia" w:cs="Times New Roman"/>
                <w:b/>
                <w:color w:val="000000"/>
                <w:sz w:val="21"/>
                <w:szCs w:val="21"/>
                <w:highlight w:val="none"/>
                <w:lang w:val="en-US" w:eastAsia="zh-CN" w:bidi="ar"/>
              </w:rPr>
              <w:t xml:space="preserve"> </w:t>
            </w:r>
            <w:r>
              <w:rPr>
                <w:rFonts w:ascii="Times New Roman" w:hAnsi="Times New Roman" w:eastAsia="宋体" w:cs="Times New Roman"/>
                <w:b/>
                <w:color w:val="000000"/>
                <w:sz w:val="21"/>
                <w:szCs w:val="21"/>
                <w:highlight w:val="none"/>
                <w:lang w:bidi="ar"/>
              </w:rPr>
              <w:t>施工期</w:t>
            </w:r>
            <w:r>
              <w:rPr>
                <w:rFonts w:hint="eastAsia" w:ascii="Times New Roman" w:hAnsi="Times New Roman" w:eastAsia="宋体" w:cs="Times New Roman"/>
                <w:b/>
                <w:color w:val="000000"/>
                <w:sz w:val="21"/>
                <w:szCs w:val="21"/>
                <w:highlight w:val="none"/>
                <w:lang w:val="en-US" w:eastAsia="zh-CN" w:bidi="ar"/>
              </w:rPr>
              <w:t>水</w:t>
            </w:r>
            <w:r>
              <w:rPr>
                <w:rFonts w:hint="eastAsia" w:cs="Times New Roman"/>
                <w:b/>
                <w:color w:val="000000"/>
                <w:sz w:val="21"/>
                <w:szCs w:val="21"/>
                <w:highlight w:val="none"/>
                <w:lang w:val="en-US" w:eastAsia="zh-CN" w:bidi="ar"/>
              </w:rPr>
              <w:t>环境影响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本项目施工期废水主要为施工人员生活污水和其他施工废水等。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施工期间，施工方应该按照《建设工程场地施工场地文明施工及环境管理暂行规定》严格执行，应设计对地面水的排放系统，对工程污水、雨水应采用分流系统，严禁乱流、乱排，淹没市政设施或污染环境。</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4.2</w:t>
            </w:r>
            <w:r>
              <w:rPr>
                <w:rFonts w:hint="eastAsia" w:cs="Times New Roman"/>
                <w:b/>
                <w:color w:val="000000"/>
                <w:sz w:val="21"/>
                <w:szCs w:val="21"/>
                <w:highlight w:val="none"/>
                <w:lang w:val="en-US" w:eastAsia="zh-CN" w:bidi="ar"/>
              </w:rPr>
              <w:t>.1 施工人员生活污水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施工人员生活污水主要是施工区施工人员产生的粪便污水和就餐、洗涤等废水，主要含动植物油脂、洗涤剂等有机污染物。施工现场的生活污水仅限于施工期，施工期生活污水产生量不大，本项目拟租用周边民房作为施工营地，主要用作施工期间临时办公生活利用。施工人员生活污水依托周边居民化粪池处理后接入市政污水管网，不会对周边水质环境产生严重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4.2</w:t>
            </w:r>
            <w:r>
              <w:rPr>
                <w:rFonts w:hint="eastAsia" w:cs="Times New Roman"/>
                <w:b/>
                <w:color w:val="000000"/>
                <w:sz w:val="21"/>
                <w:szCs w:val="21"/>
                <w:highlight w:val="none"/>
                <w:lang w:val="en-US" w:eastAsia="zh-CN" w:bidi="ar"/>
              </w:rPr>
              <w:t>.2 其他施工废水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其他施工废水主要有材料堆场的雨水冲刷废水、砂石料冲洗废水、施工机械设备和车辆的冲洗废水、基坑废水、道路混凝土养护废水等，主要污染物为</w:t>
            </w:r>
            <w:r>
              <w:rPr>
                <w:rFonts w:hint="default" w:ascii="Times New Roman" w:hAnsi="Times New Roman" w:eastAsia="宋体" w:cs="Times New Roman"/>
                <w:color w:val="000000"/>
                <w:sz w:val="21"/>
                <w:szCs w:val="21"/>
                <w:highlight w:val="none"/>
                <w:u w:val="single"/>
                <w:lang w:val="en-US" w:eastAsia="zh-CN" w:bidi="ar"/>
              </w:rPr>
              <w:t>SS</w:t>
            </w:r>
            <w:r>
              <w:rPr>
                <w:rFonts w:hint="eastAsia" w:ascii="Times New Roman" w:hAnsi="Times New Roman" w:eastAsia="宋体" w:cs="Times New Roman"/>
                <w:color w:val="000000"/>
                <w:sz w:val="21"/>
                <w:szCs w:val="21"/>
                <w:highlight w:val="none"/>
                <w:u w:val="single"/>
                <w:lang w:val="en-US" w:eastAsia="zh-CN" w:bidi="ar"/>
              </w:rPr>
              <w:t>和极少量设备跑、冒、滴、漏的污油。</w:t>
            </w:r>
            <w:r>
              <w:rPr>
                <w:rFonts w:hint="eastAsia" w:cs="Times New Roman"/>
                <w:color w:val="000000"/>
                <w:sz w:val="21"/>
                <w:szCs w:val="21"/>
                <w:highlight w:val="none"/>
                <w:u w:val="single"/>
                <w:lang w:val="en-US" w:eastAsia="zh-CN" w:bidi="ar"/>
              </w:rPr>
              <w:t>本项目位于萍阳北路，东侧紧临潇水，如诺处置不当，废水将流入潇水造成水地表水污染，</w:t>
            </w:r>
            <w:r>
              <w:rPr>
                <w:rFonts w:hint="eastAsia" w:ascii="Times New Roman" w:hAnsi="Times New Roman" w:eastAsia="宋体" w:cs="Times New Roman"/>
                <w:color w:val="000000"/>
                <w:sz w:val="21"/>
                <w:szCs w:val="21"/>
                <w:highlight w:val="none"/>
                <w:u w:val="single"/>
                <w:lang w:val="en-US" w:eastAsia="zh-CN" w:bidi="ar"/>
              </w:rPr>
              <w:t>针对上述不同的废水，采取如下防治措施：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①加强施工期管理，针对施工期污水产生过程不连续、废水种类较单一等特点，可采取相应措施有效控制污水中污染物的产生量；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②施工现场因地制宜，建造隔油池、沉砂池等污水临时处理设施，对含油量高的施工机械冲洗水或悬浮物含量高的其它施工废水需经处理后回用，砂浆、石灰等废液宜集中处理，干燥后与固体废物一起处置，隔油池废油以及含油抹布手套等委托有资质单位进行</w:t>
            </w:r>
            <w:r>
              <w:rPr>
                <w:rFonts w:hint="eastAsia" w:cs="Times New Roman"/>
                <w:color w:val="000000"/>
                <w:sz w:val="21"/>
                <w:szCs w:val="21"/>
                <w:highlight w:val="none"/>
                <w:u w:val="single"/>
                <w:lang w:val="en-US" w:eastAsia="zh-CN" w:bidi="ar"/>
              </w:rPr>
              <w:t>清运</w:t>
            </w:r>
            <w:r>
              <w:rPr>
                <w:rFonts w:hint="eastAsia" w:ascii="Times New Roman" w:hAnsi="Times New Roman" w:eastAsia="宋体" w:cs="Times New Roman"/>
                <w:color w:val="000000"/>
                <w:sz w:val="21"/>
                <w:szCs w:val="21"/>
                <w:highlight w:val="none"/>
                <w:u w:val="single"/>
                <w:lang w:val="en-US" w:eastAsia="zh-CN" w:bidi="ar"/>
              </w:rPr>
              <w:t>处置，不在施工现场贮存；</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③受暴雨冲刷产生的污水，需经施工现场的明沟、沉砂池初步处理后回用，不得排入雨水管网。</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④水泥、黄砂、石灰类的建筑材料需集中堆放，远离地表水体，并采取一定的防水措施，及时清扫施工运输过程中抛洒的上述建筑材料，以免这些物质随雨水冲刷污染附近</w:t>
            </w:r>
            <w:r>
              <w:rPr>
                <w:rFonts w:hint="eastAsia" w:cs="Times New Roman"/>
                <w:color w:val="000000"/>
                <w:sz w:val="21"/>
                <w:szCs w:val="21"/>
                <w:highlight w:val="none"/>
                <w:u w:val="single"/>
                <w:lang w:val="en-US" w:eastAsia="zh-CN" w:bidi="ar"/>
              </w:rPr>
              <w:t>潇水</w:t>
            </w:r>
            <w:r>
              <w:rPr>
                <w:rFonts w:hint="eastAsia" w:ascii="Times New Roman" w:hAnsi="Times New Roman" w:eastAsia="宋体" w:cs="Times New Roman"/>
                <w:color w:val="000000"/>
                <w:sz w:val="21"/>
                <w:szCs w:val="21"/>
                <w:highlight w:val="none"/>
                <w:u w:val="singl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sz w:val="21"/>
                <w:szCs w:val="21"/>
                <w:highlight w:val="none"/>
                <w:u w:val="single"/>
                <w:lang w:val="en-US" w:eastAsia="zh-CN" w:bidi="ar"/>
              </w:rPr>
            </w:pPr>
            <w:r>
              <w:rPr>
                <w:rFonts w:hint="eastAsia" w:cs="Times New Roman"/>
                <w:color w:val="000000"/>
                <w:sz w:val="21"/>
                <w:szCs w:val="21"/>
                <w:highlight w:val="none"/>
                <w:u w:val="single"/>
                <w:lang w:val="en-US" w:eastAsia="zh-CN" w:bidi="ar"/>
              </w:rPr>
              <w:t>⑤道路东侧紧临潇水，如若发生施工废水泄漏流入至潇水，将造成地表水污染，道路东侧因建设施工期明沟，衔接至隔油池、沉砂池，经处理后回用于本工程，不外排。</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w:t>
            </w:r>
            <w:r>
              <w:rPr>
                <w:rFonts w:hint="eastAsia" w:cs="Times New Roman"/>
                <w:b/>
                <w:color w:val="000000"/>
                <w:sz w:val="21"/>
                <w:szCs w:val="21"/>
                <w:highlight w:val="none"/>
                <w:lang w:val="en-US" w:eastAsia="zh-CN" w:bidi="ar"/>
              </w:rPr>
              <w:t xml:space="preserve">3 </w:t>
            </w:r>
            <w:r>
              <w:rPr>
                <w:rFonts w:ascii="Times New Roman" w:hAnsi="Times New Roman" w:eastAsia="宋体" w:cs="Times New Roman"/>
                <w:b/>
                <w:color w:val="000000"/>
                <w:sz w:val="21"/>
                <w:szCs w:val="21"/>
                <w:highlight w:val="none"/>
                <w:lang w:bidi="ar"/>
              </w:rPr>
              <w:t>施工期</w:t>
            </w:r>
            <w:r>
              <w:rPr>
                <w:rFonts w:hint="eastAsia" w:cs="Times New Roman"/>
                <w:b/>
                <w:color w:val="000000"/>
                <w:sz w:val="21"/>
                <w:szCs w:val="21"/>
                <w:highlight w:val="none"/>
                <w:lang w:val="en-US" w:eastAsia="zh-CN" w:bidi="ar"/>
              </w:rPr>
              <w:t>大气环境影响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本项目工程涉及</w:t>
            </w:r>
            <w:r>
              <w:rPr>
                <w:rFonts w:hint="eastAsia" w:cs="Times New Roman"/>
                <w:color w:val="000000"/>
                <w:sz w:val="21"/>
                <w:szCs w:val="21"/>
                <w:highlight w:val="none"/>
                <w:lang w:val="en-US" w:eastAsia="zh-CN" w:bidi="ar"/>
              </w:rPr>
              <w:t>城市</w:t>
            </w:r>
            <w:r>
              <w:rPr>
                <w:rFonts w:hint="eastAsia" w:ascii="Times New Roman" w:hAnsi="Times New Roman" w:eastAsia="宋体" w:cs="Times New Roman"/>
                <w:color w:val="000000"/>
                <w:sz w:val="21"/>
                <w:szCs w:val="21"/>
                <w:highlight w:val="none"/>
                <w:lang w:val="en-US" w:eastAsia="zh-CN" w:bidi="ar"/>
              </w:rPr>
              <w:t>道路</w:t>
            </w:r>
            <w:r>
              <w:rPr>
                <w:rFonts w:hint="eastAsia" w:cs="Times New Roman"/>
                <w:color w:val="000000"/>
                <w:sz w:val="21"/>
                <w:szCs w:val="21"/>
                <w:highlight w:val="none"/>
                <w:lang w:val="en-US" w:eastAsia="zh-CN" w:bidi="ar"/>
              </w:rPr>
              <w:t>建设</w:t>
            </w:r>
            <w:r>
              <w:rPr>
                <w:rFonts w:hint="eastAsia" w:ascii="Times New Roman" w:hAnsi="Times New Roman" w:eastAsia="宋体" w:cs="Times New Roman"/>
                <w:color w:val="000000"/>
                <w:sz w:val="21"/>
                <w:szCs w:val="21"/>
                <w:highlight w:val="none"/>
                <w:lang w:val="en-US" w:eastAsia="zh-CN" w:bidi="ar"/>
              </w:rPr>
              <w:t>和配套设施建设，其中道路路面敷设的沥青将采用商业沥青和商品混凝土，不自设沥青熬制系统和拌合站，也不设混凝土搅拌站。为此，本项目施工期的大气污染主要来自拆迁扬尘、施工扬尘、施工机械及运输车辆尾气、沥青铺盖时产生沥青烟气。</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w:t>
            </w:r>
            <w:r>
              <w:rPr>
                <w:rFonts w:hint="eastAsia" w:cs="Times New Roman"/>
                <w:b/>
                <w:color w:val="000000"/>
                <w:sz w:val="21"/>
                <w:szCs w:val="21"/>
                <w:highlight w:val="none"/>
                <w:lang w:val="en-US" w:eastAsia="zh-CN" w:bidi="ar"/>
              </w:rPr>
              <w:t>3.1 拆迁扬尘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项目涉及房屋拆迁，拆迁房屋为砖混结构、围墙、土房等，在机械拆迁过程中，产生扬尘，但是大部分扬尘粒径较大，很快沉降。根据类似工程现场测定，拆迁施工时在距源强</w:t>
            </w:r>
            <w:r>
              <w:rPr>
                <w:rFonts w:hint="default" w:ascii="Times New Roman" w:hAnsi="Times New Roman" w:eastAsia="宋体" w:cs="Times New Roman"/>
                <w:color w:val="000000"/>
                <w:sz w:val="21"/>
                <w:szCs w:val="21"/>
                <w:highlight w:val="none"/>
                <w:u w:val="single"/>
                <w:lang w:val="en-US" w:eastAsia="zh-CN" w:bidi="ar"/>
              </w:rPr>
              <w:t>1m</w:t>
            </w:r>
            <w:r>
              <w:rPr>
                <w:rFonts w:hint="eastAsia" w:ascii="Times New Roman" w:hAnsi="Times New Roman" w:eastAsia="宋体" w:cs="Times New Roman"/>
                <w:color w:val="000000"/>
                <w:sz w:val="21"/>
                <w:szCs w:val="21"/>
                <w:highlight w:val="none"/>
                <w:u w:val="single"/>
                <w:lang w:val="en-US" w:eastAsia="zh-CN" w:bidi="ar"/>
              </w:rPr>
              <w:t>处、</w:t>
            </w:r>
            <w:r>
              <w:rPr>
                <w:rFonts w:hint="default" w:ascii="Times New Roman" w:hAnsi="Times New Roman" w:eastAsia="宋体" w:cs="Times New Roman"/>
                <w:color w:val="000000"/>
                <w:sz w:val="21"/>
                <w:szCs w:val="21"/>
                <w:highlight w:val="none"/>
                <w:u w:val="single"/>
                <w:lang w:val="en-US" w:eastAsia="zh-CN" w:bidi="ar"/>
              </w:rPr>
              <w:t>20m</w:t>
            </w:r>
            <w:r>
              <w:rPr>
                <w:rFonts w:hint="eastAsia" w:ascii="Times New Roman" w:hAnsi="Times New Roman" w:eastAsia="宋体" w:cs="Times New Roman"/>
                <w:color w:val="000000"/>
                <w:sz w:val="21"/>
                <w:szCs w:val="21"/>
                <w:highlight w:val="none"/>
                <w:u w:val="single"/>
                <w:lang w:val="en-US" w:eastAsia="zh-CN" w:bidi="ar"/>
              </w:rPr>
              <w:t>处、</w:t>
            </w:r>
            <w:r>
              <w:rPr>
                <w:rFonts w:hint="default" w:ascii="Times New Roman" w:hAnsi="Times New Roman" w:eastAsia="宋体" w:cs="Times New Roman"/>
                <w:color w:val="000000"/>
                <w:sz w:val="21"/>
                <w:szCs w:val="21"/>
                <w:highlight w:val="none"/>
                <w:u w:val="single"/>
                <w:lang w:val="en-US" w:eastAsia="zh-CN" w:bidi="ar"/>
              </w:rPr>
              <w:t>50m</w:t>
            </w:r>
            <w:r>
              <w:rPr>
                <w:rFonts w:hint="eastAsia" w:ascii="Times New Roman" w:hAnsi="Times New Roman" w:eastAsia="宋体" w:cs="Times New Roman"/>
                <w:color w:val="000000"/>
                <w:sz w:val="21"/>
                <w:szCs w:val="21"/>
                <w:highlight w:val="none"/>
                <w:u w:val="single"/>
                <w:lang w:val="en-US" w:eastAsia="zh-CN" w:bidi="ar"/>
              </w:rPr>
              <w:t>处的扬尘浓度分别为</w:t>
            </w:r>
            <w:r>
              <w:rPr>
                <w:rFonts w:hint="default" w:ascii="Times New Roman" w:hAnsi="Times New Roman" w:eastAsia="宋体" w:cs="Times New Roman"/>
                <w:color w:val="000000"/>
                <w:sz w:val="21"/>
                <w:szCs w:val="21"/>
                <w:highlight w:val="none"/>
                <w:u w:val="single"/>
                <w:lang w:val="en-US" w:eastAsia="zh-CN" w:bidi="ar"/>
              </w:rPr>
              <w:t>11.03mg/</w:t>
            </w:r>
            <w:r>
              <w:rPr>
                <w:rFonts w:hint="eastAsia" w:cs="Times New Roman"/>
                <w:color w:val="000000"/>
                <w:sz w:val="21"/>
                <w:szCs w:val="21"/>
                <w:highlight w:val="none"/>
                <w:u w:val="single"/>
                <w:lang w:val="en-US" w:eastAsia="zh-CN" w:bidi="ar"/>
              </w:rPr>
              <w:t>m</w:t>
            </w:r>
            <w:r>
              <w:rPr>
                <w:rFonts w:hint="eastAsia" w:cs="Times New Roman"/>
                <w:color w:val="000000"/>
                <w:sz w:val="21"/>
                <w:szCs w:val="21"/>
                <w:highlight w:val="none"/>
                <w:u w:val="single"/>
                <w:vertAlign w:val="superscript"/>
                <w:lang w:val="en-US" w:eastAsia="zh-CN" w:bidi="ar"/>
              </w:rPr>
              <w:t>3</w:t>
            </w:r>
            <w:r>
              <w:rPr>
                <w:rFonts w:hint="eastAsia" w:ascii="Times New Roman" w:hAnsi="Times New Roman" w:eastAsia="宋体" w:cs="Times New Roman"/>
                <w:color w:val="000000"/>
                <w:sz w:val="21"/>
                <w:szCs w:val="21"/>
                <w:highlight w:val="none"/>
                <w:u w:val="single"/>
                <w:lang w:val="en-US" w:eastAsia="zh-CN" w:bidi="ar"/>
              </w:rPr>
              <w:t>、</w:t>
            </w:r>
            <w:r>
              <w:rPr>
                <w:rFonts w:hint="default" w:ascii="Times New Roman" w:hAnsi="Times New Roman" w:eastAsia="宋体" w:cs="Times New Roman"/>
                <w:color w:val="000000"/>
                <w:sz w:val="21"/>
                <w:szCs w:val="21"/>
                <w:highlight w:val="none"/>
                <w:u w:val="single"/>
                <w:lang w:val="en-US" w:eastAsia="zh-CN" w:bidi="ar"/>
              </w:rPr>
              <w:t>2.89mg/</w:t>
            </w:r>
            <w:r>
              <w:rPr>
                <w:rFonts w:hint="eastAsia" w:cs="Times New Roman"/>
                <w:color w:val="000000"/>
                <w:sz w:val="21"/>
                <w:szCs w:val="21"/>
                <w:highlight w:val="none"/>
                <w:u w:val="single"/>
                <w:lang w:val="en-US" w:eastAsia="zh-CN" w:bidi="ar"/>
              </w:rPr>
              <w:t>m</w:t>
            </w:r>
            <w:r>
              <w:rPr>
                <w:rFonts w:hint="eastAsia" w:cs="Times New Roman"/>
                <w:color w:val="000000"/>
                <w:sz w:val="21"/>
                <w:szCs w:val="21"/>
                <w:highlight w:val="none"/>
                <w:u w:val="single"/>
                <w:vertAlign w:val="superscript"/>
                <w:lang w:val="en-US" w:eastAsia="zh-CN" w:bidi="ar"/>
              </w:rPr>
              <w:t>3</w:t>
            </w:r>
            <w:r>
              <w:rPr>
                <w:rFonts w:hint="eastAsia" w:ascii="Times New Roman" w:hAnsi="Times New Roman" w:eastAsia="宋体" w:cs="Times New Roman"/>
                <w:color w:val="000000"/>
                <w:sz w:val="21"/>
                <w:szCs w:val="21"/>
                <w:highlight w:val="none"/>
                <w:u w:val="single"/>
                <w:lang w:val="en-US" w:eastAsia="zh-CN" w:bidi="ar"/>
              </w:rPr>
              <w:t>、</w:t>
            </w:r>
            <w:r>
              <w:rPr>
                <w:rFonts w:hint="default" w:ascii="Times New Roman" w:hAnsi="Times New Roman" w:eastAsia="宋体" w:cs="Times New Roman"/>
                <w:color w:val="000000"/>
                <w:sz w:val="21"/>
                <w:szCs w:val="21"/>
                <w:highlight w:val="none"/>
                <w:u w:val="single"/>
                <w:lang w:val="en-US" w:eastAsia="zh-CN" w:bidi="ar"/>
              </w:rPr>
              <w:t>1.15mg/</w:t>
            </w:r>
            <w:r>
              <w:rPr>
                <w:rFonts w:hint="eastAsia" w:cs="Times New Roman"/>
                <w:color w:val="000000"/>
                <w:sz w:val="21"/>
                <w:szCs w:val="21"/>
                <w:highlight w:val="none"/>
                <w:u w:val="single"/>
                <w:lang w:val="en-US" w:eastAsia="zh-CN" w:bidi="ar"/>
              </w:rPr>
              <w:t>m</w:t>
            </w:r>
            <w:r>
              <w:rPr>
                <w:rFonts w:hint="eastAsia" w:cs="Times New Roman"/>
                <w:color w:val="000000"/>
                <w:sz w:val="21"/>
                <w:szCs w:val="21"/>
                <w:highlight w:val="none"/>
                <w:u w:val="single"/>
                <w:vertAlign w:val="superscript"/>
                <w:lang w:val="en-US" w:eastAsia="zh-CN" w:bidi="ar"/>
              </w:rPr>
              <w:t>3</w:t>
            </w:r>
            <w:r>
              <w:rPr>
                <w:rFonts w:hint="eastAsia" w:ascii="Times New Roman" w:hAnsi="Times New Roman" w:eastAsia="宋体" w:cs="Times New Roman"/>
                <w:color w:val="000000"/>
                <w:sz w:val="21"/>
                <w:szCs w:val="21"/>
                <w:highlight w:val="none"/>
                <w:u w:val="single"/>
                <w:lang w:val="en-US"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为减少居民房屋拆迁粉尘对周围环境的影响，建设单位应合理布置挡灰围墙的位置和高度，辅以其他行之有效的措施，如每天洒水</w:t>
            </w:r>
            <w:r>
              <w:rPr>
                <w:rFonts w:hint="default" w:ascii="Times New Roman" w:hAnsi="Times New Roman" w:eastAsia="宋体" w:cs="Times New Roman"/>
                <w:color w:val="000000"/>
                <w:sz w:val="21"/>
                <w:szCs w:val="21"/>
                <w:highlight w:val="none"/>
                <w:u w:val="single"/>
                <w:lang w:val="en-US" w:eastAsia="zh-CN" w:bidi="ar"/>
              </w:rPr>
              <w:t>4~5</w:t>
            </w:r>
            <w:r>
              <w:rPr>
                <w:rFonts w:hint="eastAsia" w:ascii="Times New Roman" w:hAnsi="Times New Roman" w:eastAsia="宋体" w:cs="Times New Roman"/>
                <w:color w:val="000000"/>
                <w:sz w:val="21"/>
                <w:szCs w:val="21"/>
                <w:highlight w:val="none"/>
                <w:u w:val="single"/>
                <w:lang w:val="en-US" w:eastAsia="zh-CN" w:bidi="ar"/>
              </w:rPr>
              <w:t>次，可使扬尘造成的</w:t>
            </w:r>
            <w:r>
              <w:rPr>
                <w:rFonts w:hint="default" w:ascii="Times New Roman" w:hAnsi="Times New Roman" w:eastAsia="宋体" w:cs="Times New Roman"/>
                <w:color w:val="000000"/>
                <w:sz w:val="21"/>
                <w:szCs w:val="21"/>
                <w:highlight w:val="none"/>
                <w:u w:val="single"/>
                <w:lang w:val="en-US" w:eastAsia="zh-CN" w:bidi="ar"/>
              </w:rPr>
              <w:t>TSP</w:t>
            </w:r>
            <w:r>
              <w:rPr>
                <w:rFonts w:hint="eastAsia" w:ascii="Times New Roman" w:hAnsi="Times New Roman" w:eastAsia="宋体" w:cs="Times New Roman"/>
                <w:color w:val="000000"/>
                <w:sz w:val="21"/>
                <w:szCs w:val="21"/>
                <w:highlight w:val="none"/>
                <w:u w:val="single"/>
                <w:lang w:val="en-US" w:eastAsia="zh-CN" w:bidi="ar"/>
              </w:rPr>
              <w:t>污染距离可缩小到</w:t>
            </w:r>
            <w:r>
              <w:rPr>
                <w:rFonts w:hint="default" w:ascii="Times New Roman" w:hAnsi="Times New Roman" w:eastAsia="宋体" w:cs="Times New Roman"/>
                <w:color w:val="000000"/>
                <w:sz w:val="21"/>
                <w:szCs w:val="21"/>
                <w:highlight w:val="none"/>
                <w:u w:val="single"/>
                <w:lang w:val="en-US" w:eastAsia="zh-CN" w:bidi="ar"/>
              </w:rPr>
              <w:t>20~50m</w:t>
            </w:r>
            <w:r>
              <w:rPr>
                <w:rFonts w:hint="eastAsia" w:ascii="Times New Roman" w:hAnsi="Times New Roman" w:eastAsia="宋体" w:cs="Times New Roman"/>
                <w:color w:val="000000"/>
                <w:sz w:val="21"/>
                <w:szCs w:val="21"/>
                <w:highlight w:val="none"/>
                <w:u w:val="single"/>
                <w:lang w:val="en-US" w:eastAsia="zh-CN" w:bidi="ar"/>
              </w:rPr>
              <w:t>范围，在旧房拆除过程中，应洒水使作业面保持一定的湿度，对施工场地内松散、干涸的建筑块，也应经常洒水。由此，可将扬尘对周围环境的影响降至最低。</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sz w:val="21"/>
                <w:szCs w:val="21"/>
                <w:highlight w:val="none"/>
                <w:u w:val="single"/>
                <w:lang w:val="en-US" w:eastAsia="zh-CN" w:bidi="ar"/>
              </w:rPr>
            </w:pPr>
            <w:r>
              <w:rPr>
                <w:rFonts w:hint="default" w:ascii="Times New Roman" w:hAnsi="Times New Roman" w:eastAsia="宋体" w:cs="Times New Roman"/>
                <w:color w:val="000000"/>
                <w:sz w:val="21"/>
                <w:szCs w:val="21"/>
                <w:highlight w:val="none"/>
                <w:u w:val="single"/>
                <w:lang w:val="en-US" w:eastAsia="zh-CN" w:bidi="ar"/>
              </w:rPr>
              <w:t>萍阳北路桩号（k0+280至0+520）段为旧路已经存在</w:t>
            </w:r>
            <w:r>
              <w:rPr>
                <w:rFonts w:hint="eastAsia" w:cs="Times New Roman"/>
                <w:color w:val="000000"/>
                <w:sz w:val="21"/>
                <w:szCs w:val="21"/>
                <w:highlight w:val="none"/>
                <w:u w:val="single"/>
                <w:lang w:val="en-US" w:eastAsia="zh-CN" w:bidi="ar"/>
              </w:rPr>
              <w:t>，本次设计将其本次工程在原有道路基础上进行挖除改造，在挖除过程中，将产生扬尘，为减少扬尘对周围环境的影响，建设单位因</w:t>
            </w:r>
            <w:r>
              <w:rPr>
                <w:rFonts w:hint="eastAsia" w:ascii="Times New Roman" w:hAnsi="Times New Roman" w:eastAsia="宋体" w:cs="Times New Roman"/>
                <w:color w:val="000000"/>
                <w:sz w:val="21"/>
                <w:szCs w:val="21"/>
                <w:highlight w:val="none"/>
                <w:u w:val="single"/>
                <w:lang w:val="en-US" w:eastAsia="zh-CN" w:bidi="ar"/>
              </w:rPr>
              <w:t>布置挡灰围墙的位置和高度，并在施工期设置洒水车或雾炮机，进行抑尘，将扬尘对周围环境的影响降至最低。</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w:t>
            </w:r>
            <w:r>
              <w:rPr>
                <w:rFonts w:hint="eastAsia" w:cs="Times New Roman"/>
                <w:b/>
                <w:color w:val="000000"/>
                <w:sz w:val="21"/>
                <w:szCs w:val="21"/>
                <w:highlight w:val="none"/>
                <w:lang w:val="en-US" w:eastAsia="zh-CN" w:bidi="ar"/>
              </w:rPr>
              <w:t>3.2 施工扬尘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none"/>
                <w:lang w:val="en-US" w:eastAsia="zh-CN" w:bidi="ar"/>
              </w:rPr>
            </w:pPr>
            <w:r>
              <w:rPr>
                <w:rFonts w:hint="eastAsia" w:ascii="Times New Roman" w:hAnsi="Times New Roman" w:eastAsia="宋体" w:cs="Times New Roman"/>
                <w:color w:val="000000"/>
                <w:sz w:val="21"/>
                <w:szCs w:val="21"/>
                <w:highlight w:val="none"/>
                <w:u w:val="none"/>
                <w:lang w:val="en-US" w:eastAsia="zh-CN" w:bidi="ar"/>
              </w:rPr>
              <w:t>施工期对大气的污染主要来源于扬尘污染。扬尘主要产生在以下环节：建筑物拆迁、路基施工的挖方、填方，水泥、砂石、土的装卸，建筑垃圾搬运堆放，物料运输过程引起道路扬尘，堆放的物料受风吹引起的扬尘等。此外，运送施工材料的车辆和推土机、挖掘机等施工机械的运行也会排放氮氧化物等，造成一定的环境空气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none"/>
                <w:lang w:val="en-US" w:eastAsia="zh-CN" w:bidi="ar"/>
              </w:rPr>
            </w:pPr>
            <w:r>
              <w:rPr>
                <w:rFonts w:hint="eastAsia" w:ascii="Times New Roman" w:hAnsi="Times New Roman" w:eastAsia="宋体" w:cs="Times New Roman"/>
                <w:color w:val="000000"/>
                <w:sz w:val="21"/>
                <w:szCs w:val="21"/>
                <w:highlight w:val="none"/>
                <w:u w:val="none"/>
                <w:lang w:val="en-US" w:eastAsia="zh-CN" w:bidi="ar"/>
              </w:rPr>
              <w:t>施工过程扬尘污染的危害性是不容忽视的。施工现场的作业人员和周围居民吸入大量的微小尘埃不但会引起各种呼吸道疾病，而且扬尘夹带大量的病原菌还会传染其他各种疾病，严重地影响施工人员及周围居民的身体健康。此外，扬尘飘扬，降低能见度，易引发交通事故。扬尘飘落在各种建筑物和树木枝叶上，影响景观。运输车辆引起的二次扬尘影响时间最长，其影响程度也因施工场地内路面破坏，泥土裸露而明显加重。在车速、车重不变的情况下，道路扬尘量的产生完全取决于道路表面积尘量，积尘量越大，二次扬尘越严重。</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none"/>
                <w:lang w:val="en-US" w:eastAsia="zh-CN" w:bidi="ar"/>
              </w:rPr>
            </w:pPr>
            <w:r>
              <w:rPr>
                <w:rFonts w:hint="eastAsia" w:ascii="Times New Roman" w:hAnsi="Times New Roman" w:eastAsia="宋体" w:cs="Times New Roman"/>
                <w:color w:val="000000"/>
                <w:sz w:val="21"/>
                <w:szCs w:val="21"/>
                <w:highlight w:val="none"/>
                <w:u w:val="none"/>
                <w:lang w:val="en-US" w:eastAsia="zh-CN" w:bidi="ar"/>
              </w:rPr>
              <w:t>若在施工时采取控制措施，包括工地洒水和降低风速（通过挡风栅栏），对施工场地内裸露的地面及临时堆土压实预防扬尘，则可明显减少扬尘量。据估算，采用以上措施并规定在积尘路面减速行驶，清洗车轮和车体，用帆布覆盖易起扬尘的物料等，则工地扬尘可减少</w:t>
            </w:r>
            <w:r>
              <w:rPr>
                <w:rFonts w:hint="default" w:ascii="Times New Roman" w:hAnsi="Times New Roman" w:eastAsia="宋体" w:cs="Times New Roman"/>
                <w:color w:val="000000"/>
                <w:sz w:val="21"/>
                <w:szCs w:val="21"/>
                <w:highlight w:val="none"/>
                <w:u w:val="none"/>
                <w:lang w:val="en-US" w:eastAsia="zh-CN" w:bidi="ar"/>
              </w:rPr>
              <w:t>80%</w:t>
            </w:r>
            <w:r>
              <w:rPr>
                <w:rFonts w:hint="eastAsia" w:ascii="Times New Roman" w:hAnsi="Times New Roman" w:eastAsia="宋体" w:cs="Times New Roman"/>
                <w:color w:val="000000"/>
                <w:sz w:val="21"/>
                <w:szCs w:val="21"/>
                <w:highlight w:val="none"/>
                <w:u w:val="none"/>
                <w:lang w:val="en-US" w:eastAsia="zh-CN" w:bidi="ar"/>
              </w:rPr>
              <w:t>，可大大减少工地扬尘对周围空气环境的影响。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none"/>
                <w:lang w:val="en-US" w:eastAsia="zh-CN" w:bidi="ar"/>
              </w:rPr>
            </w:pPr>
            <w:r>
              <w:rPr>
                <w:rFonts w:hint="eastAsia" w:ascii="Times New Roman" w:hAnsi="Times New Roman" w:eastAsia="宋体" w:cs="Times New Roman"/>
                <w:color w:val="000000"/>
                <w:sz w:val="21"/>
                <w:szCs w:val="21"/>
                <w:highlight w:val="none"/>
                <w:u w:val="none"/>
                <w:lang w:val="en-US" w:eastAsia="zh-CN" w:bidi="ar"/>
              </w:rPr>
              <w:t>根据上述分析可知，本项目施工期扬尘会对其周边敏感点造成一定程度影响。建设单位应加强管理，合理布局施工场地，最大可能减少施工期扬尘的影响，施工过程应采用围蔽措施，最大程度减少扬尘对敏感点造成的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w:t>
            </w:r>
            <w:r>
              <w:rPr>
                <w:rFonts w:hint="eastAsia" w:cs="Times New Roman"/>
                <w:b/>
                <w:color w:val="000000"/>
                <w:sz w:val="21"/>
                <w:szCs w:val="21"/>
                <w:highlight w:val="none"/>
                <w:lang w:val="en-US" w:eastAsia="zh-CN" w:bidi="ar"/>
              </w:rPr>
              <w:t>3.3 施工机械尾气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道路施工机械主要有物料运输车辆、压路机、柴油动力机械等燃油机械，它们排放的污染物主要有</w:t>
            </w:r>
            <w:r>
              <w:rPr>
                <w:rFonts w:hint="default" w:ascii="Times New Roman" w:hAnsi="Times New Roman" w:eastAsia="宋体" w:cs="Times New Roman"/>
                <w:color w:val="000000"/>
                <w:sz w:val="21"/>
                <w:szCs w:val="21"/>
                <w:highlight w:val="none"/>
                <w:lang w:val="en-US" w:eastAsia="zh-CN" w:bidi="ar"/>
              </w:rPr>
              <w:t>CO</w:t>
            </w:r>
            <w:r>
              <w:rPr>
                <w:rFonts w:hint="eastAsia" w:ascii="Times New Roman" w:hAnsi="Times New Roman" w:eastAsia="宋体" w:cs="Times New Roman"/>
                <w:color w:val="000000"/>
                <w:sz w:val="21"/>
                <w:szCs w:val="21"/>
                <w:highlight w:val="none"/>
                <w:lang w:val="en-US" w:eastAsia="zh-CN" w:bidi="ar"/>
              </w:rPr>
              <w:t>、</w:t>
            </w:r>
            <w:r>
              <w:rPr>
                <w:rFonts w:hint="eastAsia" w:cs="Times New Roman"/>
                <w:color w:val="000000"/>
                <w:sz w:val="21"/>
                <w:szCs w:val="21"/>
                <w:highlight w:val="none"/>
                <w:lang w:val="en-US" w:eastAsia="zh-CN" w:bidi="ar"/>
              </w:rPr>
              <w:t>NO</w:t>
            </w:r>
            <w:r>
              <w:rPr>
                <w:rFonts w:hint="eastAsia" w:cs="Times New Roman"/>
                <w:color w:val="000000"/>
                <w:sz w:val="21"/>
                <w:szCs w:val="21"/>
                <w:highlight w:val="none"/>
                <w:vertAlign w:val="subscript"/>
                <w:lang w:val="en-US" w:eastAsia="zh-CN" w:bidi="ar"/>
              </w:rPr>
              <w:t>X</w:t>
            </w:r>
            <w:r>
              <w:rPr>
                <w:rFonts w:hint="eastAsia" w:ascii="Times New Roman" w:hAnsi="Times New Roman" w:eastAsia="宋体" w:cs="Times New Roman"/>
                <w:color w:val="000000"/>
                <w:sz w:val="21"/>
                <w:szCs w:val="21"/>
                <w:highlight w:val="none"/>
                <w:lang w:val="en-US" w:eastAsia="zh-CN" w:bidi="ar"/>
              </w:rPr>
              <w:t>和</w:t>
            </w:r>
            <w:r>
              <w:rPr>
                <w:rFonts w:hint="default" w:ascii="Times New Roman" w:hAnsi="Times New Roman" w:eastAsia="宋体" w:cs="Times New Roman"/>
                <w:color w:val="000000"/>
                <w:sz w:val="21"/>
                <w:szCs w:val="21"/>
                <w:highlight w:val="none"/>
                <w:lang w:val="en-US" w:eastAsia="zh-CN" w:bidi="ar"/>
              </w:rPr>
              <w:t>HC</w:t>
            </w:r>
            <w:r>
              <w:rPr>
                <w:rFonts w:hint="eastAsia" w:ascii="Times New Roman" w:hAnsi="Times New Roman" w:eastAsia="宋体" w:cs="Times New Roman"/>
                <w:color w:val="000000"/>
                <w:sz w:val="21"/>
                <w:szCs w:val="21"/>
                <w:highlight w:val="none"/>
                <w:lang w:val="en-US" w:eastAsia="zh-CN" w:bidi="ar"/>
              </w:rPr>
              <w:t>。由于施工机械多为大型机械，单车排放系数较大，但施工机械数量少且较为分散，其污染程度相对较轻。</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4.</w:t>
            </w:r>
            <w:r>
              <w:rPr>
                <w:rFonts w:hint="eastAsia" w:cs="Times New Roman"/>
                <w:b/>
                <w:color w:val="000000"/>
                <w:sz w:val="21"/>
                <w:szCs w:val="21"/>
                <w:highlight w:val="none"/>
                <w:lang w:val="en-US" w:eastAsia="zh-CN" w:bidi="ar"/>
              </w:rPr>
              <w:t>3.3 沥青烟气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路面施工中沥青铺摊过程中产生的沥青烟将对环境空气产生一定程度的不利影响。本项目施工沥青为外购的拌和商品沥青，不设沥青预制场和拌合站，以减少施工期排放的沥青烟对周边环境的影响。</w:t>
            </w:r>
          </w:p>
          <w:p>
            <w:pPr>
              <w:keepNext w:val="0"/>
              <w:keepLines w:val="0"/>
              <w:pageBreakBefore w:val="0"/>
              <w:tabs>
                <w:tab w:val="left" w:pos="600"/>
              </w:tabs>
              <w:spacing w:line="360" w:lineRule="auto"/>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4.</w:t>
            </w:r>
            <w:r>
              <w:rPr>
                <w:rFonts w:hint="eastAsia" w:cs="Times New Roman"/>
                <w:b/>
                <w:color w:val="000000"/>
                <w:sz w:val="21"/>
                <w:szCs w:val="21"/>
                <w:highlight w:val="none"/>
                <w:lang w:val="en-US" w:eastAsia="zh-CN" w:bidi="ar"/>
              </w:rPr>
              <w:t xml:space="preserve">4 </w:t>
            </w:r>
            <w:r>
              <w:rPr>
                <w:rFonts w:ascii="Times New Roman" w:hAnsi="Times New Roman" w:eastAsia="宋体" w:cs="Times New Roman"/>
                <w:b/>
                <w:color w:val="000000"/>
                <w:sz w:val="21"/>
                <w:szCs w:val="21"/>
                <w:highlight w:val="none"/>
                <w:lang w:bidi="ar"/>
              </w:rPr>
              <w:t>施工期噪声环境影响分析</w:t>
            </w:r>
          </w:p>
          <w:p>
            <w:pPr>
              <w:spacing w:line="360" w:lineRule="auto"/>
              <w:ind w:firstLine="480"/>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施工期噪声源主要为施工机械和运输车辆。老路铣刨时有铣刨机，路基填筑时有推土机、压路机、装载机、平地机等；路面施工时有铲运车、平地机、摊铺机等。根据《建筑施工场界环境噪声排放标准》（GB12523-2011），施工过程中昼间场界噪声不得超过70dB(A)，施工期噪声具有间歇性和暂时性，施工期结束噪声影响随即消失。本项目选用低噪声设备，合理安排施工时间，制定施工计划，尽可能避免高噪声设备同时施工，避免夜间施工等。本项目运输车辆在经过学校等敏感点时禁止鸣笛。</w:t>
            </w:r>
          </w:p>
          <w:p>
            <w:pPr>
              <w:spacing w:line="360" w:lineRule="auto"/>
              <w:ind w:firstLine="480"/>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要求施工作业尽量远离沿线学校，如无法避开应根据学校实际上课时间选择合理时间进行作业，避开上课、午休及夜间，同时学校路段施工设置施工挡板，严格管理，禁止鸣笛。</w:t>
            </w:r>
          </w:p>
          <w:p>
            <w:pPr>
              <w:spacing w:line="360" w:lineRule="auto"/>
              <w:ind w:firstLine="480"/>
              <w:rPr>
                <w:rFonts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采取以上措施后，本项目施工噪声能够满足《建筑施工场界环境噪声排放标准》（GB12523-2011）相关要求。详见声专项</w:t>
            </w:r>
            <w:r>
              <w:rPr>
                <w:rFonts w:ascii="Times New Roman" w:hAnsi="Times New Roman" w:eastAsia="宋体" w:cs="Times New Roman"/>
                <w:color w:val="000000"/>
                <w:sz w:val="21"/>
                <w:szCs w:val="21"/>
                <w:highlight w:val="none"/>
                <w:lang w:bidi="ar"/>
              </w:rPr>
              <w:t>。</w:t>
            </w:r>
          </w:p>
          <w:p>
            <w:pPr>
              <w:pStyle w:val="249"/>
              <w:keepNext w:val="0"/>
              <w:keepLines w:val="0"/>
              <w:pageBreakBefore w:val="0"/>
              <w:widowControl/>
              <w:spacing w:line="360" w:lineRule="auto"/>
              <w:ind w:firstLine="0"/>
              <w:rPr>
                <w:rFonts w:hint="eastAsia" w:ascii="Times New Roman" w:hAnsi="Times New Roman" w:eastAsia="宋体" w:cs="Times New Roman"/>
                <w:b/>
                <w:color w:val="000000"/>
                <w:sz w:val="21"/>
                <w:szCs w:val="21"/>
                <w:highlight w:val="none"/>
                <w:lang w:val="en-US" w:eastAsia="zh-CN"/>
              </w:rPr>
            </w:pPr>
            <w:r>
              <w:rPr>
                <w:rFonts w:hint="eastAsia" w:cs="Times New Roman"/>
                <w:b/>
                <w:color w:val="000000"/>
                <w:sz w:val="21"/>
                <w:szCs w:val="21"/>
                <w:highlight w:val="none"/>
                <w:lang w:val="en-US" w:eastAsia="zh-CN"/>
              </w:rPr>
              <w:t xml:space="preserve">4.5 </w:t>
            </w:r>
            <w:r>
              <w:rPr>
                <w:rFonts w:ascii="Times New Roman" w:hAnsi="Times New Roman" w:eastAsia="宋体" w:cs="Times New Roman"/>
                <w:b/>
                <w:color w:val="000000"/>
                <w:sz w:val="21"/>
                <w:szCs w:val="21"/>
                <w:highlight w:val="none"/>
              </w:rPr>
              <w:t>施工期固体废弃物环境影响</w:t>
            </w:r>
            <w:r>
              <w:rPr>
                <w:rFonts w:hint="eastAsia" w:cs="Times New Roman"/>
                <w:b/>
                <w:color w:val="000000"/>
                <w:sz w:val="21"/>
                <w:szCs w:val="21"/>
                <w:highlight w:val="none"/>
                <w:lang w:val="en-US" w:eastAsia="zh-CN"/>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项目施工期固体废物主要为弃土、生活垃圾、建筑垃圾、废油及含油废抹布等。</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①弃土</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经土石方平衡计算，本项目产生弃方</w:t>
            </w:r>
            <w:r>
              <w:rPr>
                <w:rFonts w:hint="eastAsia" w:cs="Times New Roman"/>
                <w:color w:val="000000"/>
                <w:sz w:val="21"/>
                <w:szCs w:val="21"/>
                <w:highlight w:val="none"/>
                <w:lang w:val="en-US" w:eastAsia="zh-CN" w:bidi="ar"/>
              </w:rPr>
              <w:t>145855m</w:t>
            </w:r>
            <w:r>
              <w:rPr>
                <w:rFonts w:hint="eastAsia" w:cs="Times New Roman"/>
                <w:color w:val="000000"/>
                <w:sz w:val="21"/>
                <w:szCs w:val="21"/>
                <w:highlight w:val="none"/>
                <w:vertAlign w:val="superscript"/>
                <w:lang w:val="en-US" w:eastAsia="zh-CN" w:bidi="ar"/>
              </w:rPr>
              <w:t>3</w:t>
            </w:r>
            <w:r>
              <w:rPr>
                <w:rFonts w:hint="eastAsia" w:ascii="Times New Roman" w:hAnsi="Times New Roman" w:eastAsia="宋体" w:cs="Times New Roman"/>
                <w:color w:val="000000"/>
                <w:sz w:val="21"/>
                <w:szCs w:val="21"/>
                <w:highlight w:val="none"/>
                <w:lang w:val="en-US" w:eastAsia="zh-CN" w:bidi="ar"/>
              </w:rPr>
              <w:t>，外弃土方由</w:t>
            </w:r>
            <w:r>
              <w:rPr>
                <w:rFonts w:hint="eastAsia" w:cs="Times New Roman"/>
                <w:color w:val="000000"/>
                <w:sz w:val="21"/>
                <w:szCs w:val="21"/>
                <w:highlight w:val="none"/>
                <w:lang w:val="en-US" w:eastAsia="zh-CN" w:bidi="ar"/>
              </w:rPr>
              <w:t>城管</w:t>
            </w:r>
            <w:r>
              <w:rPr>
                <w:rFonts w:hint="eastAsia" w:ascii="Times New Roman" w:hAnsi="Times New Roman" w:eastAsia="宋体" w:cs="Times New Roman"/>
                <w:color w:val="000000"/>
                <w:sz w:val="21"/>
                <w:szCs w:val="21"/>
                <w:highlight w:val="none"/>
                <w:lang w:val="en-US" w:eastAsia="zh-CN" w:bidi="ar"/>
              </w:rPr>
              <w:t>部门统一调配。</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②生活垃圾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项目施工期间，施工人员将产生一定量的生活垃圾。建议在施工场地设置垃圾桶，生活垃圾集中收集后交由环卫部门统一清运处理，减少其对周围环境和施工人员及居民点的影响。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③建筑垃圾</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施工期间将涉及到房屋拆除、土地开挖、管道敷设、材料运输等工程内容，在此期间将有一定数量的废弃建筑材料如砂石、石灰、混凝土、废砖、土石方等。因此对施工现场要及时进行清理，由</w:t>
            </w:r>
            <w:r>
              <w:rPr>
                <w:rFonts w:hint="eastAsia" w:cs="Times New Roman"/>
                <w:color w:val="000000"/>
                <w:sz w:val="21"/>
                <w:szCs w:val="21"/>
                <w:highlight w:val="none"/>
                <w:lang w:val="en-US" w:eastAsia="zh-CN" w:bidi="ar"/>
              </w:rPr>
              <w:t>城管</w:t>
            </w:r>
            <w:r>
              <w:rPr>
                <w:rFonts w:hint="eastAsia" w:ascii="Times New Roman" w:hAnsi="Times New Roman" w:eastAsia="宋体" w:cs="Times New Roman"/>
                <w:color w:val="000000"/>
                <w:sz w:val="21"/>
                <w:szCs w:val="21"/>
                <w:highlight w:val="none"/>
                <w:lang w:val="en-US" w:eastAsia="zh-CN" w:bidi="ar"/>
              </w:rPr>
              <w:t>部门统一调配，弃往指定弃渣场。</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④废油及含油废抹布</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项目施工期间隔油池产生的废油以及含油抹布等，属于危险废物，</w:t>
            </w:r>
            <w:r>
              <w:rPr>
                <w:rFonts w:hint="eastAsia" w:cs="Times New Roman"/>
                <w:color w:val="000000"/>
                <w:sz w:val="21"/>
                <w:szCs w:val="21"/>
                <w:highlight w:val="none"/>
                <w:lang w:val="en-US" w:eastAsia="zh-CN" w:bidi="ar"/>
              </w:rPr>
              <w:t>根据同类型项目经验，其废油的产生量为0.1t/a，</w:t>
            </w:r>
            <w:r>
              <w:rPr>
                <w:rFonts w:hint="eastAsia" w:ascii="Times New Roman" w:hAnsi="Times New Roman" w:eastAsia="宋体" w:cs="Times New Roman"/>
                <w:color w:val="000000"/>
                <w:sz w:val="21"/>
                <w:szCs w:val="21"/>
                <w:highlight w:val="none"/>
                <w:lang w:val="en-US" w:eastAsia="zh-CN" w:bidi="ar"/>
              </w:rPr>
              <w:t>含油抹布产生量为0.01t/a，收集后委托有资质单位进行处理，不在施工区暂存和处置。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u w:val="single"/>
                <w:lang w:val="en-US" w:eastAsia="zh-CN"/>
              </w:rPr>
              <w:t>⑤由于道路占地上涉及永州市广丰农化有限公司、原化工集团地块，因此本次评价要求在施工过程中如发现地埋罐、暗管、渗漏井等结构存在，应及时上报环保、安监等相关部门，防止发生突发环境事件，造成地表水、土壤、地下水污染。</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28" w:type="dxa"/>
            <w:bottom w:w="0" w:type="dxa"/>
            <w:right w:w="28" w:type="dxa"/>
          </w:tblCellMar>
        </w:tblPrEx>
        <w:trPr>
          <w:trHeight w:val="90" w:hRule="atLeast"/>
          <w:jc w:val="center"/>
        </w:trPr>
        <w:tc>
          <w:tcPr>
            <w:tcW w:w="772" w:type="dxa"/>
            <w:noWrap w:val="0"/>
            <w:tcMar>
              <w:left w:w="28" w:type="dxa"/>
              <w:right w:w="28" w:type="dxa"/>
            </w:tcMar>
            <w:vAlign w:val="center"/>
          </w:tcPr>
          <w:p>
            <w:pPr>
              <w:pStyle w:val="218"/>
              <w:spacing w:before="0" w:beforeAutospacing="0" w:after="0" w:afterAutospacing="0" w:line="360" w:lineRule="auto"/>
              <w:jc w:val="center"/>
              <w:rPr>
                <w:rFonts w:cs="宋体"/>
                <w:bCs/>
                <w:color w:val="000000"/>
                <w:sz w:val="21"/>
                <w:szCs w:val="21"/>
                <w:highlight w:val="none"/>
              </w:rPr>
            </w:pPr>
            <w:r>
              <w:rPr>
                <w:rFonts w:hint="eastAsia" w:cs="宋体"/>
                <w:bCs/>
                <w:color w:val="000000"/>
                <w:spacing w:val="10"/>
                <w:sz w:val="21"/>
                <w:szCs w:val="21"/>
                <w:highlight w:val="none"/>
              </w:rPr>
              <w:t>运营期生态环境影响分析</w:t>
            </w:r>
          </w:p>
        </w:tc>
        <w:tc>
          <w:tcPr>
            <w:tcW w:w="7588" w:type="dxa"/>
            <w:noWrap w:val="0"/>
            <w:vAlign w:val="top"/>
          </w:tcPr>
          <w:p>
            <w:pPr>
              <w:pStyle w:val="249"/>
              <w:keepNext w:val="0"/>
              <w:keepLines w:val="0"/>
              <w:pageBreakBefore w:val="0"/>
              <w:widowControl/>
              <w:kinsoku/>
              <w:wordWrap/>
              <w:overflowPunct/>
              <w:topLinePunct w:val="0"/>
              <w:autoSpaceDE/>
              <w:autoSpaceDN/>
              <w:bidi w:val="0"/>
              <w:adjustRightInd w:val="0"/>
              <w:snapToGrid w:val="0"/>
              <w:spacing w:line="360" w:lineRule="auto"/>
              <w:ind w:firstLine="0"/>
              <w:textAlignment w:val="auto"/>
              <w:rPr>
                <w:rFonts w:hint="default" w:ascii="Times New Roman" w:hAnsi="Times New Roman" w:eastAsia="宋体" w:cs="Times New Roman"/>
                <w:b/>
                <w:color w:val="000000"/>
                <w:sz w:val="21"/>
                <w:szCs w:val="21"/>
                <w:highlight w:val="none"/>
                <w:lang w:val="en-US" w:eastAsia="zh-CN"/>
              </w:rPr>
            </w:pPr>
            <w:r>
              <w:rPr>
                <w:rFonts w:hint="eastAsia" w:cs="Times New Roman"/>
                <w:b/>
                <w:color w:val="000000"/>
                <w:sz w:val="21"/>
                <w:szCs w:val="21"/>
                <w:highlight w:val="none"/>
                <w:lang w:val="en-US" w:eastAsia="zh-CN"/>
              </w:rPr>
              <w:t>4.6 运营期生态环境影响分析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（1）对区域生态体系完整性的影响分析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本项目在</w:t>
            </w:r>
            <w:r>
              <w:rPr>
                <w:rFonts w:hint="eastAsia" w:cs="Times New Roman"/>
                <w:color w:val="000000"/>
                <w:sz w:val="21"/>
                <w:szCs w:val="21"/>
                <w:highlight w:val="none"/>
                <w:lang w:val="en-US" w:eastAsia="zh-CN" w:bidi="ar"/>
              </w:rPr>
              <w:t>对原有旧路进行改造并建设延续段和匝道</w:t>
            </w:r>
            <w:r>
              <w:rPr>
                <w:rFonts w:hint="eastAsia" w:ascii="Times New Roman" w:hAnsi="Times New Roman" w:eastAsia="宋体" w:cs="Times New Roman"/>
                <w:color w:val="000000"/>
                <w:sz w:val="21"/>
                <w:szCs w:val="21"/>
                <w:highlight w:val="none"/>
                <w:lang w:bidi="ar"/>
              </w:rPr>
              <w:t>，</w:t>
            </w:r>
            <w:r>
              <w:rPr>
                <w:rFonts w:hint="eastAsia" w:cs="Times New Roman"/>
                <w:color w:val="000000"/>
                <w:sz w:val="21"/>
                <w:szCs w:val="21"/>
                <w:highlight w:val="none"/>
                <w:lang w:val="en-US" w:eastAsia="zh-CN" w:bidi="ar"/>
              </w:rPr>
              <w:t>建设路段主要为</w:t>
            </w:r>
            <w:r>
              <w:rPr>
                <w:rFonts w:hint="eastAsia" w:ascii="Times New Roman" w:hAnsi="Times New Roman" w:eastAsia="宋体" w:cs="Times New Roman"/>
                <w:color w:val="000000"/>
                <w:sz w:val="21"/>
                <w:szCs w:val="21"/>
                <w:highlight w:val="none"/>
                <w:lang w:bidi="ar"/>
              </w:rPr>
              <w:t>居民、驾校、空地等，项目运营期对项目评价区自然体系的生态影响很小，而且工程完工后通过自然生态系统体系的自我调节和水土保持恢复等工程措施，区域自然体系的性质和功能将得到恢复</w:t>
            </w:r>
            <w:r>
              <w:rPr>
                <w:rFonts w:ascii="Times New Roman" w:hAnsi="Times New Roman" w:eastAsia="宋体" w:cs="Times New Roman"/>
                <w:color w:val="000000"/>
                <w:sz w:val="21"/>
                <w:szCs w:val="21"/>
                <w:highlight w:val="none"/>
                <w:lang w:bidi="ar"/>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val="en-US" w:eastAsia="zh-CN" w:bidi="ar"/>
              </w:rPr>
              <w:t>（</w:t>
            </w:r>
            <w:r>
              <w:rPr>
                <w:rFonts w:hint="default" w:ascii="Times New Roman" w:hAnsi="Times New Roman" w:eastAsia="宋体" w:cs="Times New Roman"/>
                <w:color w:val="000000"/>
                <w:sz w:val="21"/>
                <w:szCs w:val="21"/>
                <w:highlight w:val="none"/>
                <w:lang w:val="en-US" w:eastAsia="zh-CN" w:bidi="ar"/>
              </w:rPr>
              <w:t>2</w:t>
            </w:r>
            <w:r>
              <w:rPr>
                <w:rFonts w:hint="eastAsia" w:ascii="Times New Roman" w:hAnsi="Times New Roman" w:eastAsia="宋体" w:cs="Times New Roman"/>
                <w:color w:val="000000"/>
                <w:sz w:val="21"/>
                <w:szCs w:val="21"/>
                <w:highlight w:val="none"/>
                <w:lang w:val="en-US" w:eastAsia="zh-CN" w:bidi="ar"/>
              </w:rPr>
              <w:t>）对植被及植物多样性的影响分析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val="en-US" w:eastAsia="zh-CN" w:bidi="ar"/>
              </w:rPr>
              <w:t>项目运营期不会对周边的植被产生破坏，对植被的影响主要是施工期造成运营期的影响的延续。永久占地破坏各种植被，使得区域植被面积减少，生物量降低。</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val="en-US" w:eastAsia="zh-CN" w:bidi="ar"/>
              </w:rPr>
              <w:t>生态环施工结束后，在道路两侧种植绿化植物，营造人工群落，以补偿生物量的损失。</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境影响沿线绿化植物进行适当的管养，经过一段时间后，就可形成良好的景观，补偿分析一部分损失的生物量。</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w:t>
            </w:r>
            <w:r>
              <w:rPr>
                <w:rFonts w:hint="default" w:ascii="Times New Roman" w:hAnsi="Times New Roman" w:eastAsia="宋体" w:cs="Times New Roman"/>
                <w:color w:val="000000"/>
                <w:sz w:val="21"/>
                <w:szCs w:val="21"/>
                <w:highlight w:val="none"/>
                <w:lang w:val="en-US" w:eastAsia="zh-CN" w:bidi="ar"/>
              </w:rPr>
              <w:t>3</w:t>
            </w:r>
            <w:r>
              <w:rPr>
                <w:rFonts w:hint="eastAsia" w:ascii="Times New Roman" w:hAnsi="Times New Roman" w:eastAsia="宋体" w:cs="Times New Roman"/>
                <w:color w:val="000000"/>
                <w:sz w:val="21"/>
                <w:szCs w:val="21"/>
                <w:highlight w:val="none"/>
                <w:lang w:val="en-US" w:eastAsia="zh-CN" w:bidi="ar"/>
              </w:rPr>
              <w:t>）对动物多样性的影响分析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bidi="ar"/>
              </w:rPr>
              <w:t>本项目在</w:t>
            </w:r>
            <w:r>
              <w:rPr>
                <w:rFonts w:hint="eastAsia" w:cs="Times New Roman"/>
                <w:color w:val="000000"/>
                <w:sz w:val="21"/>
                <w:szCs w:val="21"/>
                <w:highlight w:val="none"/>
                <w:lang w:val="en-US" w:eastAsia="zh-CN" w:bidi="ar"/>
              </w:rPr>
              <w:t>对原有旧路进行改造并建设延续段和匝道</w:t>
            </w:r>
            <w:r>
              <w:rPr>
                <w:rFonts w:hint="eastAsia" w:ascii="Times New Roman" w:hAnsi="Times New Roman" w:eastAsia="宋体" w:cs="Times New Roman"/>
                <w:color w:val="000000"/>
                <w:sz w:val="21"/>
                <w:szCs w:val="21"/>
                <w:highlight w:val="none"/>
                <w:lang w:val="en-US" w:eastAsia="zh-CN" w:bidi="ar"/>
              </w:rPr>
              <w:t>，营运期间交通噪声会对周边动物有一定影响，会造成动物远离道路，但评价区人口较密集且周边原有道路交通影响较大，野生动物极少，本项目运营对动物多样性基本无影响。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4.7</w:t>
            </w:r>
            <w:r>
              <w:rPr>
                <w:rFonts w:hint="eastAsia" w:cs="Times New Roman"/>
                <w:b/>
                <w:color w:val="000000"/>
                <w:sz w:val="21"/>
                <w:szCs w:val="21"/>
                <w:highlight w:val="none"/>
                <w:lang w:val="en-US" w:eastAsia="zh-CN" w:bidi="ar"/>
              </w:rPr>
              <w:t xml:space="preserve"> 运营期</w:t>
            </w:r>
            <w:r>
              <w:rPr>
                <w:rFonts w:ascii="Times New Roman" w:hAnsi="Times New Roman" w:eastAsia="宋体" w:cs="Times New Roman"/>
                <w:b/>
                <w:color w:val="000000"/>
                <w:sz w:val="21"/>
                <w:szCs w:val="21"/>
                <w:highlight w:val="none"/>
                <w:lang w:bidi="ar"/>
              </w:rPr>
              <w:t>废水对环境影响分析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本项目沿线不设服务区和道路辅助设施等，无辅助设施废水（生活污水、洗车水等）排放。营运期对水环境的污染主要来自路面径流对沿线地表水体的污染。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道路建成运营后，随着交通量逐年增多，沉落在路面的机动车尾气排放物、车辆油类以及散落在路面上的其它有害物质也会逐年增加。上述污染物一旦随降雨径流进入水体，对水体的水质将会产生一定的影响，其主要的污染物有石油类、有机物和悬浮物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根据国家环保总局华南科研所对南方地区路面径流污染情况试验的有关资料，路面径流污染物及浓度估算值见下表。从表中可知，路面径流在降雨开始到形成径流的30分钟内雨水中悬浮物和油类物质比较多，30分钟后，随着降雨时间的延长，污染物浓度下降较快</w:t>
            </w:r>
            <w:r>
              <w:rPr>
                <w:rFonts w:ascii="Times New Roman" w:hAnsi="Times New Roman" w:eastAsia="宋体" w:cs="Times New Roman"/>
                <w:color w:val="000000"/>
                <w:sz w:val="21"/>
                <w:szCs w:val="21"/>
                <w:highlight w:val="none"/>
                <w:lang w:bidi="ar"/>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sz w:val="21"/>
                <w:szCs w:val="21"/>
                <w:highlight w:val="none"/>
                <w:lang w:val="en-US" w:eastAsia="zh-CN"/>
              </w:rPr>
            </w:pPr>
            <w:r>
              <w:rPr>
                <w:rFonts w:ascii="Times New Roman" w:hAnsi="Times New Roman" w:eastAsia="宋体" w:cs="Times New Roman"/>
                <w:b/>
                <w:bCs/>
                <w:color w:val="000000"/>
                <w:sz w:val="21"/>
                <w:szCs w:val="21"/>
                <w:highlight w:val="none"/>
              </w:rPr>
              <w:t>表</w:t>
            </w:r>
            <w:r>
              <w:rPr>
                <w:rFonts w:hint="eastAsia" w:cs="Times New Roman"/>
                <w:b/>
                <w:bCs/>
                <w:color w:val="000000"/>
                <w:sz w:val="21"/>
                <w:szCs w:val="21"/>
                <w:highlight w:val="none"/>
                <w:lang w:val="en-US" w:eastAsia="zh-CN"/>
              </w:rPr>
              <w:t xml:space="preserve">4-1 </w:t>
            </w:r>
            <w:r>
              <w:rPr>
                <w:rFonts w:hint="eastAsia" w:cs="Times New Roman"/>
                <w:b/>
                <w:color w:val="000000"/>
                <w:sz w:val="21"/>
                <w:szCs w:val="21"/>
                <w:highlight w:val="none"/>
                <w:lang w:val="en-US" w:eastAsia="zh-CN"/>
              </w:rPr>
              <w:t>路面雨水中污染物浓度 单位：mg/L</w:t>
            </w:r>
          </w:p>
          <w:tbl>
            <w:tblPr>
              <w:tblStyle w:val="41"/>
              <w:tblW w:w="7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1512"/>
              <w:gridCol w:w="1512"/>
              <w:gridCol w:w="1492"/>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项目/历时</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5-20分钟</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20-40分钟</w:t>
                  </w:r>
                </w:p>
              </w:tc>
              <w:tc>
                <w:tcPr>
                  <w:tcW w:w="149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40-60分钟</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pH</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6.0-6.8</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b w:val="0"/>
                      <w:bCs/>
                      <w:color w:val="000000"/>
                      <w:sz w:val="21"/>
                      <w:szCs w:val="21"/>
                      <w:highlight w:val="none"/>
                      <w:vertAlign w:val="baseline"/>
                    </w:rPr>
                  </w:pPr>
                  <w:r>
                    <w:rPr>
                      <w:rFonts w:hint="eastAsia" w:cs="Times New Roman"/>
                      <w:b w:val="0"/>
                      <w:bCs/>
                      <w:color w:val="000000"/>
                      <w:sz w:val="21"/>
                      <w:szCs w:val="21"/>
                      <w:highlight w:val="none"/>
                      <w:vertAlign w:val="baseline"/>
                      <w:lang w:val="en-US" w:eastAsia="zh-CN"/>
                    </w:rPr>
                    <w:t>6.0-6.8</w:t>
                  </w:r>
                </w:p>
              </w:tc>
              <w:tc>
                <w:tcPr>
                  <w:tcW w:w="149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b w:val="0"/>
                      <w:bCs/>
                      <w:color w:val="000000"/>
                      <w:sz w:val="21"/>
                      <w:szCs w:val="21"/>
                      <w:highlight w:val="none"/>
                      <w:vertAlign w:val="baseline"/>
                    </w:rPr>
                  </w:pPr>
                  <w:r>
                    <w:rPr>
                      <w:rFonts w:hint="eastAsia" w:cs="Times New Roman"/>
                      <w:b w:val="0"/>
                      <w:bCs/>
                      <w:color w:val="000000"/>
                      <w:sz w:val="21"/>
                      <w:szCs w:val="21"/>
                      <w:highlight w:val="none"/>
                      <w:vertAlign w:val="baseline"/>
                      <w:lang w:val="en-US" w:eastAsia="zh-CN"/>
                    </w:rPr>
                    <w:t>6.0-6.8</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SS</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231.4-158.5</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158.5-90.4</w:t>
                  </w:r>
                </w:p>
              </w:tc>
              <w:tc>
                <w:tcPr>
                  <w:tcW w:w="149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90.4-18.7</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BOD</w:t>
                  </w:r>
                  <w:r>
                    <w:rPr>
                      <w:rFonts w:hint="eastAsia" w:cs="Times New Roman"/>
                      <w:b w:val="0"/>
                      <w:bCs/>
                      <w:color w:val="000000"/>
                      <w:sz w:val="21"/>
                      <w:szCs w:val="21"/>
                      <w:highlight w:val="none"/>
                      <w:vertAlign w:val="subscript"/>
                      <w:lang w:val="en-US" w:eastAsia="zh-CN"/>
                    </w:rPr>
                    <w:t>5</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7.34-7.30</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7.30-4.15</w:t>
                  </w:r>
                </w:p>
              </w:tc>
              <w:tc>
                <w:tcPr>
                  <w:tcW w:w="149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4.15-1.26</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6"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石油类</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23.30-19.74</w:t>
                  </w:r>
                </w:p>
              </w:tc>
              <w:tc>
                <w:tcPr>
                  <w:tcW w:w="151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19.74-3.12</w:t>
                  </w:r>
                </w:p>
              </w:tc>
              <w:tc>
                <w:tcPr>
                  <w:tcW w:w="1492"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3.12-0.21</w:t>
                  </w:r>
                </w:p>
              </w:tc>
              <w:tc>
                <w:tcPr>
                  <w:tcW w:w="1500"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rPr>
                  </w:pPr>
                  <w:r>
                    <w:rPr>
                      <w:rFonts w:hint="eastAsia" w:cs="Times New Roman"/>
                      <w:b w:val="0"/>
                      <w:bCs/>
                      <w:color w:val="000000"/>
                      <w:sz w:val="21"/>
                      <w:szCs w:val="21"/>
                      <w:highlight w:val="none"/>
                      <w:vertAlign w:val="baseline"/>
                      <w:lang w:val="en-US" w:eastAsia="zh-CN"/>
                    </w:rPr>
                    <w:t>11.25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注：在车流量和降雨量已知的情况下，降雨历时1小时，在1小时内按不同时间采集水样。</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从上表可以看出：降雨初期到形成路面径流的20min内，雨水的悬浮物和石油类物质浓度比较高，20min后其浓度随降雨历时的延长下降较快，雨水中生化需氧量随降雨历时的延长下降较慢，降雨40min后基本冲洗干净。60min后基本趋于稳定状态。通过以上分析及污染物浓度测定调查结果，可知运营期路面径流中污染物浓度比较低，水质基本为中性，CODcr、BOD5及石油类物质等污染物浓度均较低，降雨对周围环境造成影响的主要是降雨初期1h内形成的路面径流。若污染物直接进入河流、渠道等水体，会增加水体中的石油类、SS等污染物浓度。在实际降雨过程中，径流通过路面横坡自然散排、漫流到排水沟或边沟中，或通过边坡急流槽集中排入排水沟的过程伴随着雨水稀释、泥沙对污染物的吸附、泥沙沉降等各种作用，路面径流中污染物的浓度已大大降低。</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综上所述，运营期路面径流排放去向合理，不会对地表水环境造成明显不利影响。</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4.</w:t>
            </w:r>
            <w:r>
              <w:rPr>
                <w:rFonts w:hint="eastAsia" w:cs="Times New Roman"/>
                <w:b/>
                <w:color w:val="000000"/>
                <w:sz w:val="21"/>
                <w:szCs w:val="21"/>
                <w:highlight w:val="none"/>
                <w:lang w:val="en-US" w:eastAsia="zh-CN" w:bidi="ar"/>
              </w:rPr>
              <w:t>8 运营期废气</w:t>
            </w:r>
            <w:r>
              <w:rPr>
                <w:rFonts w:ascii="Times New Roman" w:hAnsi="Times New Roman" w:eastAsia="宋体" w:cs="Times New Roman"/>
                <w:b/>
                <w:color w:val="000000"/>
                <w:sz w:val="21"/>
                <w:szCs w:val="21"/>
                <w:highlight w:val="none"/>
                <w:lang w:bidi="ar"/>
              </w:rPr>
              <w:t>对环境影响分析</w:t>
            </w:r>
          </w:p>
          <w:p>
            <w:pPr>
              <w:keepNext w:val="0"/>
              <w:keepLines w:val="0"/>
              <w:pageBreakBefore w:val="0"/>
              <w:widowControl w:val="0"/>
              <w:tabs>
                <w:tab w:val="left" w:pos="6176"/>
              </w:tabs>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本项目运营期大气环境影响主要来自汽车尾气。根据《环境影响评价技术导则</w:t>
            </w:r>
            <w:r>
              <w:rPr>
                <w:rFonts w:hint="eastAsia" w:cs="Times New Roman"/>
                <w:color w:val="000000"/>
                <w:sz w:val="21"/>
                <w:szCs w:val="21"/>
                <w:highlight w:val="none"/>
                <w:lang w:val="en-US" w:eastAsia="zh-CN" w:bidi="ar"/>
              </w:rPr>
              <w:t xml:space="preserve"> </w:t>
            </w:r>
            <w:r>
              <w:rPr>
                <w:rFonts w:hint="eastAsia" w:ascii="Times New Roman" w:hAnsi="Times New Roman" w:eastAsia="宋体" w:cs="Times New Roman"/>
                <w:color w:val="000000"/>
                <w:sz w:val="21"/>
                <w:szCs w:val="21"/>
                <w:highlight w:val="none"/>
                <w:lang w:val="en-US" w:eastAsia="zh-CN" w:bidi="ar"/>
              </w:rPr>
              <w:t>大气环境》（HJ2.2-2018），本项目属于城市道路建设项目，且无服务区等大气污染物排放集中源，不涉及隧道。因此本次评价仅对道路交通流量及污染物排放进行说明，不进行大气影响预测分析与评价。本项目属于城市主干路</w:t>
            </w:r>
            <w:r>
              <w:rPr>
                <w:rFonts w:hint="eastAsia" w:cs="Times New Roman"/>
                <w:color w:val="000000"/>
                <w:sz w:val="21"/>
                <w:szCs w:val="21"/>
                <w:highlight w:val="none"/>
                <w:lang w:val="en-US" w:eastAsia="zh-CN" w:bidi="ar"/>
              </w:rPr>
              <w:t>及支路</w:t>
            </w:r>
            <w:r>
              <w:rPr>
                <w:rFonts w:hint="eastAsia" w:ascii="Times New Roman" w:hAnsi="Times New Roman" w:eastAsia="宋体" w:cs="Times New Roman"/>
                <w:color w:val="000000"/>
                <w:sz w:val="21"/>
                <w:szCs w:val="21"/>
                <w:highlight w:val="none"/>
                <w:lang w:val="en-US" w:eastAsia="zh-CN" w:bidi="ar"/>
              </w:rPr>
              <w:t>，项目沿线无服务区、车站等集中式大气排放源。运营期的废气主要为过往车辆排放的汽车尾气NOX、CO等，影响区域局限在道路两侧，受影响区域人口密度不大。随着我国执行单车排放标准的不断提高，以及新能源车，单车尾气的排放量将会不断降低，运输车种构成比例将更为优化，逐步减少高能耗、高排污的车种比例，汽车尾气排放将大大降低，</w:t>
            </w:r>
            <w:r>
              <w:rPr>
                <w:rFonts w:hint="eastAsia" w:cs="Times New Roman"/>
                <w:color w:val="000000"/>
                <w:sz w:val="21"/>
                <w:szCs w:val="21"/>
                <w:highlight w:val="none"/>
                <w:lang w:val="en-US" w:eastAsia="zh-CN" w:bidi="ar"/>
              </w:rPr>
              <w:t>道路</w:t>
            </w:r>
            <w:r>
              <w:rPr>
                <w:rFonts w:hint="eastAsia" w:ascii="Times New Roman" w:hAnsi="Times New Roman" w:eastAsia="宋体" w:cs="Times New Roman"/>
                <w:color w:val="000000"/>
                <w:sz w:val="21"/>
                <w:szCs w:val="21"/>
                <w:highlight w:val="none"/>
                <w:lang w:val="en-US" w:eastAsia="zh-CN" w:bidi="ar"/>
              </w:rPr>
              <w:t>对沿线空气质量带来的影响逐步减小。</w:t>
            </w:r>
          </w:p>
          <w:p>
            <w:pPr>
              <w:keepNext w:val="0"/>
              <w:keepLines w:val="0"/>
              <w:pageBreakBefore w:val="0"/>
              <w:widowControl w:val="0"/>
              <w:tabs>
                <w:tab w:val="left" w:pos="6176"/>
              </w:tabs>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color w:val="000000"/>
                <w:sz w:val="21"/>
                <w:szCs w:val="21"/>
                <w:highlight w:val="none"/>
                <w:lang w:eastAsia="zh-CN" w:bidi="ar"/>
              </w:rPr>
            </w:pPr>
            <w:r>
              <w:rPr>
                <w:rFonts w:hint="eastAsia" w:ascii="Times New Roman" w:hAnsi="Times New Roman" w:eastAsia="宋体" w:cs="Times New Roman"/>
                <w:b/>
                <w:color w:val="000000"/>
                <w:sz w:val="21"/>
                <w:szCs w:val="21"/>
                <w:highlight w:val="none"/>
                <w:lang w:val="en-US" w:eastAsia="zh-CN" w:bidi="ar"/>
              </w:rPr>
              <w:t>4.</w:t>
            </w:r>
            <w:r>
              <w:rPr>
                <w:rFonts w:hint="eastAsia" w:cs="Times New Roman"/>
                <w:b/>
                <w:color w:val="000000"/>
                <w:sz w:val="21"/>
                <w:szCs w:val="21"/>
                <w:highlight w:val="none"/>
                <w:lang w:val="en-US" w:eastAsia="zh-CN" w:bidi="ar"/>
              </w:rPr>
              <w:t xml:space="preserve">9 </w:t>
            </w:r>
            <w:r>
              <w:rPr>
                <w:rFonts w:ascii="Times New Roman" w:hAnsi="Times New Roman" w:eastAsia="宋体" w:cs="Times New Roman"/>
                <w:b/>
                <w:color w:val="000000"/>
                <w:sz w:val="21"/>
                <w:szCs w:val="21"/>
                <w:highlight w:val="none"/>
                <w:lang w:bidi="ar"/>
              </w:rPr>
              <w:t>声环境影响</w:t>
            </w:r>
            <w:r>
              <w:rPr>
                <w:rFonts w:hint="eastAsia" w:ascii="Times New Roman" w:hAnsi="Times New Roman" w:eastAsia="宋体" w:cs="Times New Roman"/>
                <w:b/>
                <w:color w:val="000000"/>
                <w:sz w:val="21"/>
                <w:szCs w:val="21"/>
                <w:highlight w:val="none"/>
                <w:lang w:eastAsia="zh-CN" w:bidi="ar"/>
              </w:rPr>
              <w:t>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本项目施工期和运营期声环境影响分析详见《声环境影响专项评价》中相应章节</w:t>
            </w:r>
            <w:r>
              <w:rPr>
                <w:rFonts w:ascii="Times New Roman" w:hAnsi="Times New Roman" w:eastAsia="宋体" w:cs="Times New Roman"/>
                <w:color w:val="000000"/>
                <w:sz w:val="21"/>
                <w:szCs w:val="21"/>
                <w:highlight w:val="none"/>
                <w:lang w:bidi="ar"/>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color w:val="000000"/>
                <w:sz w:val="21"/>
                <w:szCs w:val="21"/>
                <w:highlight w:val="none"/>
              </w:rPr>
            </w:pPr>
            <w:r>
              <w:rPr>
                <w:rFonts w:ascii="Times New Roman" w:hAnsi="Times New Roman" w:eastAsia="宋体" w:cs="Times New Roman"/>
                <w:b/>
                <w:color w:val="000000"/>
                <w:sz w:val="21"/>
                <w:szCs w:val="21"/>
                <w:highlight w:val="none"/>
                <w:lang w:bidi="ar"/>
              </w:rPr>
              <w:t>4</w:t>
            </w:r>
            <w:r>
              <w:rPr>
                <w:rFonts w:hint="eastAsia" w:ascii="Times New Roman" w:hAnsi="Times New Roman" w:eastAsia="宋体" w:cs="Times New Roman"/>
                <w:b/>
                <w:color w:val="000000"/>
                <w:sz w:val="21"/>
                <w:szCs w:val="21"/>
                <w:highlight w:val="none"/>
                <w:lang w:val="en-US" w:eastAsia="zh-CN" w:bidi="ar"/>
              </w:rPr>
              <w:t>.9</w:t>
            </w:r>
            <w:r>
              <w:rPr>
                <w:rFonts w:ascii="Times New Roman" w:hAnsi="Times New Roman" w:eastAsia="宋体" w:cs="Times New Roman"/>
                <w:b/>
                <w:color w:val="000000"/>
                <w:sz w:val="21"/>
                <w:szCs w:val="21"/>
                <w:highlight w:val="none"/>
                <w:lang w:bidi="ar"/>
              </w:rPr>
              <w:t>固体废物对环境影响分析</w:t>
            </w:r>
          </w:p>
          <w:p>
            <w:pPr>
              <w:pStyle w:val="241"/>
              <w:keepNext w:val="0"/>
              <w:keepLines w:val="0"/>
              <w:pageBreakBefore w:val="0"/>
              <w:widowControl/>
              <w:kinsoku/>
              <w:wordWrap/>
              <w:overflowPunct/>
              <w:topLinePunct w:val="0"/>
              <w:autoSpaceDE/>
              <w:autoSpaceDN/>
              <w:bidi w:val="0"/>
              <w:adjustRightInd w:val="0"/>
              <w:snapToGrid w:val="0"/>
              <w:spacing w:before="0" w:line="360" w:lineRule="auto"/>
              <w:ind w:firstLine="480"/>
              <w:textAlignment w:val="auto"/>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项目运营期固体废物主要为过往司乘人员产生的生活垃圾。本项目道路沿线设置垃圾箱，环评建议道路维护部门应加强道路清扫。固体废弃物不会对本项目产生较大影响</w:t>
            </w:r>
            <w:r>
              <w:rPr>
                <w:rFonts w:ascii="Times New Roman" w:hAnsi="Times New Roman" w:eastAsia="宋体" w:cs="Times New Roman"/>
                <w:color w:val="000000"/>
                <w:sz w:val="21"/>
                <w:szCs w:val="21"/>
                <w:highlight w:val="none"/>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4.10</w:t>
            </w:r>
            <w:r>
              <w:rPr>
                <w:rFonts w:hint="eastAsia" w:cs="Times New Roman"/>
                <w:b/>
                <w:color w:val="000000"/>
                <w:sz w:val="21"/>
                <w:szCs w:val="21"/>
                <w:highlight w:val="none"/>
                <w:lang w:val="en-US" w:eastAsia="zh-CN" w:bidi="ar"/>
              </w:rPr>
              <w:t xml:space="preserve"> 社会</w:t>
            </w:r>
            <w:r>
              <w:rPr>
                <w:rFonts w:ascii="Times New Roman" w:hAnsi="Times New Roman" w:eastAsia="宋体" w:cs="Times New Roman"/>
                <w:b/>
                <w:color w:val="000000"/>
                <w:sz w:val="21"/>
                <w:szCs w:val="21"/>
                <w:highlight w:val="none"/>
                <w:lang w:bidi="ar"/>
              </w:rPr>
              <w:t>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营运期生态环境影响以正面效益为主，道路两旁的绿化将逐步恢复原有生态环境。对提高本项目道路质量和通行能力、对区域道路的美观、交通通行便利以及地方经济发展将产生积极的影响。</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4.1</w:t>
            </w:r>
            <w:r>
              <w:rPr>
                <w:rFonts w:hint="eastAsia" w:cs="Times New Roman"/>
                <w:b/>
                <w:color w:val="000000"/>
                <w:sz w:val="21"/>
                <w:szCs w:val="21"/>
                <w:highlight w:val="none"/>
                <w:lang w:val="en-US" w:eastAsia="zh-CN" w:bidi="ar"/>
              </w:rPr>
              <w:t xml:space="preserve">1 </w:t>
            </w:r>
            <w:r>
              <w:rPr>
                <w:rFonts w:ascii="Times New Roman" w:hAnsi="Times New Roman" w:eastAsia="宋体" w:cs="Times New Roman"/>
                <w:b/>
                <w:color w:val="000000"/>
                <w:sz w:val="21"/>
                <w:szCs w:val="21"/>
                <w:highlight w:val="none"/>
                <w:lang w:bidi="ar"/>
              </w:rPr>
              <w:t>环境</w:t>
            </w:r>
            <w:r>
              <w:rPr>
                <w:rFonts w:hint="eastAsia" w:cs="Times New Roman"/>
                <w:b/>
                <w:color w:val="000000"/>
                <w:sz w:val="21"/>
                <w:szCs w:val="21"/>
                <w:highlight w:val="none"/>
                <w:lang w:val="en-US" w:eastAsia="zh-CN" w:bidi="ar"/>
              </w:rPr>
              <w:t>风险</w:t>
            </w:r>
            <w:r>
              <w:rPr>
                <w:rFonts w:ascii="Times New Roman" w:hAnsi="Times New Roman" w:eastAsia="宋体" w:cs="Times New Roman"/>
                <w:b/>
                <w:color w:val="000000"/>
                <w:sz w:val="21"/>
                <w:szCs w:val="21"/>
                <w:highlight w:val="none"/>
                <w:lang w:bidi="ar"/>
              </w:rPr>
              <w:t>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环境污染事故风险主要来自道路沿线发生的交通事故导致的环境风险，具体而言，是指运输危险化学品的车辆在桥梁上发生交通事故或意外，造成危险化学品倾倒、泄漏等造成环境空气污染和通过路边雨水管道排入沿线附近水体，对道路</w:t>
            </w:r>
            <w:r>
              <w:rPr>
                <w:rFonts w:hint="eastAsia" w:cs="Times New Roman"/>
                <w:color w:val="000000"/>
                <w:sz w:val="21"/>
                <w:szCs w:val="21"/>
                <w:highlight w:val="none"/>
                <w:lang w:val="en-US" w:eastAsia="zh-CN"/>
              </w:rPr>
              <w:t>潇水</w:t>
            </w:r>
            <w:r>
              <w:rPr>
                <w:rFonts w:hint="eastAsia" w:ascii="Times New Roman" w:hAnsi="Times New Roman" w:eastAsia="宋体" w:cs="Times New Roman"/>
                <w:color w:val="000000"/>
                <w:sz w:val="21"/>
                <w:szCs w:val="21"/>
                <w:highlight w:val="none"/>
                <w:lang w:val="en-US" w:eastAsia="zh-CN"/>
              </w:rPr>
              <w:t>造成污染危害。事故危害程度主要取决于事故地点的敏感性，此外还受危险品的毒性、化学性质等影响。本评价要求采取以下风险防范措施：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lang w:val="en-US" w:eastAsia="zh-CN" w:bidi="ar-SA"/>
              </w:rPr>
              <w:t>（1）</w:t>
            </w:r>
            <w:r>
              <w:rPr>
                <w:rFonts w:hint="eastAsia" w:ascii="Times New Roman" w:hAnsi="Times New Roman" w:eastAsia="宋体" w:cs="Times New Roman"/>
                <w:color w:val="000000"/>
                <w:sz w:val="21"/>
                <w:szCs w:val="21"/>
                <w:highlight w:val="none"/>
                <w:lang w:val="en-US" w:eastAsia="zh-CN"/>
              </w:rPr>
              <w:t>防范危险品运输风险事故应严格执行国家和有关部门颁布的危险货物运输相关法规；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lang w:val="en-US" w:eastAsia="zh-CN" w:bidi="ar-SA"/>
              </w:rPr>
              <w:t>（2）</w:t>
            </w:r>
            <w:r>
              <w:rPr>
                <w:rFonts w:hint="eastAsia" w:ascii="Times New Roman" w:hAnsi="Times New Roman" w:eastAsia="宋体" w:cs="Times New Roman"/>
                <w:color w:val="000000"/>
                <w:sz w:val="21"/>
                <w:szCs w:val="21"/>
                <w:highlight w:val="none"/>
                <w:lang w:val="en-US" w:eastAsia="zh-CN"/>
              </w:rPr>
              <w:t>要求危险品运输车辆配备警示标志，车辆必须按规定时速行驶，严禁超速，并保持安全行车距离；</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eastAsia="宋体" w:cs="Times New Roman"/>
                <w:color w:val="000000"/>
                <w:sz w:val="21"/>
                <w:szCs w:val="21"/>
                <w:lang w:val="en-US" w:eastAsia="zh-CN" w:bidi="ar-SA"/>
              </w:rPr>
              <w:t>（3）</w:t>
            </w:r>
            <w:r>
              <w:rPr>
                <w:rFonts w:hint="eastAsia" w:ascii="Times New Roman" w:hAnsi="Times New Roman" w:eastAsia="宋体" w:cs="Times New Roman"/>
                <w:color w:val="000000"/>
                <w:sz w:val="21"/>
                <w:szCs w:val="21"/>
                <w:highlight w:val="none"/>
                <w:lang w:val="en-US" w:eastAsia="zh-CN"/>
              </w:rPr>
              <w:t>交叉口处应设置限速、禁止超载标志。</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28" w:type="dxa"/>
            <w:bottom w:w="0" w:type="dxa"/>
            <w:right w:w="28" w:type="dxa"/>
          </w:tblCellMar>
        </w:tblPrEx>
        <w:trPr>
          <w:trHeight w:val="2703" w:hRule="atLeast"/>
          <w:jc w:val="center"/>
        </w:trPr>
        <w:tc>
          <w:tcPr>
            <w:tcW w:w="772" w:type="dxa"/>
            <w:noWrap w:val="0"/>
            <w:tcMar>
              <w:left w:w="28" w:type="dxa"/>
              <w:right w:w="28" w:type="dxa"/>
            </w:tcMar>
            <w:vAlign w:val="center"/>
          </w:tcPr>
          <w:p>
            <w:pPr>
              <w:pStyle w:val="218"/>
              <w:spacing w:before="0" w:beforeAutospacing="0" w:after="0" w:afterAutospacing="0" w:line="360" w:lineRule="auto"/>
              <w:jc w:val="center"/>
              <w:rPr>
                <w:rFonts w:hint="eastAsia" w:cs="宋体"/>
                <w:bCs/>
                <w:color w:val="000000"/>
                <w:spacing w:val="10"/>
                <w:sz w:val="21"/>
                <w:szCs w:val="21"/>
                <w:highlight w:val="none"/>
              </w:rPr>
            </w:pPr>
            <w:bookmarkStart w:id="22" w:name="_Toc31729"/>
            <w:r>
              <w:rPr>
                <w:rFonts w:hint="eastAsia" w:ascii="宋体" w:hAnsi="宋体" w:eastAsia="宋体" w:cs="宋体"/>
                <w:color w:val="000000"/>
                <w:sz w:val="21"/>
                <w:szCs w:val="21"/>
                <w:highlight w:val="none"/>
                <w:vertAlign w:val="baseline"/>
              </w:rPr>
              <w:t>选址选线环境合理性分析</w:t>
            </w:r>
            <w:bookmarkEnd w:id="22"/>
          </w:p>
        </w:tc>
        <w:tc>
          <w:tcPr>
            <w:tcW w:w="758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本项目建设属于城市主干道</w:t>
            </w:r>
            <w:r>
              <w:rPr>
                <w:rFonts w:hint="eastAsia" w:cs="Times New Roman"/>
                <w:color w:val="000000"/>
                <w:sz w:val="21"/>
                <w:szCs w:val="21"/>
                <w:highlight w:val="none"/>
                <w:lang w:val="en-US" w:eastAsia="zh-CN" w:bidi="ar"/>
              </w:rPr>
              <w:t>建设项目</w:t>
            </w:r>
            <w:r>
              <w:rPr>
                <w:rFonts w:hint="eastAsia" w:ascii="Times New Roman" w:hAnsi="Times New Roman" w:eastAsia="宋体" w:cs="Times New Roman"/>
                <w:color w:val="000000"/>
                <w:sz w:val="21"/>
                <w:szCs w:val="21"/>
                <w:highlight w:val="none"/>
                <w:lang w:val="en-US" w:eastAsia="zh-CN" w:bidi="ar"/>
              </w:rPr>
              <w:t>，不涉及国家公园、自然保护区、自然公园等自然保护地、世界自然遗产、生态保护红线等生态敏感区。项目不涉及饮用水源保护区，不占用永久基本农田。</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本项目不设置施工营地、取土场、弃土场、施工便道等，不涉及临时工程选址。</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本项目</w:t>
            </w:r>
            <w:r>
              <w:rPr>
                <w:rFonts w:hint="eastAsia" w:cs="Times New Roman"/>
                <w:color w:val="000000"/>
                <w:sz w:val="21"/>
                <w:szCs w:val="21"/>
                <w:highlight w:val="none"/>
                <w:lang w:val="en-US" w:eastAsia="zh-CN" w:bidi="ar"/>
              </w:rPr>
              <w:t>为萍阳北路</w:t>
            </w:r>
            <w:r>
              <w:rPr>
                <w:rFonts w:hint="eastAsia" w:ascii="Times New Roman" w:hAnsi="Times New Roman" w:eastAsia="宋体" w:cs="Times New Roman"/>
                <w:color w:val="000000"/>
                <w:sz w:val="21"/>
                <w:szCs w:val="21"/>
                <w:highlight w:val="none"/>
                <w:lang w:val="en-US" w:eastAsia="zh-CN" w:bidi="ar"/>
              </w:rPr>
              <w:t>主要进出道路，是</w:t>
            </w:r>
            <w:r>
              <w:rPr>
                <w:rFonts w:hint="eastAsia" w:cs="Times New Roman"/>
                <w:color w:val="000000"/>
                <w:sz w:val="21"/>
                <w:szCs w:val="21"/>
                <w:highlight w:val="none"/>
                <w:lang w:val="en-US" w:eastAsia="zh-CN" w:bidi="ar"/>
              </w:rPr>
              <w:t>衔接萍州大桥的</w:t>
            </w:r>
            <w:r>
              <w:rPr>
                <w:rFonts w:hint="eastAsia" w:ascii="Times New Roman" w:hAnsi="Times New Roman" w:eastAsia="宋体" w:cs="Times New Roman"/>
                <w:color w:val="000000"/>
                <w:sz w:val="21"/>
                <w:szCs w:val="21"/>
                <w:highlight w:val="none"/>
                <w:lang w:val="en-US" w:eastAsia="zh-CN" w:bidi="ar"/>
              </w:rPr>
              <w:t>主要道路</w:t>
            </w:r>
            <w:r>
              <w:rPr>
                <w:rFonts w:hint="eastAsia" w:cs="Times New Roman"/>
                <w:color w:val="000000"/>
                <w:sz w:val="21"/>
                <w:szCs w:val="21"/>
                <w:highlight w:val="none"/>
                <w:lang w:val="en-US" w:eastAsia="zh-CN" w:bidi="ar"/>
              </w:rPr>
              <w:t>，是串通零陵河西片区与河东片区的主要道路之一，且本项目包括在《零陵区河西片区控制性详细规划-综合交通规划图》中的规划的城市主干道内，在落实本评价提出的各项污染防治措施和生态保护措施的前提下，项目建设产生的不利环境影响在可接受范围内。</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eastAsia="宋体"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因此，本评价认为本项目选线环境合理。</w:t>
            </w:r>
          </w:p>
        </w:tc>
      </w:tr>
    </w:tbl>
    <w:p>
      <w:pPr>
        <w:rPr>
          <w:rFonts w:hint="eastAsia" w:ascii="黑体" w:hAnsi="黑体" w:eastAsia="黑体"/>
          <w:color w:val="000000"/>
          <w:sz w:val="30"/>
          <w:szCs w:val="30"/>
          <w:highlight w:val="none"/>
        </w:rPr>
      </w:pPr>
      <w:r>
        <w:rPr>
          <w:rFonts w:hint="eastAsia" w:ascii="黑体" w:hAnsi="黑体" w:eastAsia="黑体"/>
          <w:color w:val="000000"/>
          <w:sz w:val="30"/>
          <w:szCs w:val="30"/>
          <w:highlight w:val="none"/>
        </w:rPr>
        <w:br w:type="page"/>
      </w:r>
    </w:p>
    <w:p>
      <w:pPr>
        <w:pStyle w:val="218"/>
        <w:jc w:val="center"/>
        <w:outlineLvl w:val="0"/>
        <w:rPr>
          <w:rFonts w:ascii="黑体" w:hAnsi="黑体" w:eastAsia="黑体"/>
          <w:color w:val="000000"/>
          <w:sz w:val="30"/>
          <w:szCs w:val="30"/>
          <w:highlight w:val="none"/>
        </w:rPr>
      </w:pPr>
      <w:bookmarkStart w:id="23" w:name="_Toc26567"/>
      <w:bookmarkStart w:id="24" w:name="_Toc4094"/>
      <w:r>
        <w:rPr>
          <w:rFonts w:hint="eastAsia" w:ascii="黑体" w:hAnsi="黑体" w:eastAsia="黑体"/>
          <w:color w:val="000000"/>
          <w:sz w:val="30"/>
          <w:szCs w:val="30"/>
          <w:highlight w:val="none"/>
        </w:rPr>
        <w:t>五、主要生态环境保护措施</w:t>
      </w:r>
      <w:bookmarkEnd w:id="23"/>
      <w:bookmarkEnd w:id="24"/>
    </w:p>
    <w:tbl>
      <w:tblPr>
        <w:tblStyle w:val="40"/>
        <w:tblW w:w="8360"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28" w:type="dxa"/>
          <w:bottom w:w="0" w:type="dxa"/>
          <w:right w:w="28" w:type="dxa"/>
        </w:tblCellMar>
      </w:tblPr>
      <w:tblGrid>
        <w:gridCol w:w="401"/>
        <w:gridCol w:w="7959"/>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28" w:type="dxa"/>
            <w:bottom w:w="0" w:type="dxa"/>
            <w:right w:w="28" w:type="dxa"/>
          </w:tblCellMar>
        </w:tblPrEx>
        <w:trPr>
          <w:trHeight w:val="90" w:hRule="atLeast"/>
          <w:jc w:val="center"/>
        </w:trPr>
        <w:tc>
          <w:tcPr>
            <w:tcW w:w="401" w:type="dxa"/>
            <w:noWrap w:val="0"/>
            <w:tcMar>
              <w:left w:w="28" w:type="dxa"/>
              <w:right w:w="28" w:type="dxa"/>
            </w:tcMar>
            <w:vAlign w:val="center"/>
          </w:tcPr>
          <w:p>
            <w:pPr>
              <w:keepNext w:val="0"/>
              <w:keepLines w:val="0"/>
              <w:pageBreakBefore w:val="0"/>
              <w:widowControl w:val="0"/>
              <w:spacing w:line="440" w:lineRule="exact"/>
              <w:jc w:val="center"/>
              <w:rPr>
                <w:rFonts w:ascii="宋体" w:hAnsi="宋体"/>
                <w:bCs/>
                <w:color w:val="000000"/>
                <w:sz w:val="21"/>
                <w:szCs w:val="21"/>
                <w:highlight w:val="none"/>
              </w:rPr>
            </w:pPr>
            <w:r>
              <w:rPr>
                <w:rFonts w:hint="eastAsia" w:ascii="宋体" w:hAnsi="宋体" w:cs="宋体"/>
                <w:bCs/>
                <w:color w:val="000000"/>
                <w:spacing w:val="10"/>
                <w:sz w:val="21"/>
                <w:szCs w:val="21"/>
                <w:highlight w:val="none"/>
              </w:rPr>
              <w:t>施工期生态环境保护措施</w:t>
            </w:r>
          </w:p>
        </w:tc>
        <w:tc>
          <w:tcPr>
            <w:tcW w:w="7959" w:type="dxa"/>
            <w:noWrap w:val="0"/>
            <w:vAlign w:val="top"/>
          </w:tcPr>
          <w:p>
            <w:pPr>
              <w:spacing w:line="360" w:lineRule="auto"/>
              <w:rPr>
                <w:rFonts w:hint="default" w:ascii="Times New Roman" w:hAnsi="Times New Roman" w:eastAsia="宋体" w:cs="Times New Roman"/>
                <w:b/>
                <w:color w:val="000000"/>
                <w:sz w:val="21"/>
                <w:szCs w:val="21"/>
                <w:highlight w:val="none"/>
                <w:lang w:val="en-US" w:eastAsia="zh-CN" w:bidi="ar"/>
              </w:rPr>
            </w:pPr>
            <w:r>
              <w:rPr>
                <w:rFonts w:hint="eastAsia" w:ascii="Times New Roman" w:hAnsi="Times New Roman" w:eastAsia="宋体" w:cs="Times New Roman"/>
                <w:b/>
                <w:color w:val="000000"/>
                <w:sz w:val="21"/>
                <w:szCs w:val="21"/>
                <w:highlight w:val="none"/>
                <w:lang w:val="en-US" w:eastAsia="zh-CN" w:bidi="ar"/>
              </w:rPr>
              <w:t>5.1</w:t>
            </w:r>
            <w:r>
              <w:rPr>
                <w:rFonts w:ascii="Times New Roman" w:hAnsi="Times New Roman" w:eastAsia="宋体" w:cs="Times New Roman"/>
                <w:b/>
                <w:color w:val="000000"/>
                <w:sz w:val="21"/>
                <w:szCs w:val="21"/>
                <w:highlight w:val="none"/>
                <w:lang w:bidi="ar"/>
              </w:rPr>
              <w:t>施工期</w:t>
            </w:r>
            <w:r>
              <w:rPr>
                <w:rFonts w:hint="eastAsia" w:cs="Times New Roman"/>
                <w:b/>
                <w:color w:val="000000"/>
                <w:sz w:val="21"/>
                <w:szCs w:val="21"/>
                <w:highlight w:val="none"/>
                <w:lang w:val="en-US" w:eastAsia="zh-CN" w:bidi="ar"/>
              </w:rPr>
              <w:t>生态环境保护措施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施工过程中现有生态景观环境会发生改变，施工中需有步骤分段分片进行，妥善保护好沿线的生态景观环境。施工应注意如下几点：</w:t>
            </w:r>
          </w:p>
          <w:p>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textAlignment w:val="auto"/>
              <w:rPr>
                <w:rFonts w:hint="eastAsia" w:ascii="Times New Roman" w:hAnsi="Times New Roman" w:eastAsia="宋体" w:cs="Times New Roman"/>
                <w:b w:val="0"/>
                <w:bCs/>
                <w:color w:val="000000"/>
                <w:sz w:val="21"/>
                <w:szCs w:val="21"/>
                <w:highlight w:val="none"/>
                <w:lang w:val="en-US" w:eastAsia="zh-CN" w:bidi="ar"/>
              </w:rPr>
            </w:pPr>
            <w:r>
              <w:rPr>
                <w:rFonts w:hint="eastAsia" w:cs="Times New Roman"/>
                <w:b w:val="0"/>
                <w:bCs/>
                <w:color w:val="000000"/>
                <w:sz w:val="21"/>
                <w:szCs w:val="21"/>
                <w:highlight w:val="none"/>
                <w:lang w:val="en-US" w:eastAsia="zh-CN" w:bidi="ar"/>
              </w:rPr>
              <w:t>（1）</w:t>
            </w:r>
            <w:r>
              <w:rPr>
                <w:rFonts w:hint="eastAsia" w:ascii="Times New Roman" w:hAnsi="Times New Roman" w:eastAsia="宋体" w:cs="Times New Roman"/>
                <w:b w:val="0"/>
                <w:bCs/>
                <w:color w:val="000000"/>
                <w:sz w:val="21"/>
                <w:szCs w:val="21"/>
                <w:highlight w:val="none"/>
                <w:lang w:val="en-US" w:eastAsia="zh-CN" w:bidi="ar"/>
              </w:rPr>
              <w:t>路基施工水土流失防治措施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①做好排洪涵及两侧截排水系统，防止雨水满地漫流，造成水流冲蚀，产生水土流失。土料填筑要随倒随碾压，防止大量松散土堆积时间过长。路堤完成一级后，水土保持措施应紧紧跟上，防止坡面长时间裸露。</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②施工单位应密切注意天气变化，准备充足的遮挡材料，如塑料彩条布、尼龙编织带、无纺布等，如遇暴雨，及时采取临时遮挡措施，减少暴雨冲刷造成的水土流失。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③挖方工程施工前，首先要修好坡面的截水沟，防止山顶径流对新开挖面的冲蚀。挖方边坡必须按设计的开挖坡度，自上而下开挖，完成一级后及时修建平台排水沟，绿化防护措施及时实施。</w:t>
            </w:r>
          </w:p>
          <w:p>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textAlignment w:val="auto"/>
              <w:rPr>
                <w:rFonts w:hint="eastAsia" w:ascii="Times New Roman" w:hAnsi="Times New Roman" w:eastAsia="宋体" w:cs="Times New Roman"/>
                <w:b w:val="0"/>
                <w:bCs/>
                <w:color w:val="000000"/>
                <w:sz w:val="21"/>
                <w:szCs w:val="21"/>
                <w:highlight w:val="none"/>
                <w:lang w:val="en-US" w:eastAsia="zh-CN" w:bidi="ar-SA"/>
              </w:rPr>
            </w:pPr>
            <w:r>
              <w:rPr>
                <w:rFonts w:hint="eastAsia" w:cs="Times New Roman"/>
                <w:b w:val="0"/>
                <w:bCs/>
                <w:color w:val="000000"/>
                <w:sz w:val="21"/>
                <w:szCs w:val="21"/>
                <w:highlight w:val="none"/>
                <w:lang w:val="en-US" w:eastAsia="zh-CN" w:bidi="ar"/>
              </w:rPr>
              <w:t>（2）</w:t>
            </w:r>
            <w:r>
              <w:rPr>
                <w:rFonts w:hint="eastAsia" w:ascii="Times New Roman" w:hAnsi="Times New Roman" w:eastAsia="宋体" w:cs="Times New Roman"/>
                <w:b w:val="0"/>
                <w:bCs/>
                <w:color w:val="000000"/>
                <w:sz w:val="21"/>
                <w:szCs w:val="21"/>
                <w:highlight w:val="none"/>
                <w:lang w:val="en-US" w:eastAsia="zh-CN" w:bidi="ar-SA"/>
              </w:rPr>
              <w:t>临时施工场地防治措施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①控制施工场地占地，避开植被良好区。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②应合理安排施工，减少开挖量和废弃量，防止重复开挖和土(石、渣)多次倒运。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③应合理安排施工进度与时序，缩小裸露面积和减少裸露时间，减少施工过程中因降水和风等水土流失影响因素可能产生的水土流失。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④施工开挖、填筑、堆置等裸露面，应采取临时拦挡、排水、沉沙、覆盖等措施。项目施工场地的泥沙容易随水流进入</w:t>
            </w:r>
            <w:r>
              <w:rPr>
                <w:rFonts w:hint="eastAsia" w:cs="Times New Roman"/>
                <w:color w:val="000000"/>
                <w:sz w:val="21"/>
                <w:szCs w:val="21"/>
                <w:highlight w:val="none"/>
                <w:lang w:val="en-US" w:eastAsia="zh-CN" w:bidi="ar-SA"/>
              </w:rPr>
              <w:t>临旁潇水</w:t>
            </w:r>
            <w:r>
              <w:rPr>
                <w:rFonts w:hint="eastAsia" w:ascii="Times New Roman" w:hAnsi="Times New Roman" w:eastAsia="宋体" w:cs="Times New Roman"/>
                <w:color w:val="000000"/>
                <w:sz w:val="21"/>
                <w:szCs w:val="21"/>
                <w:highlight w:val="none"/>
                <w:lang w:val="en-US" w:eastAsia="zh-CN" w:bidi="ar-SA"/>
              </w:rPr>
              <w:t>，因此施工中须重视沉淀池的建设，使施工排水经沉淀泥沙后用于道路浇洒，避免泥沙直接进入水体；注意沉沙池中泥沙量的增加，应及时清理。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⑤根据用地布置情况布设土质排水沟及土质沉砂池，施工结束后对迹地松土平整，进行复原。</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（3）施工道路水土流失防治措施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①按照批准的水土保持方案，加强施工组织，切实落实水土保持“三同时”制度。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②项目须严格按方案要求落实各项水土保持措施。各类施工活动要严格限定在用地范围内，严禁随意占压、扰动和破坏地表植被，做好表土的剥离和弃渣综合利用。根据方案要求合理安排施工时序和水土保持措施实施进度，严格控制施工期间可能造成的水土流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③须指定专人负责水土保持工作，成立水土保持管理机构，制定水土保持工作制度，对接市水利局水土保持监测和监督检查相关事宜，主动接受各级水行政主管部门的监督检查。登录“全国水土保持管理信息上报系统”,按相关要求和标准填报、接收水土保持监督信息。</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bidi="ar-SA"/>
              </w:rPr>
              <w:t>④工程建设期间，须根据项目建设区场地地形变化落实临时排水措施，设置截、排水沟和多级沉沙井(池)</w:t>
            </w:r>
            <w:r>
              <w:rPr>
                <w:rFonts w:hint="eastAsia" w:cs="Times New Roman"/>
                <w:color w:val="000000"/>
                <w:sz w:val="21"/>
                <w:szCs w:val="21"/>
                <w:highlight w:val="none"/>
                <w:lang w:val="en-US" w:eastAsia="zh-CN" w:bidi="ar-SA"/>
              </w:rPr>
              <w:t>，</w:t>
            </w:r>
            <w:r>
              <w:rPr>
                <w:rFonts w:hint="eastAsia" w:ascii="Times New Roman" w:hAnsi="Times New Roman" w:eastAsia="宋体" w:cs="Times New Roman"/>
                <w:color w:val="000000"/>
                <w:sz w:val="21"/>
                <w:szCs w:val="21"/>
                <w:highlight w:val="none"/>
                <w:lang w:val="en-US" w:eastAsia="zh-CN" w:bidi="ar-SA"/>
              </w:rPr>
              <w:t>确保外排水泥砂含量满足水土流失防治要求；须重点做好项目边坡防护工作；须对项目建设区全围挡，对裸露的地表和临时堆土料等进行全覆盖；须对施工主道路全硬化，在车辆出入口设置洗车装置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eastAsia="zh-CN" w:bidi="ar-SA"/>
              </w:rPr>
              <w:t>⑤</w:t>
            </w:r>
            <w:r>
              <w:rPr>
                <w:rFonts w:hint="eastAsia" w:ascii="Times New Roman" w:hAnsi="Times New Roman" w:eastAsia="宋体" w:cs="Times New Roman"/>
                <w:color w:val="000000"/>
                <w:sz w:val="21"/>
                <w:szCs w:val="21"/>
                <w:highlight w:val="none"/>
                <w:lang w:val="en-US" w:eastAsia="zh-CN" w:bidi="ar-SA"/>
              </w:rPr>
              <w:t>工程开工前，应明确弃渣消纳场水土保持防治责任，避免因弃渣造成的水土流失。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SA"/>
              </w:rPr>
            </w:pPr>
            <w:r>
              <w:rPr>
                <w:rFonts w:hint="eastAsia" w:ascii="Times New Roman" w:hAnsi="Times New Roman" w:eastAsia="宋体" w:cs="Times New Roman"/>
                <w:color w:val="000000"/>
                <w:sz w:val="21"/>
                <w:szCs w:val="21"/>
                <w:highlight w:val="none"/>
                <w:u w:val="single"/>
                <w:lang w:val="en-US" w:eastAsia="zh-CN" w:bidi="ar-SA"/>
              </w:rPr>
              <w:t>（4）施工尽量在红线范围进行，以利于维护周边生态景观环境；严格控制施工范围，严格按照设计范围进行建设，优化施工道路的布设</w:t>
            </w:r>
            <w:r>
              <w:rPr>
                <w:rFonts w:hint="eastAsia" w:cs="Times New Roman"/>
                <w:color w:val="000000"/>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SA"/>
              </w:rPr>
            </w:pPr>
            <w:r>
              <w:rPr>
                <w:rFonts w:hint="eastAsia" w:ascii="Times New Roman" w:hAnsi="Times New Roman" w:eastAsia="宋体" w:cs="Times New Roman"/>
                <w:color w:val="000000"/>
                <w:sz w:val="21"/>
                <w:szCs w:val="21"/>
                <w:highlight w:val="none"/>
                <w:u w:val="single"/>
                <w:lang w:val="en-US" w:eastAsia="zh-CN" w:bidi="ar-SA"/>
              </w:rPr>
              <w:t>（5）要有次序地分片动工，避免沿线景观凌乱，有碍景观，还可设档防板（木、玻璃、铁皮等）作围障，减少景观污染；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SA"/>
              </w:rPr>
            </w:pPr>
            <w:r>
              <w:rPr>
                <w:rFonts w:hint="eastAsia" w:ascii="Times New Roman" w:hAnsi="Times New Roman" w:eastAsia="宋体" w:cs="Times New Roman"/>
                <w:color w:val="000000"/>
                <w:sz w:val="21"/>
                <w:szCs w:val="21"/>
                <w:highlight w:val="none"/>
                <w:u w:val="single"/>
                <w:lang w:val="en-US" w:eastAsia="zh-CN" w:bidi="ar-SA"/>
              </w:rPr>
              <w:t>（6）在满足工程施工要求的前提下，尽量节省占用土地，合理安排施工进度，工程结束后及时清理施工现场，撤出占用场地，及时进行复绿；</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ascii="Times New Roman" w:hAnsi="Times New Roman" w:eastAsia="宋体" w:cs="Times New Roman"/>
                <w:color w:val="000000"/>
                <w:sz w:val="21"/>
                <w:szCs w:val="21"/>
                <w:highlight w:val="none"/>
                <w:u w:val="single"/>
                <w:lang w:val="en-US" w:eastAsia="zh-CN" w:bidi="ar-SA"/>
              </w:rPr>
            </w:pPr>
            <w:r>
              <w:rPr>
                <w:rFonts w:hint="eastAsia" w:ascii="Times New Roman" w:hAnsi="Times New Roman" w:eastAsia="宋体" w:cs="Times New Roman"/>
                <w:color w:val="000000"/>
                <w:sz w:val="21"/>
                <w:szCs w:val="21"/>
                <w:highlight w:val="none"/>
                <w:u w:val="single"/>
                <w:lang w:val="en-US" w:eastAsia="zh-CN" w:bidi="ar-SA"/>
              </w:rPr>
              <w:t>（7）施工过程应注意保护原有道路绿化带及相邻地带的树木绿地等植被。</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sz w:val="21"/>
                <w:szCs w:val="21"/>
              </w:rPr>
            </w:pPr>
            <w:r>
              <w:rPr>
                <w:rFonts w:hint="default" w:ascii="Times New Roman" w:hAnsi="Times New Roman" w:eastAsia="宋体" w:cs="Times New Roman"/>
                <w:b/>
                <w:bCs/>
                <w:color w:val="000000"/>
                <w:kern w:val="0"/>
                <w:sz w:val="21"/>
                <w:szCs w:val="21"/>
                <w:lang w:val="en-US" w:eastAsia="zh-CN" w:bidi="ar"/>
              </w:rPr>
              <w:t xml:space="preserve">5.2 </w:t>
            </w:r>
            <w:r>
              <w:rPr>
                <w:rFonts w:hint="eastAsia" w:ascii="宋体" w:hAnsi="宋体" w:eastAsia="宋体" w:cs="宋体"/>
                <w:b/>
                <w:bCs/>
                <w:color w:val="000000"/>
                <w:kern w:val="0"/>
                <w:sz w:val="21"/>
                <w:szCs w:val="21"/>
                <w:lang w:val="en-US" w:eastAsia="zh-CN" w:bidi="ar"/>
              </w:rPr>
              <w:t>施工期水环境保护措施</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施工期水环境影响因素主要为施工生活污水和生产废水。为防止施工过程中对沿线水环境的影响，项目施工期应采取如下措施：</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w:t>
            </w:r>
            <w:r>
              <w:rPr>
                <w:rFonts w:hint="default" w:ascii="Times New Roman" w:hAnsi="Times New Roman" w:eastAsia="宋体" w:cs="Times New Roman"/>
                <w:color w:val="000000"/>
                <w:sz w:val="21"/>
                <w:szCs w:val="21"/>
                <w:highlight w:val="none"/>
                <w:u w:val="single"/>
                <w:lang w:val="en-US" w:eastAsia="zh-CN" w:bidi="ar"/>
              </w:rPr>
              <w:t>1</w:t>
            </w:r>
            <w:r>
              <w:rPr>
                <w:rFonts w:hint="eastAsia" w:ascii="Times New Roman" w:hAnsi="Times New Roman" w:eastAsia="宋体" w:cs="Times New Roman"/>
                <w:color w:val="000000"/>
                <w:sz w:val="21"/>
                <w:szCs w:val="21"/>
                <w:highlight w:val="none"/>
                <w:u w:val="single"/>
                <w:lang w:val="en-US" w:eastAsia="zh-CN" w:bidi="ar"/>
              </w:rPr>
              <w:t>）施工废水污染防治措施</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①工程承包合同中应明确筑路材料（如沥青、水泥、砂、石料等）的运输过程中防止洒漏条款，堆放场地不得设在</w:t>
            </w:r>
            <w:r>
              <w:rPr>
                <w:rFonts w:hint="eastAsia" w:cs="Times New Roman"/>
                <w:color w:val="000000"/>
                <w:sz w:val="21"/>
                <w:szCs w:val="21"/>
                <w:highlight w:val="none"/>
                <w:u w:val="single"/>
                <w:lang w:val="en-US" w:eastAsia="zh-CN" w:bidi="ar"/>
              </w:rPr>
              <w:t>潇水</w:t>
            </w:r>
            <w:r>
              <w:rPr>
                <w:rFonts w:hint="eastAsia" w:ascii="Times New Roman" w:hAnsi="Times New Roman" w:eastAsia="宋体" w:cs="Times New Roman"/>
                <w:color w:val="000000"/>
                <w:sz w:val="21"/>
                <w:szCs w:val="21"/>
                <w:highlight w:val="none"/>
                <w:u w:val="single"/>
                <w:lang w:val="en-US" w:eastAsia="zh-CN" w:bidi="ar"/>
              </w:rPr>
              <w:t>岸边或附近，以免随雨水</w:t>
            </w:r>
            <w:r>
              <w:rPr>
                <w:rFonts w:hint="eastAsia" w:cs="Times New Roman"/>
                <w:color w:val="000000"/>
                <w:sz w:val="21"/>
                <w:szCs w:val="21"/>
                <w:highlight w:val="none"/>
                <w:u w:val="single"/>
                <w:lang w:val="en-US" w:eastAsia="zh-CN" w:bidi="ar"/>
              </w:rPr>
              <w:t>冲入潇水</w:t>
            </w:r>
            <w:r>
              <w:rPr>
                <w:rFonts w:hint="eastAsia" w:ascii="Times New Roman" w:hAnsi="Times New Roman" w:eastAsia="宋体" w:cs="Times New Roman"/>
                <w:color w:val="000000"/>
                <w:sz w:val="21"/>
                <w:szCs w:val="21"/>
                <w:highlight w:val="none"/>
                <w:u w:val="single"/>
                <w:lang w:val="en-US" w:eastAsia="zh-CN" w:bidi="ar"/>
              </w:rPr>
              <w:t>造成污染；</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②有害物质堆放场地应设蓬盖，以减少雨水冲刷造成污染；</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③要求对施工生产废水采用自然沉降法进行处理，施工生产废水由沉砂池收集，经处理后回用；</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Times New Roman" w:hAnsi="Times New Roman" w:eastAsia="宋体" w:cs="Times New Roman"/>
                <w:color w:val="000000"/>
                <w:sz w:val="21"/>
                <w:szCs w:val="21"/>
                <w:highlight w:val="none"/>
                <w:u w:val="single"/>
                <w:lang w:val="en-US" w:eastAsia="zh-CN" w:bidi="ar"/>
              </w:rPr>
            </w:pPr>
            <w:r>
              <w:rPr>
                <w:rFonts w:hint="eastAsia" w:ascii="Times New Roman" w:hAnsi="Times New Roman" w:eastAsia="宋体" w:cs="Times New Roman"/>
                <w:color w:val="000000"/>
                <w:sz w:val="21"/>
                <w:szCs w:val="21"/>
                <w:highlight w:val="none"/>
                <w:u w:val="single"/>
                <w:lang w:val="en-US" w:eastAsia="zh-CN" w:bidi="ar"/>
              </w:rPr>
              <w:t>④加强对施工人员的教育，贯彻文明施工的原则，严格按施工操作规范执行，避免和减少污染事故发生。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000000"/>
                <w:sz w:val="21"/>
                <w:szCs w:val="21"/>
                <w:highlight w:val="none"/>
                <w:u w:val="single"/>
                <w:lang w:val="en-US" w:eastAsia="zh-CN" w:bidi="ar"/>
              </w:rPr>
            </w:pPr>
            <w:r>
              <w:rPr>
                <w:rFonts w:hint="eastAsia" w:cs="Times New Roman"/>
                <w:color w:val="000000"/>
                <w:sz w:val="21"/>
                <w:szCs w:val="21"/>
                <w:highlight w:val="none"/>
                <w:u w:val="single"/>
                <w:lang w:val="en-US" w:eastAsia="zh-CN" w:bidi="ar"/>
              </w:rPr>
              <w:t>⑤道路东侧紧临潇水，如若发生施工废水泄漏流入至潇水，将造成地表水污染，道路东侧因建设施工期明沟，衔接至隔油池、沉砂池，经处理后回用于本工程，不外排。</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w:t>
            </w:r>
            <w:r>
              <w:rPr>
                <w:rFonts w:hint="default" w:ascii="Times New Roman" w:hAnsi="Times New Roman" w:eastAsia="宋体" w:cs="Times New Roman"/>
                <w:color w:val="000000"/>
                <w:sz w:val="21"/>
                <w:szCs w:val="21"/>
                <w:highlight w:val="none"/>
                <w:u w:val="single"/>
                <w:lang w:val="en-US" w:eastAsia="zh-CN" w:bidi="ar"/>
              </w:rPr>
              <w:t>2</w:t>
            </w:r>
            <w:r>
              <w:rPr>
                <w:rFonts w:hint="eastAsia" w:ascii="Times New Roman" w:hAnsi="Times New Roman" w:eastAsia="宋体" w:cs="Times New Roman"/>
                <w:color w:val="000000"/>
                <w:sz w:val="21"/>
                <w:szCs w:val="21"/>
                <w:highlight w:val="none"/>
                <w:u w:val="single"/>
                <w:lang w:val="en-US" w:eastAsia="zh-CN" w:bidi="ar"/>
              </w:rPr>
              <w:t>）含油污水控制措施</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①尽量选用先进的设备、机械，有效地减少跑冒滴漏，从而减少含油污水产生；</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②在不可避免存在油料跑冒滴漏的施工过程时，尽量采用固体吸油材料（如棉纱、木屑等）将废油收集转化到固体物质中，避免含油污水产生；</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③施工机械设备及运输车辆的维修保养在指定维修点进行，不在施工现场进行维修点，不涉及维修保养含油废水；</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④对收集的吸油废料（物）及清掏废油委托有资质单位进行处置，不在施工现场暂存。</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w:t>
            </w:r>
            <w:r>
              <w:rPr>
                <w:rFonts w:hint="default" w:ascii="Times New Roman" w:hAnsi="Times New Roman" w:eastAsia="宋体" w:cs="Times New Roman"/>
                <w:color w:val="000000"/>
                <w:sz w:val="21"/>
                <w:szCs w:val="21"/>
                <w:highlight w:val="none"/>
                <w:u w:val="single"/>
                <w:lang w:val="en-US" w:eastAsia="zh-CN" w:bidi="ar"/>
              </w:rPr>
              <w:t>3</w:t>
            </w:r>
            <w:r>
              <w:rPr>
                <w:rFonts w:hint="eastAsia" w:ascii="Times New Roman" w:hAnsi="Times New Roman" w:eastAsia="宋体" w:cs="Times New Roman"/>
                <w:color w:val="000000"/>
                <w:sz w:val="21"/>
                <w:szCs w:val="21"/>
                <w:highlight w:val="none"/>
                <w:u w:val="single"/>
                <w:lang w:val="en-US" w:eastAsia="zh-CN" w:bidi="ar"/>
              </w:rPr>
              <w:t>）生活污水控制措施</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①施工人员产生的生活污水依托周边居民家中化粪池进行处理后排入市政污水管网；</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val="en-US" w:eastAsia="zh-CN" w:bidi="ar"/>
              </w:rPr>
              <w:t>②严禁向沿线地表水体倾倒、排放各种生活污水，严禁在地表水体附近堆放生活垃圾。</w:t>
            </w:r>
          </w:p>
          <w:p>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auto"/>
              <w:rPr>
                <w:sz w:val="21"/>
                <w:szCs w:val="21"/>
              </w:rPr>
            </w:pPr>
            <w:r>
              <w:rPr>
                <w:rFonts w:hint="default" w:ascii="Times New Roman" w:hAnsi="Times New Roman" w:eastAsia="宋体" w:cs="Times New Roman"/>
                <w:b/>
                <w:bCs/>
                <w:color w:val="000000"/>
                <w:kern w:val="0"/>
                <w:sz w:val="21"/>
                <w:szCs w:val="21"/>
                <w:lang w:val="en-US" w:eastAsia="zh-CN" w:bidi="ar"/>
              </w:rPr>
              <w:t>5.</w:t>
            </w:r>
            <w:r>
              <w:rPr>
                <w:rFonts w:hint="eastAsia" w:cs="Times New Roman"/>
                <w:b/>
                <w:bCs/>
                <w:color w:val="000000"/>
                <w:kern w:val="0"/>
                <w:sz w:val="21"/>
                <w:szCs w:val="21"/>
                <w:lang w:val="en-US" w:eastAsia="zh-CN" w:bidi="ar"/>
              </w:rPr>
              <w:t>3</w:t>
            </w:r>
            <w:r>
              <w:rPr>
                <w:rFonts w:hint="default" w:ascii="Times New Roman" w:hAnsi="Times New Roman" w:eastAsia="宋体" w:cs="Times New Roman"/>
                <w:b/>
                <w:bCs/>
                <w:color w:val="000000"/>
                <w:kern w:val="0"/>
                <w:sz w:val="21"/>
                <w:szCs w:val="21"/>
                <w:lang w:val="en-US" w:eastAsia="zh-CN" w:bidi="ar"/>
              </w:rPr>
              <w:t xml:space="preserve"> </w:t>
            </w:r>
            <w:r>
              <w:rPr>
                <w:rFonts w:hint="eastAsia" w:ascii="宋体" w:hAnsi="宋体" w:eastAsia="宋体" w:cs="宋体"/>
                <w:b/>
                <w:bCs/>
                <w:color w:val="000000"/>
                <w:kern w:val="0"/>
                <w:sz w:val="21"/>
                <w:szCs w:val="21"/>
                <w:lang w:val="en-US" w:eastAsia="zh-CN" w:bidi="ar"/>
              </w:rPr>
              <w:t>施工期</w:t>
            </w:r>
            <w:r>
              <w:rPr>
                <w:rFonts w:hint="eastAsia" w:ascii="宋体" w:hAnsi="宋体" w:cs="宋体"/>
                <w:b/>
                <w:bCs/>
                <w:color w:val="000000"/>
                <w:kern w:val="0"/>
                <w:sz w:val="21"/>
                <w:szCs w:val="21"/>
                <w:lang w:val="en-US" w:eastAsia="zh-CN" w:bidi="ar"/>
              </w:rPr>
              <w:t>大气</w:t>
            </w:r>
            <w:r>
              <w:rPr>
                <w:rFonts w:hint="eastAsia" w:ascii="宋体" w:hAnsi="宋体" w:eastAsia="宋体" w:cs="宋体"/>
                <w:b/>
                <w:bCs/>
                <w:color w:val="000000"/>
                <w:kern w:val="0"/>
                <w:sz w:val="21"/>
                <w:szCs w:val="21"/>
                <w:lang w:val="en-US" w:eastAsia="zh-CN" w:bidi="ar"/>
              </w:rPr>
              <w:t>环境保护措施</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建设单位应根据《永州市水污染和大气污染治理实施方案（2016-2020年）》、环保部《防治城市扬尘污染技术标准》（</w:t>
            </w:r>
            <w:r>
              <w:rPr>
                <w:rFonts w:hint="default" w:ascii="Times New Roman" w:hAnsi="Times New Roman" w:eastAsia="宋体" w:cs="Times New Roman"/>
                <w:color w:val="000000"/>
                <w:sz w:val="21"/>
                <w:szCs w:val="21"/>
                <w:highlight w:val="none"/>
                <w:lang w:val="en-US" w:eastAsia="zh-CN" w:bidi="ar"/>
              </w:rPr>
              <w:t>HJ/T393-2007</w:t>
            </w:r>
            <w:r>
              <w:rPr>
                <w:rFonts w:hint="eastAsia" w:ascii="Times New Roman" w:hAnsi="Times New Roman" w:eastAsia="宋体" w:cs="Times New Roman"/>
                <w:color w:val="000000"/>
                <w:sz w:val="21"/>
                <w:szCs w:val="21"/>
                <w:highlight w:val="none"/>
                <w:lang w:val="en-US" w:eastAsia="zh-CN" w:bidi="ar"/>
              </w:rPr>
              <w:t>）等文件规定，在施工期应采取的主要防治措施如下：</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（1）根据施工工期、阶段和进度，项目施工期必须设专职保洁员；</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bidi="ar"/>
              </w:rPr>
              <w:t>（2）在施工场界</w:t>
            </w:r>
            <w:r>
              <w:rPr>
                <w:rFonts w:hint="eastAsia" w:cs="Times New Roman"/>
                <w:color w:val="000000"/>
                <w:sz w:val="21"/>
                <w:szCs w:val="21"/>
                <w:highlight w:val="none"/>
                <w:u w:val="single"/>
                <w:lang w:val="en-US" w:eastAsia="zh-CN" w:bidi="ar"/>
              </w:rPr>
              <w:t>和对居民敏感区</w:t>
            </w:r>
            <w:r>
              <w:rPr>
                <w:rFonts w:hint="eastAsia" w:ascii="Times New Roman" w:hAnsi="Times New Roman" w:eastAsia="宋体" w:cs="Times New Roman"/>
                <w:color w:val="000000"/>
                <w:sz w:val="21"/>
                <w:szCs w:val="21"/>
                <w:highlight w:val="none"/>
                <w:u w:val="single"/>
                <w:lang w:bidi="ar"/>
              </w:rPr>
              <w:t>设置围档，项目围档2.5m以上。围挡底端应设置防溢座，围挡之间及围挡以及防溢座之间无缝隙。对于特殊地点无法设置围挡、围栏及防溢座的，应设置警示牌；</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bidi="ar"/>
              </w:rPr>
              <w:t>（</w:t>
            </w:r>
            <w:r>
              <w:rPr>
                <w:rFonts w:hint="eastAsia" w:cs="Times New Roman"/>
                <w:color w:val="000000"/>
                <w:sz w:val="21"/>
                <w:szCs w:val="21"/>
                <w:highlight w:val="none"/>
                <w:u w:val="single"/>
                <w:lang w:val="en-US" w:eastAsia="zh-CN" w:bidi="ar"/>
              </w:rPr>
              <w:t>3</w:t>
            </w:r>
            <w:r>
              <w:rPr>
                <w:rFonts w:hint="eastAsia" w:ascii="Times New Roman" w:hAnsi="Times New Roman" w:eastAsia="宋体" w:cs="Times New Roman"/>
                <w:color w:val="000000"/>
                <w:sz w:val="21"/>
                <w:szCs w:val="21"/>
                <w:highlight w:val="none"/>
                <w:u w:val="single"/>
                <w:lang w:bidi="ar"/>
              </w:rPr>
              <w:t>）场地内施工区采用雾炮车、洒水车、场地外出口处</w:t>
            </w:r>
            <w:r>
              <w:rPr>
                <w:rFonts w:hint="eastAsia" w:cs="Times New Roman"/>
                <w:color w:val="000000"/>
                <w:sz w:val="21"/>
                <w:szCs w:val="21"/>
                <w:highlight w:val="none"/>
                <w:u w:val="single"/>
                <w:lang w:val="en-US" w:eastAsia="zh-CN" w:bidi="ar"/>
              </w:rPr>
              <w:t>设置冲浪冲洗平台，</w:t>
            </w:r>
            <w:r>
              <w:rPr>
                <w:rFonts w:hint="eastAsia" w:ascii="Times New Roman" w:hAnsi="Times New Roman" w:eastAsia="宋体" w:cs="Times New Roman"/>
                <w:color w:val="000000"/>
                <w:sz w:val="21"/>
                <w:szCs w:val="21"/>
                <w:highlight w:val="none"/>
                <w:u w:val="single"/>
                <w:lang w:bidi="ar"/>
              </w:rPr>
              <w:t>出口外100m道路采用洒水车洒水，并进行人工清洗。雾炮车</w:t>
            </w:r>
            <w:r>
              <w:rPr>
                <w:rFonts w:hint="eastAsia" w:ascii="Times New Roman" w:hAnsi="Times New Roman" w:eastAsia="宋体" w:cs="Times New Roman"/>
                <w:color w:val="000000"/>
                <w:sz w:val="21"/>
                <w:szCs w:val="21"/>
                <w:highlight w:val="none"/>
                <w:u w:val="single"/>
                <w:lang w:val="en-US" w:eastAsia="zh-CN" w:bidi="ar"/>
              </w:rPr>
              <w:t>应施工期间持续运行，洒水车应该每天不低于2次，</w:t>
            </w:r>
            <w:r>
              <w:rPr>
                <w:rFonts w:hint="eastAsia" w:ascii="Times New Roman" w:hAnsi="Times New Roman" w:eastAsia="宋体" w:cs="Times New Roman"/>
                <w:color w:val="000000"/>
                <w:sz w:val="21"/>
                <w:szCs w:val="21"/>
                <w:highlight w:val="none"/>
                <w:u w:val="single"/>
                <w:lang w:bidi="ar"/>
              </w:rPr>
              <w:t>当空气污染指数大于100或四级以上大风干燥天气不许土方作业和人工干扫。在空气污染指数80～100时应每隔4个小时保洁一次，洒水与清洗交替使用。当空气污染指数大于100时，应加密保洁。当空气污染指数低于50时，可以在保持清洁的前提下适度降低保洁强度；</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w:t>
            </w:r>
            <w:r>
              <w:rPr>
                <w:rFonts w:hint="eastAsia" w:cs="Times New Roman"/>
                <w:color w:val="000000"/>
                <w:sz w:val="21"/>
                <w:szCs w:val="21"/>
                <w:highlight w:val="none"/>
                <w:lang w:val="en-US" w:eastAsia="zh-CN" w:bidi="ar"/>
              </w:rPr>
              <w:t>4</w:t>
            </w:r>
            <w:r>
              <w:rPr>
                <w:rFonts w:hint="eastAsia" w:ascii="Times New Roman" w:hAnsi="Times New Roman" w:eastAsia="宋体" w:cs="Times New Roman"/>
                <w:color w:val="000000"/>
                <w:sz w:val="21"/>
                <w:szCs w:val="21"/>
                <w:highlight w:val="none"/>
                <w:lang w:bidi="ar"/>
              </w:rPr>
              <w:t>）严禁渣土车、混凝土搅拌车、运砂车等各类车辆带泥上路；</w:t>
            </w:r>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w:t>
            </w:r>
            <w:r>
              <w:rPr>
                <w:rFonts w:hint="eastAsia" w:cs="Times New Roman"/>
                <w:color w:val="000000"/>
                <w:sz w:val="21"/>
                <w:szCs w:val="21"/>
                <w:highlight w:val="none"/>
                <w:lang w:val="en-US" w:eastAsia="zh-CN" w:bidi="ar"/>
              </w:rPr>
              <w:t>5</w:t>
            </w:r>
            <w:r>
              <w:rPr>
                <w:rFonts w:hint="eastAsia" w:ascii="Times New Roman" w:hAnsi="Times New Roman" w:eastAsia="宋体" w:cs="Times New Roman"/>
                <w:color w:val="000000"/>
                <w:sz w:val="21"/>
                <w:szCs w:val="21"/>
                <w:highlight w:val="none"/>
                <w:lang w:bidi="ar"/>
              </w:rPr>
              <w:t>）粉状施工材料若遮盖不严在运输过程中也会随风起尘，对运输道路附近的小区居民产生影响，特别是大风天气，影响将更为严重。因此要加强对粉状施工材料的运输管理，使用帆布密封或采用罐体车运输，以最大限度的减少原材料运输过程中产生的扬尘；</w:t>
            </w:r>
          </w:p>
          <w:p>
            <w:pPr>
              <w:spacing w:line="450" w:lineRule="exact"/>
              <w:ind w:firstLine="480"/>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w:t>
            </w:r>
            <w:r>
              <w:rPr>
                <w:rFonts w:hint="eastAsia" w:cs="Times New Roman"/>
                <w:color w:val="000000"/>
                <w:sz w:val="21"/>
                <w:szCs w:val="21"/>
                <w:highlight w:val="none"/>
                <w:lang w:val="en-US" w:eastAsia="zh-CN" w:bidi="ar"/>
              </w:rPr>
              <w:t>6</w:t>
            </w:r>
            <w:r>
              <w:rPr>
                <w:rFonts w:hint="eastAsia" w:ascii="Times New Roman" w:hAnsi="Times New Roman" w:eastAsia="宋体" w:cs="Times New Roman"/>
                <w:color w:val="000000"/>
                <w:sz w:val="21"/>
                <w:szCs w:val="21"/>
                <w:highlight w:val="none"/>
                <w:lang w:bidi="ar"/>
              </w:rPr>
              <w:t>）堆场物料的种类、性质及风速与起尘量有很大关系，比重小的物料容易受扰动而起尘，物料中小颗粒比例大时起尘量相应也大。堆场的扬尘包括料堆的风吹扬尘、装卸扬尘和过往车辆引起路面积尘二次扬尘等，这将产生较大的尘污染，会对周围环境带来一定的影响，但通过洒水可有效地抑制扬尘量，可使扬尘量减少70%。此外，对一些粉状材料必须采取对应防风（如加盖防尘网）的措施也将有效减少扬尘污染；</w:t>
            </w:r>
          </w:p>
          <w:p>
            <w:pPr>
              <w:spacing w:line="450" w:lineRule="exact"/>
              <w:ind w:firstLine="480"/>
              <w:rPr>
                <w:rFonts w:hint="eastAsia"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bidi="ar"/>
              </w:rPr>
              <w:t>（</w:t>
            </w:r>
            <w:r>
              <w:rPr>
                <w:rFonts w:hint="eastAsia" w:cs="Times New Roman"/>
                <w:color w:val="000000"/>
                <w:sz w:val="21"/>
                <w:szCs w:val="21"/>
                <w:highlight w:val="none"/>
                <w:u w:val="single"/>
                <w:lang w:val="en-US" w:eastAsia="zh-CN" w:bidi="ar"/>
              </w:rPr>
              <w:t>7</w:t>
            </w:r>
            <w:r>
              <w:rPr>
                <w:rFonts w:hint="eastAsia" w:ascii="Times New Roman" w:hAnsi="Times New Roman" w:eastAsia="宋体" w:cs="Times New Roman"/>
                <w:color w:val="000000"/>
                <w:sz w:val="21"/>
                <w:szCs w:val="21"/>
                <w:highlight w:val="none"/>
                <w:u w:val="single"/>
                <w:lang w:bidi="ar"/>
              </w:rPr>
              <w:t>）原材料及弃方运输过程中必须选择沿线敏感点少的路段，应尽量避开人口相对较稠密的地区，石灰等容易飞散的物料，注意运输时必须压实，填装高度禁止超过车斗防护栏，避免洒落引起二次扬尘。施工工地内堆放水泥、灰土、砂石等易产生扬尘污染物料的，应当在其周围设置不低于堆放物高度的封闭性硬质围挡，并加盖防尘网；施工工地周围按要求设置硬质密闭围挡；</w:t>
            </w:r>
          </w:p>
          <w:p>
            <w:pPr>
              <w:spacing w:line="450" w:lineRule="exact"/>
              <w:ind w:firstLine="480"/>
              <w:rPr>
                <w:rFonts w:hint="eastAsia"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bidi="ar"/>
              </w:rPr>
              <w:t>（</w:t>
            </w:r>
            <w:r>
              <w:rPr>
                <w:rFonts w:hint="eastAsia" w:cs="Times New Roman"/>
                <w:color w:val="000000"/>
                <w:sz w:val="21"/>
                <w:szCs w:val="21"/>
                <w:highlight w:val="none"/>
                <w:u w:val="single"/>
                <w:lang w:val="en-US" w:eastAsia="zh-CN" w:bidi="ar"/>
              </w:rPr>
              <w:t>8</w:t>
            </w:r>
            <w:r>
              <w:rPr>
                <w:rFonts w:hint="eastAsia" w:ascii="Times New Roman" w:hAnsi="Times New Roman" w:eastAsia="宋体" w:cs="Times New Roman"/>
                <w:color w:val="000000"/>
                <w:sz w:val="21"/>
                <w:szCs w:val="21"/>
                <w:highlight w:val="none"/>
                <w:u w:val="single"/>
                <w:lang w:bidi="ar"/>
              </w:rPr>
              <w:t>）合理安排施工时间，风力达到5级（含5级）以上时，禁止施工；</w:t>
            </w:r>
          </w:p>
          <w:p>
            <w:pPr>
              <w:spacing w:line="450" w:lineRule="exact"/>
              <w:ind w:firstLine="480"/>
              <w:rPr>
                <w:rFonts w:hint="eastAsia"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bidi="ar"/>
              </w:rPr>
              <w:t>（</w:t>
            </w:r>
            <w:r>
              <w:rPr>
                <w:rFonts w:hint="eastAsia" w:cs="Times New Roman"/>
                <w:color w:val="000000"/>
                <w:sz w:val="21"/>
                <w:szCs w:val="21"/>
                <w:highlight w:val="none"/>
                <w:u w:val="single"/>
                <w:lang w:val="en-US" w:eastAsia="zh-CN" w:bidi="ar"/>
              </w:rPr>
              <w:t>9</w:t>
            </w:r>
            <w:r>
              <w:rPr>
                <w:rFonts w:hint="eastAsia" w:ascii="Times New Roman" w:hAnsi="Times New Roman" w:eastAsia="宋体" w:cs="Times New Roman"/>
                <w:color w:val="000000"/>
                <w:sz w:val="21"/>
                <w:szCs w:val="21"/>
                <w:highlight w:val="none"/>
                <w:u w:val="single"/>
                <w:lang w:bidi="ar"/>
              </w:rPr>
              <w:t>）施工期间，工地中具有粉尘逸散性的物料、渣土或废物输送时应打包装框搬运，严禁凌空抛撒；</w:t>
            </w:r>
          </w:p>
          <w:p>
            <w:pPr>
              <w:spacing w:line="450" w:lineRule="exact"/>
              <w:ind w:firstLine="480"/>
              <w:rPr>
                <w:rFonts w:hint="eastAsia"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bidi="ar"/>
              </w:rPr>
              <w:t>（1</w:t>
            </w:r>
            <w:r>
              <w:rPr>
                <w:rFonts w:hint="eastAsia" w:cs="Times New Roman"/>
                <w:color w:val="000000"/>
                <w:sz w:val="21"/>
                <w:szCs w:val="21"/>
                <w:highlight w:val="none"/>
                <w:u w:val="single"/>
                <w:lang w:val="en-US" w:eastAsia="zh-CN" w:bidi="ar"/>
              </w:rPr>
              <w:t>0</w:t>
            </w:r>
            <w:r>
              <w:rPr>
                <w:rFonts w:hint="eastAsia" w:ascii="Times New Roman" w:hAnsi="Times New Roman" w:eastAsia="宋体" w:cs="Times New Roman"/>
                <w:color w:val="000000"/>
                <w:sz w:val="21"/>
                <w:szCs w:val="21"/>
                <w:highlight w:val="none"/>
                <w:u w:val="single"/>
                <w:lang w:bidi="ar"/>
              </w:rPr>
              <w:t>）不能按时完成清运的土方，应采取固化、覆盖或绿化等扬尘控制措施；生活垃圾按照环卫部门要求统一清运至指定的收集地点；</w:t>
            </w:r>
          </w:p>
          <w:p>
            <w:pPr>
              <w:spacing w:line="450" w:lineRule="exact"/>
              <w:ind w:firstLine="480"/>
              <w:rPr>
                <w:rFonts w:hint="eastAsia"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bidi="ar"/>
              </w:rPr>
              <w:t>（1</w:t>
            </w:r>
            <w:r>
              <w:rPr>
                <w:rFonts w:hint="eastAsia" w:cs="Times New Roman"/>
                <w:color w:val="000000"/>
                <w:sz w:val="21"/>
                <w:szCs w:val="21"/>
                <w:highlight w:val="none"/>
                <w:u w:val="single"/>
                <w:lang w:val="en-US" w:eastAsia="zh-CN" w:bidi="ar"/>
              </w:rPr>
              <w:t>1</w:t>
            </w:r>
            <w:r>
              <w:rPr>
                <w:rFonts w:hint="eastAsia" w:ascii="Times New Roman" w:hAnsi="Times New Roman" w:eastAsia="宋体" w:cs="Times New Roman"/>
                <w:color w:val="000000"/>
                <w:sz w:val="21"/>
                <w:szCs w:val="21"/>
                <w:highlight w:val="none"/>
                <w:u w:val="single"/>
                <w:lang w:bidi="ar"/>
              </w:rPr>
              <w:t>）严格执行建筑施工扬尘污染防治“8个100%”抑尘措施（100%围挡、工地物料堆放100%覆盖、施工现场路面100%硬化、驶出工地车辆100%冲洗、易起扬尘作业面100%湿法作业、渣土车辆100%密闭运输、建筑垃圾100%规范管理、非道路移动工程机械尾气排放100%达标）。</w:t>
            </w:r>
          </w:p>
          <w:p>
            <w:pPr>
              <w:spacing w:line="450" w:lineRule="exact"/>
              <w:ind w:firstLine="480"/>
              <w:rPr>
                <w:rFonts w:hint="eastAsia"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（1</w:t>
            </w:r>
            <w:r>
              <w:rPr>
                <w:rFonts w:hint="eastAsia" w:cs="Times New Roman"/>
                <w:color w:val="000000"/>
                <w:sz w:val="21"/>
                <w:szCs w:val="21"/>
                <w:highlight w:val="none"/>
                <w:lang w:val="en-US" w:eastAsia="zh-CN" w:bidi="ar"/>
              </w:rPr>
              <w:t>2</w:t>
            </w:r>
            <w:r>
              <w:rPr>
                <w:rFonts w:hint="eastAsia" w:ascii="Times New Roman" w:hAnsi="Times New Roman" w:eastAsia="宋体" w:cs="Times New Roman"/>
                <w:color w:val="000000"/>
                <w:sz w:val="21"/>
                <w:szCs w:val="21"/>
                <w:highlight w:val="none"/>
                <w:lang w:bidi="ar"/>
              </w:rPr>
              <w:t>）沥青烟主要来源于摊铺过程中，组成主要为THC、TSP和BaP，其中THC和BaP为有害物质，对空气造成一定的污染，对人体也有伤害。为减小施工过程中沥青对施工人员和沿线居民的影响，减轻对周围环境的污染，并贯彻落实相关政策要求，本项目应采用商品沥青混凝土，不在施工现场设沥青混凝土拌和站，施工人员在铺设过程中佩戴口罩，以减少对沥青烟的吸收量。</w:t>
            </w:r>
            <w:r>
              <w:rPr>
                <w:rFonts w:hint="eastAsia" w:cs="Times New Roman"/>
                <w:color w:val="000000"/>
                <w:sz w:val="21"/>
                <w:szCs w:val="21"/>
                <w:highlight w:val="none"/>
                <w:lang w:val="en-US" w:eastAsia="zh-CN" w:bidi="ar"/>
              </w:rPr>
              <w:t>项目</w:t>
            </w:r>
            <w:r>
              <w:rPr>
                <w:rFonts w:hint="eastAsia" w:ascii="Times New Roman" w:hAnsi="Times New Roman" w:eastAsia="宋体" w:cs="Times New Roman"/>
                <w:color w:val="000000"/>
                <w:sz w:val="21"/>
                <w:szCs w:val="21"/>
                <w:highlight w:val="none"/>
                <w:lang w:bidi="ar"/>
              </w:rPr>
              <w:t>施工场地较开阔，易于扩散，因此对环境空气和施工人员影响较小。</w:t>
            </w:r>
          </w:p>
          <w:p>
            <w:pPr>
              <w:spacing w:line="450" w:lineRule="exact"/>
              <w:ind w:firstLine="480"/>
              <w:rPr>
                <w:rFonts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综上所述，在严格落实本报告提出的各项大气污染防治措施后，可较大程度地减少本项目粉尘和废气的排放量，使施工过程中对周围大气环境影响减至最小。</w:t>
            </w:r>
          </w:p>
          <w:p>
            <w:pPr>
              <w:tabs>
                <w:tab w:val="left" w:pos="600"/>
              </w:tabs>
              <w:spacing w:line="450" w:lineRule="exact"/>
              <w:rPr>
                <w:rFonts w:hint="eastAsia" w:ascii="Times New Roman" w:hAnsi="Times New Roman" w:eastAsia="宋体" w:cs="Times New Roman"/>
                <w:b/>
                <w:color w:val="000000"/>
                <w:sz w:val="21"/>
                <w:szCs w:val="21"/>
                <w:highlight w:val="none"/>
                <w:lang w:eastAsia="zh-CN"/>
              </w:rPr>
            </w:pPr>
            <w:r>
              <w:rPr>
                <w:rFonts w:hint="eastAsia" w:ascii="Times New Roman" w:hAnsi="Times New Roman" w:eastAsia="宋体" w:cs="Times New Roman"/>
                <w:b/>
                <w:color w:val="000000"/>
                <w:sz w:val="21"/>
                <w:szCs w:val="21"/>
                <w:highlight w:val="none"/>
                <w:lang w:val="en-US" w:eastAsia="zh-CN" w:bidi="ar"/>
              </w:rPr>
              <w:t>5.</w:t>
            </w:r>
            <w:r>
              <w:rPr>
                <w:rFonts w:hint="eastAsia" w:cs="Times New Roman"/>
                <w:b/>
                <w:color w:val="000000"/>
                <w:sz w:val="21"/>
                <w:szCs w:val="21"/>
                <w:highlight w:val="none"/>
                <w:lang w:val="en-US" w:eastAsia="zh-CN" w:bidi="ar"/>
              </w:rPr>
              <w:t xml:space="preserve">4 </w:t>
            </w:r>
            <w:r>
              <w:rPr>
                <w:rFonts w:ascii="Times New Roman" w:hAnsi="Times New Roman" w:eastAsia="宋体" w:cs="Times New Roman"/>
                <w:b/>
                <w:color w:val="000000"/>
                <w:sz w:val="21"/>
                <w:szCs w:val="21"/>
                <w:highlight w:val="none"/>
                <w:lang w:bidi="ar"/>
              </w:rPr>
              <w:t>施工期</w:t>
            </w:r>
            <w:r>
              <w:rPr>
                <w:rFonts w:hint="eastAsia" w:cs="Times New Roman"/>
                <w:b/>
                <w:color w:val="000000"/>
                <w:sz w:val="21"/>
                <w:szCs w:val="21"/>
                <w:highlight w:val="none"/>
                <w:lang w:val="en-US" w:eastAsia="zh-CN" w:bidi="ar"/>
              </w:rPr>
              <w:t>噪声</w:t>
            </w:r>
            <w:r>
              <w:rPr>
                <w:rFonts w:hint="eastAsia" w:ascii="Times New Roman" w:hAnsi="Times New Roman" w:eastAsia="宋体" w:cs="Times New Roman"/>
                <w:b/>
                <w:color w:val="000000"/>
                <w:sz w:val="21"/>
                <w:szCs w:val="21"/>
                <w:highlight w:val="none"/>
                <w:lang w:eastAsia="zh-CN" w:bidi="ar"/>
              </w:rPr>
              <w:t>污染</w:t>
            </w:r>
            <w:r>
              <w:rPr>
                <w:rFonts w:hint="eastAsia" w:cs="Times New Roman"/>
                <w:b/>
                <w:color w:val="000000"/>
                <w:sz w:val="21"/>
                <w:szCs w:val="21"/>
                <w:highlight w:val="none"/>
                <w:lang w:val="en-US" w:eastAsia="zh-CN" w:bidi="ar"/>
              </w:rPr>
              <w:t>保护</w:t>
            </w:r>
            <w:r>
              <w:rPr>
                <w:rFonts w:hint="eastAsia" w:ascii="Times New Roman" w:hAnsi="Times New Roman" w:eastAsia="宋体" w:cs="Times New Roman"/>
                <w:b/>
                <w:color w:val="000000"/>
                <w:sz w:val="21"/>
                <w:szCs w:val="21"/>
                <w:highlight w:val="none"/>
                <w:lang w:eastAsia="zh-CN" w:bidi="ar"/>
              </w:rPr>
              <w:t>措施</w:t>
            </w:r>
          </w:p>
          <w:p>
            <w:pPr>
              <w:keepNext w:val="0"/>
              <w:keepLines w:val="0"/>
              <w:pageBreakBefore w:val="0"/>
              <w:widowControl w:val="0"/>
              <w:spacing w:line="360" w:lineRule="auto"/>
              <w:ind w:firstLine="480"/>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施工期需严格控制施工时间，所有进场施工机械设备，尽量选用低噪声设备；严格限制进行噪声大的施工以及高噪声设备运行；运输车辆在敏感点禁止鸣笛；夜间禁止施工，必要时设置施工挡板并加强施工机械的操作、管理，将项目施工噪声对周围居民的影响降到最低程度。</w:t>
            </w:r>
          </w:p>
          <w:p>
            <w:pPr>
              <w:keepNext w:val="0"/>
              <w:keepLines w:val="0"/>
              <w:pageBreakBefore w:val="0"/>
              <w:widowControl w:val="0"/>
              <w:spacing w:line="360" w:lineRule="auto"/>
              <w:ind w:firstLine="480"/>
              <w:rPr>
                <w:rFonts w:hint="eastAsia" w:ascii="Times New Roman" w:hAnsi="Times New Roman" w:eastAsia="宋体" w:cs="Times New Roman"/>
                <w:color w:val="000000"/>
                <w:sz w:val="21"/>
                <w:szCs w:val="21"/>
                <w:highlight w:val="none"/>
              </w:rPr>
            </w:pPr>
            <w:r>
              <w:rPr>
                <w:rFonts w:hint="eastAsia"/>
                <w:b w:val="0"/>
                <w:bCs w:val="0"/>
                <w:sz w:val="21"/>
                <w:szCs w:val="21"/>
                <w:u w:val="none" w:color="auto"/>
                <w:lang w:val="en-US" w:eastAsia="zh-CN"/>
              </w:rPr>
              <w:t>本项目K0+640段西侧距离148m处为君诚学校，因此，本次评价</w:t>
            </w:r>
            <w:r>
              <w:rPr>
                <w:rFonts w:hint="eastAsia" w:ascii="Times New Roman" w:hAnsi="Times New Roman" w:eastAsia="宋体" w:cs="Times New Roman"/>
                <w:color w:val="000000"/>
                <w:sz w:val="21"/>
                <w:szCs w:val="21"/>
                <w:highlight w:val="none"/>
              </w:rPr>
              <w:t>要求施工作业尽量远离沿线学校，如无法避开应根据学校实际上课时间选择合理时间进行作业，避开上课、午休时段，同时严格管理，禁止鸣笛。</w:t>
            </w:r>
          </w:p>
          <w:p>
            <w:pPr>
              <w:keepNext w:val="0"/>
              <w:keepLines w:val="0"/>
              <w:pageBreakBefore w:val="0"/>
              <w:widowControl w:val="0"/>
              <w:spacing w:line="360" w:lineRule="auto"/>
              <w:ind w:firstLine="480"/>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具体详见声环境影响专章</w:t>
            </w:r>
            <w:r>
              <w:rPr>
                <w:rFonts w:ascii="Times New Roman" w:hAnsi="Times New Roman" w:eastAsia="宋体" w:cs="Times New Roman"/>
                <w:color w:val="000000"/>
                <w:sz w:val="21"/>
                <w:szCs w:val="21"/>
                <w:highlight w:val="none"/>
              </w:rPr>
              <w:t>。</w:t>
            </w:r>
          </w:p>
          <w:p>
            <w:pPr>
              <w:keepNext w:val="0"/>
              <w:keepLines w:val="0"/>
              <w:pageBreakBefore w:val="0"/>
              <w:widowControl w:val="0"/>
              <w:tabs>
                <w:tab w:val="left" w:pos="600"/>
              </w:tabs>
              <w:spacing w:line="360" w:lineRule="auto"/>
              <w:rPr>
                <w:rFonts w:hint="eastAsia" w:ascii="Times New Roman" w:hAnsi="Times New Roman" w:eastAsia="宋体" w:cs="Times New Roman"/>
                <w:b/>
                <w:color w:val="000000"/>
                <w:sz w:val="21"/>
                <w:szCs w:val="21"/>
                <w:highlight w:val="none"/>
                <w:lang w:eastAsia="zh-CN"/>
              </w:rPr>
            </w:pPr>
            <w:r>
              <w:rPr>
                <w:rFonts w:hint="eastAsia" w:ascii="Times New Roman" w:hAnsi="Times New Roman" w:eastAsia="宋体" w:cs="Times New Roman"/>
                <w:b/>
                <w:color w:val="000000"/>
                <w:sz w:val="21"/>
                <w:szCs w:val="21"/>
                <w:highlight w:val="none"/>
                <w:lang w:val="en-US" w:eastAsia="zh-CN" w:bidi="ar"/>
              </w:rPr>
              <w:t>5.</w:t>
            </w:r>
            <w:r>
              <w:rPr>
                <w:rFonts w:hint="eastAsia" w:cs="Times New Roman"/>
                <w:b/>
                <w:color w:val="000000"/>
                <w:sz w:val="21"/>
                <w:szCs w:val="21"/>
                <w:highlight w:val="none"/>
                <w:lang w:val="en-US" w:eastAsia="zh-CN" w:bidi="ar"/>
              </w:rPr>
              <w:t xml:space="preserve">5 </w:t>
            </w:r>
            <w:r>
              <w:rPr>
                <w:rFonts w:ascii="Times New Roman" w:hAnsi="Times New Roman" w:eastAsia="宋体" w:cs="Times New Roman"/>
                <w:b/>
                <w:color w:val="000000"/>
                <w:sz w:val="21"/>
                <w:szCs w:val="21"/>
                <w:highlight w:val="none"/>
                <w:lang w:bidi="ar"/>
              </w:rPr>
              <w:t>施工期</w:t>
            </w:r>
            <w:r>
              <w:rPr>
                <w:rFonts w:ascii="Times New Roman" w:hAnsi="Times New Roman" w:eastAsia="宋体" w:cs="Times New Roman"/>
                <w:b/>
                <w:color w:val="000000"/>
                <w:sz w:val="21"/>
                <w:szCs w:val="21"/>
                <w:highlight w:val="none"/>
              </w:rPr>
              <w:t>固体废弃物</w:t>
            </w:r>
            <w:r>
              <w:rPr>
                <w:rFonts w:hint="eastAsia" w:cs="Times New Roman"/>
                <w:b/>
                <w:color w:val="000000"/>
                <w:sz w:val="21"/>
                <w:szCs w:val="21"/>
                <w:highlight w:val="none"/>
                <w:lang w:val="en-US" w:eastAsia="zh-CN" w:bidi="ar"/>
              </w:rPr>
              <w:t>保护</w:t>
            </w:r>
            <w:r>
              <w:rPr>
                <w:rFonts w:hint="eastAsia" w:ascii="Times New Roman" w:hAnsi="Times New Roman" w:eastAsia="宋体" w:cs="Times New Roman"/>
                <w:b/>
                <w:color w:val="000000"/>
                <w:sz w:val="21"/>
                <w:szCs w:val="21"/>
                <w:highlight w:val="none"/>
                <w:lang w:eastAsia="zh-CN" w:bidi="ar"/>
              </w:rPr>
              <w:t>措施</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项目施工期固体废物主要为弃土、生活垃圾、建筑垃圾、废油及含油废抹布等。</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①弃土</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经土石方平衡计算，本项目</w:t>
            </w:r>
            <w:r>
              <w:rPr>
                <w:rFonts w:hint="eastAsia" w:cs="Times New Roman"/>
                <w:color w:val="000000"/>
                <w:sz w:val="21"/>
                <w:szCs w:val="21"/>
                <w:highlight w:val="none"/>
                <w:lang w:val="en-US" w:eastAsia="zh-CN" w:bidi="ar"/>
              </w:rPr>
              <w:t>萍阳北路延伸段</w:t>
            </w:r>
            <w:r>
              <w:rPr>
                <w:rFonts w:hint="eastAsia" w:ascii="Times New Roman" w:hAnsi="Times New Roman" w:eastAsia="宋体" w:cs="Times New Roman"/>
                <w:color w:val="000000"/>
                <w:sz w:val="21"/>
                <w:szCs w:val="21"/>
                <w:highlight w:val="none"/>
                <w:lang w:val="en-US" w:eastAsia="zh-CN" w:bidi="ar"/>
              </w:rPr>
              <w:t>产生弃方</w:t>
            </w:r>
            <w:r>
              <w:rPr>
                <w:rFonts w:hint="eastAsia" w:cs="Times New Roman"/>
                <w:color w:val="000000"/>
                <w:sz w:val="21"/>
                <w:szCs w:val="21"/>
                <w:highlight w:val="none"/>
                <w:lang w:val="en-US" w:eastAsia="zh-CN" w:bidi="ar"/>
              </w:rPr>
              <w:t>为132733m</w:t>
            </w:r>
            <w:r>
              <w:rPr>
                <w:rFonts w:hint="eastAsia" w:cs="Times New Roman"/>
                <w:color w:val="000000"/>
                <w:sz w:val="21"/>
                <w:szCs w:val="21"/>
                <w:highlight w:val="none"/>
                <w:vertAlign w:val="superscript"/>
                <w:lang w:val="en-US" w:eastAsia="zh-CN" w:bidi="ar"/>
              </w:rPr>
              <w:t>3</w:t>
            </w:r>
            <w:r>
              <w:rPr>
                <w:rFonts w:hint="eastAsia" w:cs="Times New Roman"/>
                <w:color w:val="000000"/>
                <w:sz w:val="21"/>
                <w:szCs w:val="21"/>
                <w:highlight w:val="none"/>
                <w:vertAlign w:val="baseline"/>
                <w:lang w:val="en-US" w:eastAsia="zh-CN" w:bidi="ar"/>
              </w:rPr>
              <w:t>、萍州大桥西匝道</w:t>
            </w:r>
            <w:r>
              <w:rPr>
                <w:rFonts w:hint="eastAsia" w:ascii="Times New Roman" w:hAnsi="Times New Roman" w:eastAsia="宋体" w:cs="Times New Roman"/>
                <w:color w:val="000000"/>
                <w:sz w:val="21"/>
                <w:szCs w:val="21"/>
                <w:highlight w:val="none"/>
                <w:lang w:val="en-US" w:eastAsia="zh-CN" w:bidi="ar"/>
              </w:rPr>
              <w:t>产生弃方</w:t>
            </w:r>
            <w:r>
              <w:rPr>
                <w:rFonts w:hint="eastAsia" w:cs="Times New Roman"/>
                <w:color w:val="000000"/>
                <w:sz w:val="21"/>
                <w:szCs w:val="21"/>
                <w:highlight w:val="none"/>
                <w:lang w:val="en-US" w:eastAsia="zh-CN" w:bidi="ar"/>
              </w:rPr>
              <w:t>为13122m</w:t>
            </w:r>
            <w:r>
              <w:rPr>
                <w:rFonts w:hint="eastAsia" w:cs="Times New Roman"/>
                <w:color w:val="000000"/>
                <w:sz w:val="21"/>
                <w:szCs w:val="21"/>
                <w:highlight w:val="none"/>
                <w:vertAlign w:val="superscript"/>
                <w:lang w:val="en-US" w:eastAsia="zh-CN" w:bidi="ar"/>
              </w:rPr>
              <w:t>3</w:t>
            </w:r>
            <w:r>
              <w:rPr>
                <w:rFonts w:hint="eastAsia" w:cs="Times New Roman"/>
                <w:color w:val="000000"/>
                <w:sz w:val="21"/>
                <w:szCs w:val="21"/>
                <w:highlight w:val="none"/>
                <w:vertAlign w:val="baseline"/>
                <w:lang w:val="en-US" w:eastAsia="zh-CN" w:bidi="ar"/>
              </w:rPr>
              <w:t>，</w:t>
            </w:r>
            <w:r>
              <w:rPr>
                <w:rFonts w:hint="eastAsia" w:ascii="Times New Roman" w:hAnsi="Times New Roman" w:eastAsia="宋体" w:cs="Times New Roman"/>
                <w:color w:val="000000"/>
                <w:sz w:val="21"/>
                <w:szCs w:val="21"/>
                <w:highlight w:val="none"/>
                <w:lang w:val="en-US" w:eastAsia="zh-CN" w:bidi="ar"/>
              </w:rPr>
              <w:t>外弃土方由</w:t>
            </w:r>
            <w:r>
              <w:rPr>
                <w:rFonts w:hint="eastAsia" w:cs="Times New Roman"/>
                <w:color w:val="000000"/>
                <w:sz w:val="21"/>
                <w:szCs w:val="21"/>
                <w:highlight w:val="none"/>
                <w:lang w:val="en-US" w:eastAsia="zh-CN" w:bidi="ar"/>
              </w:rPr>
              <w:t>城管</w:t>
            </w:r>
            <w:r>
              <w:rPr>
                <w:rFonts w:hint="eastAsia" w:ascii="Times New Roman" w:hAnsi="Times New Roman" w:eastAsia="宋体" w:cs="Times New Roman"/>
                <w:color w:val="000000"/>
                <w:sz w:val="21"/>
                <w:szCs w:val="21"/>
                <w:highlight w:val="none"/>
                <w:lang w:val="en-US" w:eastAsia="zh-CN" w:bidi="ar"/>
              </w:rPr>
              <w:t>部门统一调配。</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②生活垃圾</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项目施工期间，施工人员将产生一定量的生活垃圾。建议在施工场地设置垃圾桶，生活垃圾集中收集后交由环卫部门统一清运处理，减少其对周围环境和施工人员及居民点的影响。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③建筑垃圾</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施工期间将涉及到房屋拆除、土地开挖、管道敷设、材料运输等工程内容，在此期间将有一定数量的废弃建筑材料如砂石、石灰、混凝土、废砖、土石方等。因此对施工现场要及时进行清理，由</w:t>
            </w:r>
            <w:r>
              <w:rPr>
                <w:rFonts w:hint="eastAsia" w:cs="Times New Roman"/>
                <w:color w:val="000000"/>
                <w:sz w:val="21"/>
                <w:szCs w:val="21"/>
                <w:highlight w:val="none"/>
                <w:lang w:val="en-US" w:eastAsia="zh-CN" w:bidi="ar"/>
              </w:rPr>
              <w:t>城管</w:t>
            </w:r>
            <w:r>
              <w:rPr>
                <w:rFonts w:hint="eastAsia" w:ascii="Times New Roman" w:hAnsi="Times New Roman" w:eastAsia="宋体" w:cs="Times New Roman"/>
                <w:color w:val="000000"/>
                <w:sz w:val="21"/>
                <w:szCs w:val="21"/>
                <w:highlight w:val="none"/>
                <w:lang w:val="en-US" w:eastAsia="zh-CN" w:bidi="ar"/>
              </w:rPr>
              <w:t>部门统一调配，弃往指定弃渣场。</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eastAsia" w:ascii="Times New Roman" w:hAnsi="Times New Roman" w:eastAsia="宋体" w:cs="Times New Roman"/>
                <w:color w:val="000000"/>
                <w:sz w:val="21"/>
                <w:szCs w:val="21"/>
                <w:highlight w:val="none"/>
                <w:lang w:val="en-US" w:eastAsia="zh-CN" w:bidi="ar"/>
              </w:rPr>
            </w:pPr>
            <w:r>
              <w:rPr>
                <w:rFonts w:hint="eastAsia" w:ascii="Times New Roman" w:hAnsi="Times New Roman" w:eastAsia="宋体" w:cs="Times New Roman"/>
                <w:color w:val="000000"/>
                <w:sz w:val="21"/>
                <w:szCs w:val="21"/>
                <w:highlight w:val="none"/>
                <w:lang w:val="en-US" w:eastAsia="zh-CN" w:bidi="ar"/>
              </w:rPr>
              <w:t>④废油及含油废抹布</w:t>
            </w:r>
          </w:p>
          <w:p>
            <w:pPr>
              <w:keepNext w:val="0"/>
              <w:keepLines w:val="0"/>
              <w:pageBreakBefore w:val="0"/>
              <w:widowControl w:val="0"/>
              <w:spacing w:line="360" w:lineRule="auto"/>
              <w:ind w:left="0" w:firstLine="480"/>
              <w:rPr>
                <w:sz w:val="21"/>
                <w:szCs w:val="21"/>
                <w:highlight w:val="none"/>
              </w:rPr>
            </w:pPr>
            <w:r>
              <w:rPr>
                <w:rFonts w:hint="eastAsia" w:ascii="Times New Roman" w:hAnsi="Times New Roman" w:eastAsia="宋体" w:cs="Times New Roman"/>
                <w:color w:val="000000"/>
                <w:sz w:val="21"/>
                <w:szCs w:val="21"/>
                <w:highlight w:val="none"/>
                <w:lang w:val="en-US" w:eastAsia="zh-CN" w:bidi="ar"/>
              </w:rPr>
              <w:t>项目施工期间隔油池产生的废油以及含油抹布等，属于危险废物，收集后委托有资质单位进行处理，不在施工区暂存和处置。</w:t>
            </w:r>
          </w:p>
          <w:p>
            <w:pPr>
              <w:keepNext w:val="0"/>
              <w:keepLines w:val="0"/>
              <w:pageBreakBefore w:val="0"/>
              <w:widowControl w:val="0"/>
              <w:spacing w:line="360" w:lineRule="auto"/>
              <w:ind w:left="0" w:firstLine="480"/>
              <w:rPr>
                <w:rFonts w:hint="default" w:ascii="Times New Roman" w:hAnsi="Times New Roman" w:eastAsia="宋体" w:cs="Times New Roman"/>
                <w:color w:val="000000"/>
                <w:sz w:val="21"/>
                <w:szCs w:val="21"/>
                <w:highlight w:val="none"/>
                <w:lang w:val="en-US" w:eastAsia="zh-CN" w:bidi="ar"/>
              </w:rPr>
            </w:pPr>
            <w:r>
              <w:rPr>
                <w:rFonts w:hint="eastAsia" w:cs="Times New Roman"/>
                <w:color w:val="000000"/>
                <w:sz w:val="21"/>
                <w:szCs w:val="21"/>
                <w:highlight w:val="none"/>
                <w:lang w:val="en-US" w:eastAsia="zh-CN" w:bidi="ar"/>
              </w:rPr>
              <w:t>⑤</w:t>
            </w:r>
            <w:r>
              <w:rPr>
                <w:rFonts w:hint="eastAsia" w:cs="Times New Roman"/>
                <w:color w:val="000000"/>
                <w:sz w:val="21"/>
                <w:szCs w:val="21"/>
                <w:highlight w:val="none"/>
                <w:u w:val="single"/>
                <w:lang w:val="en-US" w:eastAsia="zh-CN"/>
              </w:rPr>
              <w:t>由于道路占地上涉及永州市广丰农化有限公司、原化工集团地块，因此本次评价要求在施工过程中如发现地埋罐、暗管、渗漏井等结构存在，应及时上报环保、安监等相关部门，防止发生突发环境事件，造成地表水、土壤、地下水污染。</w:t>
            </w:r>
          </w:p>
          <w:p>
            <w:pPr>
              <w:keepNext w:val="0"/>
              <w:keepLines w:val="0"/>
              <w:pageBreakBefore w:val="0"/>
              <w:widowControl w:val="0"/>
              <w:tabs>
                <w:tab w:val="left" w:pos="600"/>
              </w:tabs>
              <w:spacing w:line="360" w:lineRule="auto"/>
              <w:rPr>
                <w:rFonts w:hint="eastAsia" w:ascii="Times New Roman" w:hAnsi="Times New Roman" w:eastAsia="宋体" w:cs="Times New Roman"/>
                <w:b/>
                <w:color w:val="000000"/>
                <w:sz w:val="21"/>
                <w:szCs w:val="21"/>
                <w:highlight w:val="none"/>
                <w:u w:val="single"/>
                <w:lang w:eastAsia="zh-CN"/>
              </w:rPr>
            </w:pPr>
            <w:r>
              <w:rPr>
                <w:rFonts w:hint="eastAsia" w:ascii="Times New Roman" w:hAnsi="Times New Roman" w:eastAsia="宋体" w:cs="Times New Roman"/>
                <w:b/>
                <w:color w:val="000000"/>
                <w:sz w:val="21"/>
                <w:szCs w:val="21"/>
                <w:highlight w:val="none"/>
                <w:u w:val="single"/>
                <w:lang w:val="en-US" w:eastAsia="zh-CN" w:bidi="ar"/>
              </w:rPr>
              <w:t>5.6</w:t>
            </w:r>
            <w:r>
              <w:rPr>
                <w:rFonts w:ascii="Times New Roman" w:hAnsi="Times New Roman" w:eastAsia="宋体" w:cs="Times New Roman"/>
                <w:b/>
                <w:color w:val="000000"/>
                <w:sz w:val="21"/>
                <w:szCs w:val="21"/>
                <w:highlight w:val="none"/>
                <w:u w:val="single"/>
                <w:lang w:bidi="ar"/>
              </w:rPr>
              <w:t>施工期</w:t>
            </w:r>
            <w:r>
              <w:rPr>
                <w:rFonts w:hint="eastAsia" w:ascii="Times New Roman" w:hAnsi="Times New Roman" w:eastAsia="宋体" w:cs="Times New Roman"/>
                <w:b/>
                <w:color w:val="000000"/>
                <w:sz w:val="21"/>
                <w:szCs w:val="21"/>
                <w:highlight w:val="none"/>
                <w:u w:val="single"/>
                <w:lang w:eastAsia="zh-CN" w:bidi="ar"/>
              </w:rPr>
              <w:t>环境监督管理</w:t>
            </w:r>
          </w:p>
          <w:p>
            <w:pPr>
              <w:pStyle w:val="240"/>
              <w:keepNext w:val="0"/>
              <w:keepLines w:val="0"/>
              <w:pageBreakBefore w:val="0"/>
              <w:widowControl w:val="0"/>
              <w:spacing w:before="0" w:after="0" w:line="360" w:lineRule="auto"/>
              <w:ind w:left="0" w:right="0" w:firstLine="480"/>
              <w:outlineLvl w:val="9"/>
              <w:rPr>
                <w:rFonts w:hint="eastAsia" w:ascii="Times New Roman" w:hAnsi="Times New Roman" w:eastAsia="宋体" w:cs="Times New Roman"/>
                <w:color w:val="000000"/>
                <w:sz w:val="21"/>
                <w:szCs w:val="21"/>
                <w:highlight w:val="none"/>
                <w:u w:val="single"/>
              </w:rPr>
            </w:pPr>
            <w:r>
              <w:rPr>
                <w:rFonts w:hint="eastAsia" w:ascii="Times New Roman" w:hAnsi="Times New Roman" w:eastAsia="宋体" w:cs="Times New Roman"/>
                <w:color w:val="000000"/>
                <w:sz w:val="21"/>
                <w:szCs w:val="21"/>
                <w:highlight w:val="none"/>
                <w:u w:val="single"/>
              </w:rPr>
              <w:t>建设单位应要求施工监理机构至少配备一定的环境保护知识和技能的1名监理工程师，实施环境工程监理制度，负责施工期的环境管理与监督。各承包单位应配备至少1名环保员，具体监督、管理环保措施的实施。施工结束后，业主应组织全面检查工程环保措施落实和施工现场的环境恢复情况，督促施工单位及时撤出临时占用场地，拆除临时设施，恢复被破坏的植被。</w:t>
            </w:r>
          </w:p>
          <w:p>
            <w:pPr>
              <w:pStyle w:val="240"/>
              <w:keepNext w:val="0"/>
              <w:keepLines w:val="0"/>
              <w:pageBreakBefore w:val="0"/>
              <w:widowControl w:val="0"/>
              <w:spacing w:before="0" w:after="0" w:line="360" w:lineRule="auto"/>
              <w:ind w:left="0" w:right="0" w:firstLine="480"/>
              <w:outlineLvl w:val="9"/>
              <w:rPr>
                <w:rFonts w:hint="eastAsia" w:ascii="Times New Roman" w:hAnsi="Times New Roman" w:eastAsia="宋体" w:cs="Times New Roman"/>
                <w:color w:val="000000"/>
                <w:sz w:val="21"/>
                <w:szCs w:val="21"/>
                <w:highlight w:val="none"/>
                <w:u w:val="single"/>
              </w:rPr>
            </w:pPr>
            <w:r>
              <w:rPr>
                <w:rFonts w:hint="eastAsia" w:ascii="Times New Roman" w:hAnsi="Times New Roman" w:eastAsia="宋体" w:cs="Times New Roman"/>
                <w:color w:val="000000"/>
                <w:sz w:val="21"/>
                <w:szCs w:val="21"/>
                <w:highlight w:val="none"/>
                <w:u w:val="single"/>
              </w:rPr>
              <w:t>道路工程环境监理范围为道路工程项目建设区与工程直接影响区域，包括道路主体工程、临时工程以及承担大量工程运输的当地现有道路，环境监督管理工作内容见表5-1。</w:t>
            </w:r>
          </w:p>
          <w:p>
            <w:pPr>
              <w:widowControl/>
              <w:jc w:val="center"/>
              <w:rPr>
                <w:rFonts w:ascii="Times New Roman" w:hAnsi="Times New Roman" w:eastAsia="宋体" w:cs="Times New Roman"/>
                <w:b/>
                <w:color w:val="000000"/>
                <w:sz w:val="21"/>
                <w:szCs w:val="21"/>
                <w:highlight w:val="none"/>
                <w:u w:val="single"/>
              </w:rPr>
            </w:pPr>
            <w:r>
              <w:rPr>
                <w:rFonts w:ascii="Times New Roman" w:hAnsi="Times New Roman" w:eastAsia="宋体" w:cs="Times New Roman"/>
                <w:b/>
                <w:color w:val="000000"/>
                <w:sz w:val="21"/>
                <w:szCs w:val="21"/>
                <w:highlight w:val="none"/>
                <w:u w:val="single"/>
              </w:rPr>
              <w:t>表</w:t>
            </w:r>
            <w:r>
              <w:rPr>
                <w:rFonts w:hint="eastAsia" w:ascii="Times New Roman" w:hAnsi="Times New Roman" w:eastAsia="宋体" w:cs="Times New Roman"/>
                <w:b/>
                <w:color w:val="000000"/>
                <w:sz w:val="21"/>
                <w:szCs w:val="21"/>
                <w:highlight w:val="none"/>
                <w:u w:val="single"/>
                <w:lang w:val="en-US" w:eastAsia="zh-CN"/>
              </w:rPr>
              <w:t>5</w:t>
            </w:r>
            <w:r>
              <w:rPr>
                <w:rFonts w:ascii="Times New Roman" w:hAnsi="Times New Roman" w:eastAsia="宋体" w:cs="Times New Roman"/>
                <w:b/>
                <w:color w:val="000000"/>
                <w:sz w:val="21"/>
                <w:szCs w:val="21"/>
                <w:highlight w:val="none"/>
                <w:u w:val="single"/>
              </w:rPr>
              <w:t>-</w:t>
            </w:r>
            <w:r>
              <w:rPr>
                <w:rFonts w:hint="eastAsia" w:ascii="Times New Roman" w:hAnsi="Times New Roman" w:eastAsia="宋体" w:cs="Times New Roman"/>
                <w:b/>
                <w:color w:val="000000"/>
                <w:sz w:val="21"/>
                <w:szCs w:val="21"/>
                <w:highlight w:val="none"/>
                <w:u w:val="single"/>
                <w:lang w:val="en-US" w:eastAsia="zh-CN"/>
              </w:rPr>
              <w:t>1</w:t>
            </w:r>
            <w:r>
              <w:rPr>
                <w:rFonts w:ascii="Times New Roman" w:hAnsi="Times New Roman" w:eastAsia="宋体" w:cs="Times New Roman"/>
                <w:b/>
                <w:color w:val="000000"/>
                <w:sz w:val="21"/>
                <w:szCs w:val="21"/>
                <w:highlight w:val="none"/>
                <w:u w:val="single"/>
              </w:rPr>
              <w:t xml:space="preserve"> 环境监督管理工作内容</w:t>
            </w:r>
          </w:p>
          <w:tbl>
            <w:tblPr>
              <w:tblStyle w:val="40"/>
              <w:tblW w:w="7893" w:type="dxa"/>
              <w:jc w:val="center"/>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566"/>
              <w:gridCol w:w="844"/>
              <w:gridCol w:w="6483"/>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Ex>
              <w:trPr>
                <w:trHeight w:val="332" w:hRule="exact"/>
                <w:jc w:val="center"/>
              </w:trPr>
              <w:tc>
                <w:tcPr>
                  <w:tcW w:w="566" w:type="dxa"/>
                  <w:noWrap w:val="0"/>
                  <w:vAlign w:val="center"/>
                </w:tcPr>
                <w:p>
                  <w:pPr>
                    <w:jc w:val="center"/>
                    <w:rPr>
                      <w:rFonts w:ascii="Times New Roman" w:hAnsi="Times New Roman" w:eastAsia="宋体" w:cs="Times New Roman"/>
                      <w:bCs/>
                      <w:color w:val="000000"/>
                      <w:sz w:val="21"/>
                      <w:szCs w:val="21"/>
                      <w:highlight w:val="none"/>
                      <w:u w:val="single"/>
                    </w:rPr>
                  </w:pPr>
                  <w:r>
                    <w:rPr>
                      <w:rFonts w:ascii="Times New Roman" w:hAnsi="Times New Roman" w:eastAsia="宋体" w:cs="Times New Roman"/>
                      <w:bCs/>
                      <w:color w:val="000000"/>
                      <w:sz w:val="21"/>
                      <w:szCs w:val="21"/>
                      <w:highlight w:val="none"/>
                      <w:u w:val="single"/>
                    </w:rPr>
                    <w:t>序号</w:t>
                  </w:r>
                </w:p>
              </w:tc>
              <w:tc>
                <w:tcPr>
                  <w:tcW w:w="844" w:type="dxa"/>
                  <w:noWrap w:val="0"/>
                  <w:vAlign w:val="center"/>
                </w:tcPr>
                <w:p>
                  <w:pPr>
                    <w:jc w:val="center"/>
                    <w:rPr>
                      <w:rFonts w:ascii="Times New Roman" w:hAnsi="Times New Roman" w:eastAsia="宋体" w:cs="Times New Roman"/>
                      <w:bCs/>
                      <w:color w:val="000000"/>
                      <w:sz w:val="21"/>
                      <w:szCs w:val="21"/>
                      <w:highlight w:val="none"/>
                      <w:u w:val="single"/>
                    </w:rPr>
                  </w:pPr>
                  <w:r>
                    <w:rPr>
                      <w:rFonts w:ascii="Times New Roman" w:hAnsi="Times New Roman" w:eastAsia="宋体" w:cs="Times New Roman"/>
                      <w:bCs/>
                      <w:color w:val="000000"/>
                      <w:sz w:val="21"/>
                      <w:szCs w:val="21"/>
                      <w:highlight w:val="none"/>
                      <w:u w:val="single"/>
                    </w:rPr>
                    <w:t>监理地点</w:t>
                  </w:r>
                </w:p>
              </w:tc>
              <w:tc>
                <w:tcPr>
                  <w:tcW w:w="6483" w:type="dxa"/>
                  <w:noWrap w:val="0"/>
                  <w:vAlign w:val="center"/>
                </w:tcPr>
                <w:p>
                  <w:pPr>
                    <w:jc w:val="center"/>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环境监理重点具体内容</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Ex>
              <w:trPr>
                <w:trHeight w:val="187" w:hRule="atLeast"/>
                <w:jc w:val="center"/>
              </w:trPr>
              <w:tc>
                <w:tcPr>
                  <w:tcW w:w="566" w:type="dxa"/>
                  <w:noWrap w:val="0"/>
                  <w:vAlign w:val="center"/>
                </w:tcPr>
                <w:p>
                  <w:pPr>
                    <w:jc w:val="center"/>
                    <w:rPr>
                      <w:rFonts w:ascii="Times New Roman" w:hAnsi="Times New Roman" w:eastAsia="宋体" w:cs="Times New Roman"/>
                      <w:bCs/>
                      <w:color w:val="000000"/>
                      <w:sz w:val="21"/>
                      <w:szCs w:val="21"/>
                      <w:highlight w:val="none"/>
                      <w:u w:val="single"/>
                    </w:rPr>
                  </w:pPr>
                  <w:r>
                    <w:rPr>
                      <w:rFonts w:ascii="Times New Roman" w:hAnsi="Times New Roman" w:eastAsia="宋体" w:cs="Times New Roman"/>
                      <w:bCs/>
                      <w:color w:val="000000"/>
                      <w:sz w:val="21"/>
                      <w:szCs w:val="21"/>
                      <w:highlight w:val="none"/>
                      <w:u w:val="single"/>
                    </w:rPr>
                    <w:t>1</w:t>
                  </w:r>
                </w:p>
              </w:tc>
              <w:tc>
                <w:tcPr>
                  <w:tcW w:w="844" w:type="dxa"/>
                  <w:noWrap w:val="0"/>
                  <w:vAlign w:val="center"/>
                </w:tcPr>
                <w:p>
                  <w:pPr>
                    <w:jc w:val="center"/>
                    <w:rPr>
                      <w:rFonts w:ascii="Times New Roman" w:hAnsi="Times New Roman" w:eastAsia="宋体" w:cs="Times New Roman"/>
                      <w:bCs/>
                      <w:color w:val="000000"/>
                      <w:sz w:val="21"/>
                      <w:szCs w:val="21"/>
                      <w:highlight w:val="none"/>
                      <w:u w:val="single"/>
                    </w:rPr>
                  </w:pPr>
                  <w:r>
                    <w:rPr>
                      <w:rFonts w:ascii="Times New Roman" w:hAnsi="Times New Roman" w:eastAsia="宋体" w:cs="Times New Roman"/>
                      <w:bCs/>
                      <w:color w:val="000000"/>
                      <w:sz w:val="21"/>
                      <w:szCs w:val="21"/>
                      <w:highlight w:val="none"/>
                      <w:u w:val="single"/>
                    </w:rPr>
                    <w:t>路基工程</w:t>
                  </w:r>
                </w:p>
              </w:tc>
              <w:tc>
                <w:tcPr>
                  <w:tcW w:w="6483" w:type="dxa"/>
                  <w:noWrap w:val="0"/>
                  <w:vAlign w:val="top"/>
                </w:tcPr>
                <w:p>
                  <w:pPr>
                    <w:keepNext w:val="0"/>
                    <w:keepLines w:val="0"/>
                    <w:pageBreakBefore w:val="0"/>
                    <w:widowControl w:val="0"/>
                    <w:spacing w:line="240" w:lineRule="auto"/>
                    <w:ind w:left="0" w:right="0" w:firstLine="57"/>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监督检查路基开挖与填筑作业范围控制情况与耕地、植被保护措施；路基工程是否按景观设计要求施工。</w:t>
                  </w:r>
                </w:p>
                <w:p>
                  <w:pPr>
                    <w:keepNext w:val="0"/>
                    <w:keepLines w:val="0"/>
                    <w:pageBreakBefore w:val="0"/>
                    <w:widowControl w:val="0"/>
                    <w:spacing w:line="240" w:lineRule="auto"/>
                    <w:ind w:left="0" w:right="0" w:firstLine="57"/>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现场抽测声环境敏感路段的场界噪声达标情况；</w:t>
                  </w:r>
                </w:p>
                <w:p>
                  <w:pPr>
                    <w:keepNext w:val="0"/>
                    <w:keepLines w:val="0"/>
                    <w:pageBreakBefore w:val="0"/>
                    <w:widowControl w:val="0"/>
                    <w:spacing w:line="240" w:lineRule="auto"/>
                    <w:ind w:left="0" w:right="0" w:firstLine="57"/>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检查临时水保措施的实施情况；</w:t>
                  </w:r>
                </w:p>
                <w:p>
                  <w:pPr>
                    <w:keepNext w:val="0"/>
                    <w:keepLines w:val="0"/>
                    <w:pageBreakBefore w:val="0"/>
                    <w:widowControl w:val="0"/>
                    <w:spacing w:line="240" w:lineRule="auto"/>
                    <w:ind w:left="0" w:right="0" w:firstLine="57"/>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巡视检查路基土石方调运情况；</w:t>
                  </w:r>
                </w:p>
                <w:p>
                  <w:pPr>
                    <w:keepNext w:val="0"/>
                    <w:keepLines w:val="0"/>
                    <w:pageBreakBefore w:val="0"/>
                    <w:widowControl w:val="0"/>
                    <w:spacing w:line="240" w:lineRule="auto"/>
                    <w:ind w:left="0" w:right="0" w:firstLine="57"/>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监督洒水降尘措施的实施情况</w:t>
                  </w:r>
                  <w:r>
                    <w:rPr>
                      <w:rFonts w:hint="eastAsia" w:ascii="Times New Roman" w:hAnsi="Times New Roman" w:eastAsia="宋体" w:cs="Times New Roman"/>
                      <w:bCs/>
                      <w:color w:val="000000"/>
                      <w:sz w:val="21"/>
                      <w:szCs w:val="21"/>
                      <w:highlight w:val="none"/>
                      <w:u w:val="single"/>
                      <w:lang w:eastAsia="zh-CN"/>
                    </w:rPr>
                    <w:t>；</w:t>
                  </w:r>
                </w:p>
                <w:p>
                  <w:pPr>
                    <w:keepNext w:val="0"/>
                    <w:keepLines w:val="0"/>
                    <w:pageBreakBefore w:val="0"/>
                    <w:widowControl w:val="0"/>
                    <w:spacing w:line="240" w:lineRule="auto"/>
                    <w:ind w:left="0" w:right="0" w:firstLine="57"/>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严格控制施工道路修筑边界</w:t>
                  </w:r>
                  <w:r>
                    <w:rPr>
                      <w:rFonts w:hint="eastAsia" w:ascii="Times New Roman" w:hAnsi="Times New Roman" w:eastAsia="宋体" w:cs="Times New Roman"/>
                      <w:bCs/>
                      <w:color w:val="000000"/>
                      <w:sz w:val="21"/>
                      <w:szCs w:val="21"/>
                      <w:highlight w:val="none"/>
                      <w:u w:val="single"/>
                      <w:lang w:eastAsia="zh-CN"/>
                    </w:rPr>
                    <w:t>。</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Ex>
              <w:trPr>
                <w:trHeight w:val="862" w:hRule="atLeast"/>
                <w:jc w:val="center"/>
              </w:trPr>
              <w:tc>
                <w:tcPr>
                  <w:tcW w:w="566" w:type="dxa"/>
                  <w:noWrap w:val="0"/>
                  <w:vAlign w:val="center"/>
                </w:tcPr>
                <w:p>
                  <w:pPr>
                    <w:jc w:val="center"/>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2</w:t>
                  </w:r>
                </w:p>
              </w:tc>
              <w:tc>
                <w:tcPr>
                  <w:tcW w:w="844" w:type="dxa"/>
                  <w:noWrap w:val="0"/>
                  <w:vAlign w:val="center"/>
                </w:tcPr>
                <w:p>
                  <w:pPr>
                    <w:jc w:val="center"/>
                    <w:rPr>
                      <w:rFonts w:ascii="Times New Roman" w:hAnsi="Times New Roman" w:eastAsia="宋体" w:cs="Times New Roman"/>
                      <w:bCs/>
                      <w:color w:val="000000"/>
                      <w:sz w:val="21"/>
                      <w:szCs w:val="21"/>
                      <w:highlight w:val="none"/>
                      <w:u w:val="single"/>
                    </w:rPr>
                  </w:pPr>
                  <w:r>
                    <w:rPr>
                      <w:rFonts w:ascii="Times New Roman" w:hAnsi="Times New Roman" w:eastAsia="宋体" w:cs="Times New Roman"/>
                      <w:bCs/>
                      <w:color w:val="000000"/>
                      <w:sz w:val="21"/>
                      <w:szCs w:val="21"/>
                      <w:highlight w:val="none"/>
                      <w:u w:val="single"/>
                    </w:rPr>
                    <w:t>路面工程</w:t>
                  </w:r>
                </w:p>
              </w:tc>
              <w:tc>
                <w:tcPr>
                  <w:tcW w:w="6483" w:type="dxa"/>
                  <w:noWrap w:val="0"/>
                  <w:vAlign w:val="top"/>
                </w:tcPr>
                <w:p>
                  <w:pPr>
                    <w:keepNext w:val="0"/>
                    <w:keepLines w:val="0"/>
                    <w:pageBreakBefore w:val="0"/>
                    <w:widowControl w:val="0"/>
                    <w:spacing w:line="240" w:lineRule="auto"/>
                    <w:ind w:left="0" w:right="0" w:firstLine="17"/>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现场抽测声环境敏感路段的场界噪声达标情况；</w:t>
                  </w:r>
                </w:p>
                <w:p>
                  <w:pPr>
                    <w:keepNext w:val="0"/>
                    <w:keepLines w:val="0"/>
                    <w:pageBreakBefore w:val="0"/>
                    <w:widowControl w:val="0"/>
                    <w:spacing w:line="240" w:lineRule="auto"/>
                    <w:ind w:left="0" w:right="0" w:firstLine="17"/>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监督洒水降尘措施的实施情况；</w:t>
                  </w:r>
                </w:p>
                <w:p>
                  <w:pPr>
                    <w:keepNext w:val="0"/>
                    <w:keepLines w:val="0"/>
                    <w:pageBreakBefore w:val="0"/>
                    <w:widowControl w:val="0"/>
                    <w:spacing w:line="240" w:lineRule="auto"/>
                    <w:ind w:left="0" w:right="0" w:firstLine="17"/>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检查路用粉状材料运输和堆放的遮盖措施。</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Ex>
              <w:trPr>
                <w:trHeight w:val="851" w:hRule="exact"/>
                <w:jc w:val="center"/>
              </w:trPr>
              <w:tc>
                <w:tcPr>
                  <w:tcW w:w="566" w:type="dxa"/>
                  <w:noWrap w:val="0"/>
                  <w:vAlign w:val="center"/>
                </w:tcPr>
                <w:p>
                  <w:pPr>
                    <w:jc w:val="center"/>
                    <w:rPr>
                      <w:rFonts w:ascii="Times New Roman" w:hAnsi="Times New Roman" w:eastAsia="宋体" w:cs="Times New Roman"/>
                      <w:bCs/>
                      <w:color w:val="000000"/>
                      <w:sz w:val="21"/>
                      <w:szCs w:val="21"/>
                      <w:highlight w:val="none"/>
                      <w:u w:val="single"/>
                      <w:lang w:eastAsia="zh-CN"/>
                    </w:rPr>
                  </w:pPr>
                  <w:r>
                    <w:rPr>
                      <w:rFonts w:hint="eastAsia" w:cs="Times New Roman"/>
                      <w:bCs/>
                      <w:color w:val="000000"/>
                      <w:sz w:val="21"/>
                      <w:szCs w:val="21"/>
                      <w:highlight w:val="none"/>
                      <w:u w:val="single"/>
                      <w:lang w:val="en-US" w:eastAsia="zh-CN"/>
                    </w:rPr>
                    <w:t>3</w:t>
                  </w:r>
                </w:p>
              </w:tc>
              <w:tc>
                <w:tcPr>
                  <w:tcW w:w="844" w:type="dxa"/>
                  <w:noWrap w:val="0"/>
                  <w:vAlign w:val="center"/>
                </w:tcPr>
                <w:p>
                  <w:pPr>
                    <w:jc w:val="center"/>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沿线受影响集中居民区</w:t>
                  </w:r>
                </w:p>
              </w:tc>
              <w:tc>
                <w:tcPr>
                  <w:tcW w:w="6483" w:type="dxa"/>
                  <w:noWrap w:val="0"/>
                  <w:vAlign w:val="top"/>
                </w:tcPr>
                <w:p>
                  <w:pPr>
                    <w:keepNext w:val="0"/>
                    <w:keepLines w:val="0"/>
                    <w:pageBreakBefore w:val="0"/>
                    <w:widowControl w:val="0"/>
                    <w:spacing w:line="240" w:lineRule="auto"/>
                    <w:ind w:left="0" w:right="0" w:firstLine="6"/>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施工场地是否合理安排，应尽量远离学校、医院、集中居民区；</w:t>
                  </w:r>
                </w:p>
                <w:p>
                  <w:pPr>
                    <w:keepNext w:val="0"/>
                    <w:keepLines w:val="0"/>
                    <w:pageBreakBefore w:val="0"/>
                    <w:widowControl w:val="0"/>
                    <w:spacing w:line="240" w:lineRule="auto"/>
                    <w:ind w:left="0" w:right="0" w:firstLine="6"/>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施工车辆在夜间施工时，要采取减速缓行、禁止鸣笛等措施；</w:t>
                  </w:r>
                </w:p>
                <w:p>
                  <w:pPr>
                    <w:keepNext w:val="0"/>
                    <w:keepLines w:val="0"/>
                    <w:pageBreakBefore w:val="0"/>
                    <w:widowControl w:val="0"/>
                    <w:spacing w:line="240" w:lineRule="auto"/>
                    <w:ind w:left="0" w:right="0" w:firstLine="6"/>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施工时间安排是否合理，夜间是否施工，是否在夜间进行打桩等高噪声施工作业</w:t>
                  </w:r>
                  <w:r>
                    <w:rPr>
                      <w:rFonts w:hint="eastAsia" w:ascii="Times New Roman" w:hAnsi="Times New Roman" w:eastAsia="宋体" w:cs="Times New Roman"/>
                      <w:bCs/>
                      <w:color w:val="000000"/>
                      <w:sz w:val="21"/>
                      <w:szCs w:val="21"/>
                      <w:highlight w:val="none"/>
                      <w:u w:val="single"/>
                      <w:lang w:eastAsia="zh-CN"/>
                    </w:rPr>
                    <w:t>；</w:t>
                  </w:r>
                </w:p>
                <w:p>
                  <w:pPr>
                    <w:keepNext w:val="0"/>
                    <w:keepLines w:val="0"/>
                    <w:pageBreakBefore w:val="0"/>
                    <w:widowControl w:val="0"/>
                    <w:spacing w:line="240" w:lineRule="auto"/>
                    <w:ind w:left="0" w:right="0" w:firstLine="6"/>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施工过程中是否根据施工进展进行噪声监测，有无发现施工噪声超标并对附近居民点产生影响，并及时采取有效的噪声污染防治措施。</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Ex>
              <w:trPr>
                <w:trHeight w:val="1659" w:hRule="exact"/>
                <w:jc w:val="center"/>
              </w:trPr>
              <w:tc>
                <w:tcPr>
                  <w:tcW w:w="566" w:type="dxa"/>
                  <w:noWrap w:val="0"/>
                  <w:vAlign w:val="center"/>
                </w:tcPr>
                <w:p>
                  <w:pPr>
                    <w:jc w:val="center"/>
                    <w:rPr>
                      <w:rFonts w:hint="default" w:ascii="Times New Roman" w:hAnsi="Times New Roman" w:eastAsia="宋体" w:cs="Times New Roman"/>
                      <w:bCs/>
                      <w:color w:val="000000"/>
                      <w:sz w:val="21"/>
                      <w:szCs w:val="21"/>
                      <w:highlight w:val="none"/>
                      <w:u w:val="single"/>
                      <w:lang w:val="en-US" w:eastAsia="zh-CN"/>
                    </w:rPr>
                  </w:pPr>
                  <w:r>
                    <w:rPr>
                      <w:rFonts w:hint="eastAsia" w:cs="Times New Roman"/>
                      <w:bCs/>
                      <w:color w:val="000000"/>
                      <w:sz w:val="21"/>
                      <w:szCs w:val="21"/>
                      <w:highlight w:val="none"/>
                      <w:u w:val="single"/>
                      <w:lang w:val="en-US" w:eastAsia="zh-CN"/>
                    </w:rPr>
                    <w:t>4</w:t>
                  </w:r>
                </w:p>
              </w:tc>
              <w:tc>
                <w:tcPr>
                  <w:tcW w:w="844" w:type="dxa"/>
                  <w:noWrap w:val="0"/>
                  <w:vAlign w:val="center"/>
                </w:tcPr>
                <w:p>
                  <w:pPr>
                    <w:jc w:val="center"/>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其它共同监理事项</w:t>
                  </w:r>
                </w:p>
              </w:tc>
              <w:tc>
                <w:tcPr>
                  <w:tcW w:w="6483" w:type="dxa"/>
                  <w:noWrap w:val="0"/>
                  <w:vAlign w:val="top"/>
                </w:tcPr>
                <w:p>
                  <w:pPr>
                    <w:keepNext w:val="0"/>
                    <w:keepLines w:val="0"/>
                    <w:pageBreakBefore w:val="0"/>
                    <w:widowControl w:val="0"/>
                    <w:spacing w:line="240" w:lineRule="auto"/>
                    <w:ind w:left="0" w:right="0" w:firstLine="1"/>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监督施工人员有无砍伐、破坏施工区以外的植被和作物，有无伤害野生动物，破坏生态的行为；</w:t>
                  </w:r>
                </w:p>
                <w:p>
                  <w:pPr>
                    <w:keepNext w:val="0"/>
                    <w:keepLines w:val="0"/>
                    <w:pageBreakBefore w:val="0"/>
                    <w:widowControl w:val="0"/>
                    <w:spacing w:line="240" w:lineRule="auto"/>
                    <w:ind w:left="0" w:right="0" w:firstLine="1"/>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监督施工单位在施工期间，所采取的交通分流、交通管制等保障交通畅通的措施是否的合理；</w:t>
                  </w:r>
                </w:p>
                <w:p>
                  <w:pPr>
                    <w:keepNext w:val="0"/>
                    <w:keepLines w:val="0"/>
                    <w:pageBreakBefore w:val="0"/>
                    <w:widowControl w:val="0"/>
                    <w:spacing w:line="240" w:lineRule="auto"/>
                    <w:ind w:left="0" w:right="0" w:firstLine="1"/>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eastAsia="zh-CN"/>
                    </w:rPr>
                    <w:t>监督沿线植被恢复、绿化情况；</w:t>
                  </w:r>
                </w:p>
                <w:p>
                  <w:pPr>
                    <w:keepNext w:val="0"/>
                    <w:keepLines w:val="0"/>
                    <w:pageBreakBefore w:val="0"/>
                    <w:widowControl w:val="0"/>
                    <w:spacing w:line="240" w:lineRule="auto"/>
                    <w:ind w:left="0" w:right="0" w:firstLine="1"/>
                    <w:jc w:val="both"/>
                    <w:outlineLvl w:val="9"/>
                    <w:rPr>
                      <w:rFonts w:ascii="Times New Roman" w:hAnsi="Times New Roman" w:eastAsia="宋体" w:cs="Times New Roman"/>
                      <w:bCs/>
                      <w:color w:val="000000"/>
                      <w:sz w:val="21"/>
                      <w:szCs w:val="21"/>
                      <w:highlight w:val="none"/>
                      <w:u w:val="single"/>
                      <w:lang w:eastAsia="zh-CN"/>
                    </w:rPr>
                  </w:pPr>
                  <w:r>
                    <w:rPr>
                      <w:rFonts w:ascii="Times New Roman" w:hAnsi="Times New Roman" w:eastAsia="宋体" w:cs="Times New Roman"/>
                      <w:bCs/>
                      <w:color w:val="000000"/>
                      <w:sz w:val="21"/>
                      <w:szCs w:val="21"/>
                      <w:highlight w:val="none"/>
                      <w:u w:val="single"/>
                      <w:lang w:val="en-US" w:eastAsia="zh-CN"/>
                    </w:rPr>
                    <w:t>施工期加强管理，</w:t>
                  </w:r>
                  <w:r>
                    <w:rPr>
                      <w:rFonts w:hint="eastAsia" w:ascii="Times New Roman" w:hAnsi="Times New Roman" w:eastAsia="宋体" w:cs="Times New Roman"/>
                      <w:bCs/>
                      <w:color w:val="000000"/>
                      <w:sz w:val="21"/>
                      <w:szCs w:val="21"/>
                      <w:highlight w:val="none"/>
                      <w:u w:val="single"/>
                      <w:lang w:val="en-US" w:eastAsia="zh-CN"/>
                    </w:rPr>
                    <w:t>严格控制施工范围，禁止在</w:t>
                  </w:r>
                  <w:r>
                    <w:rPr>
                      <w:rFonts w:ascii="Times New Roman" w:hAnsi="Times New Roman" w:eastAsia="宋体" w:cs="Times New Roman"/>
                      <w:bCs/>
                      <w:color w:val="000000"/>
                      <w:sz w:val="21"/>
                      <w:szCs w:val="21"/>
                      <w:highlight w:val="none"/>
                      <w:u w:val="single"/>
                      <w:lang w:val="en-US" w:eastAsia="zh-CN"/>
                    </w:rPr>
                    <w:t>在</w:t>
                  </w:r>
                  <w:r>
                    <w:rPr>
                      <w:rFonts w:hint="eastAsia" w:cs="Times New Roman"/>
                      <w:bCs/>
                      <w:color w:val="000000"/>
                      <w:sz w:val="21"/>
                      <w:szCs w:val="21"/>
                      <w:highlight w:val="none"/>
                      <w:u w:val="single"/>
                      <w:lang w:val="en-US" w:eastAsia="zh-CN"/>
                    </w:rPr>
                    <w:t>道路</w:t>
                  </w:r>
                  <w:r>
                    <w:rPr>
                      <w:rFonts w:ascii="Times New Roman" w:hAnsi="Times New Roman" w:eastAsia="宋体" w:cs="Times New Roman"/>
                      <w:bCs/>
                      <w:color w:val="000000"/>
                      <w:sz w:val="21"/>
                      <w:szCs w:val="21"/>
                      <w:highlight w:val="none"/>
                      <w:u w:val="single"/>
                      <w:lang w:val="en-US" w:eastAsia="zh-CN"/>
                    </w:rPr>
                    <w:t>红线范围</w:t>
                  </w:r>
                  <w:r>
                    <w:rPr>
                      <w:rFonts w:hint="eastAsia" w:ascii="Times New Roman" w:hAnsi="Times New Roman" w:eastAsia="宋体" w:cs="Times New Roman"/>
                      <w:bCs/>
                      <w:color w:val="000000"/>
                      <w:sz w:val="21"/>
                      <w:szCs w:val="21"/>
                      <w:highlight w:val="none"/>
                      <w:u w:val="single"/>
                      <w:lang w:val="en-US" w:eastAsia="zh-CN"/>
                    </w:rPr>
                    <w:t>外</w:t>
                  </w:r>
                  <w:r>
                    <w:rPr>
                      <w:rFonts w:ascii="Times New Roman" w:hAnsi="Times New Roman" w:eastAsia="宋体" w:cs="Times New Roman"/>
                      <w:bCs/>
                      <w:color w:val="000000"/>
                      <w:sz w:val="21"/>
                      <w:szCs w:val="21"/>
                      <w:highlight w:val="none"/>
                      <w:u w:val="single"/>
                      <w:lang w:val="en-US" w:eastAsia="zh-CN"/>
                    </w:rPr>
                    <w:t>施工。</w:t>
                  </w:r>
                </w:p>
              </w:tc>
            </w:tr>
          </w:tbl>
          <w:p>
            <w:pPr>
              <w:pStyle w:val="250"/>
              <w:ind w:left="0" w:firstLine="0"/>
              <w:rPr>
                <w:rFonts w:hint="eastAsia" w:ascii="Times New Roman" w:hAnsi="Times New Roman" w:eastAsia="宋体" w:cs="Times New Roman"/>
                <w:color w:val="00000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28" w:type="dxa"/>
            <w:bottom w:w="0" w:type="dxa"/>
            <w:right w:w="28" w:type="dxa"/>
          </w:tblCellMar>
        </w:tblPrEx>
        <w:trPr>
          <w:trHeight w:val="4442" w:hRule="atLeast"/>
          <w:jc w:val="center"/>
        </w:trPr>
        <w:tc>
          <w:tcPr>
            <w:tcW w:w="401" w:type="dxa"/>
            <w:noWrap w:val="0"/>
            <w:tcMar>
              <w:left w:w="28" w:type="dxa"/>
              <w:right w:w="28" w:type="dxa"/>
            </w:tcMar>
            <w:vAlign w:val="center"/>
          </w:tcPr>
          <w:p>
            <w:pPr>
              <w:keepNext w:val="0"/>
              <w:keepLines w:val="0"/>
              <w:pageBreakBefore w:val="0"/>
              <w:widowControl w:val="0"/>
              <w:spacing w:line="440" w:lineRule="exact"/>
              <w:jc w:val="center"/>
              <w:rPr>
                <w:rFonts w:ascii="宋体" w:hAnsi="宋体" w:cs="宋体"/>
                <w:bCs/>
                <w:color w:val="000000"/>
                <w:spacing w:val="10"/>
                <w:sz w:val="21"/>
                <w:szCs w:val="21"/>
                <w:highlight w:val="none"/>
              </w:rPr>
            </w:pPr>
            <w:r>
              <w:rPr>
                <w:rFonts w:hint="eastAsia" w:ascii="宋体" w:hAnsi="宋体" w:cs="宋体"/>
                <w:bCs/>
                <w:color w:val="000000"/>
                <w:spacing w:val="10"/>
                <w:sz w:val="21"/>
                <w:szCs w:val="21"/>
                <w:highlight w:val="none"/>
              </w:rPr>
              <w:t>运营期生态环境保护措施</w:t>
            </w:r>
          </w:p>
        </w:tc>
        <w:tc>
          <w:tcPr>
            <w:tcW w:w="7959" w:type="dxa"/>
            <w:noWrap w:val="0"/>
            <w:vAlign w:val="top"/>
          </w:tcPr>
          <w:p>
            <w:pPr>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5.7</w:t>
            </w:r>
            <w:r>
              <w:rPr>
                <w:rFonts w:hint="eastAsia" w:cs="Times New Roman"/>
                <w:b/>
                <w:color w:val="000000"/>
                <w:sz w:val="21"/>
                <w:szCs w:val="21"/>
                <w:highlight w:val="none"/>
                <w:lang w:val="en-US" w:eastAsia="zh-CN" w:bidi="ar"/>
              </w:rPr>
              <w:t xml:space="preserve"> 运营期生态</w:t>
            </w:r>
            <w:r>
              <w:rPr>
                <w:rFonts w:hint="eastAsia" w:ascii="Times New Roman" w:hAnsi="Times New Roman" w:eastAsia="宋体" w:cs="Times New Roman"/>
                <w:b/>
                <w:color w:val="000000"/>
                <w:sz w:val="21"/>
                <w:szCs w:val="21"/>
                <w:highlight w:val="none"/>
                <w:lang w:eastAsia="zh-CN" w:bidi="ar"/>
              </w:rPr>
              <w:t>环境</w:t>
            </w:r>
            <w:r>
              <w:rPr>
                <w:rFonts w:hint="eastAsia" w:cs="Times New Roman"/>
                <w:b/>
                <w:color w:val="000000"/>
                <w:sz w:val="21"/>
                <w:szCs w:val="21"/>
                <w:highlight w:val="none"/>
                <w:lang w:val="en-US" w:eastAsia="zh-CN" w:bidi="ar"/>
              </w:rPr>
              <w:t>保护</w:t>
            </w:r>
            <w:r>
              <w:rPr>
                <w:rFonts w:hint="eastAsia" w:ascii="Times New Roman" w:hAnsi="Times New Roman" w:eastAsia="宋体" w:cs="Times New Roman"/>
                <w:b/>
                <w:color w:val="000000"/>
                <w:sz w:val="21"/>
                <w:szCs w:val="21"/>
                <w:highlight w:val="none"/>
                <w:lang w:eastAsia="zh-CN" w:bidi="ar"/>
              </w:rPr>
              <w:t>措施</w:t>
            </w:r>
          </w:p>
          <w:p>
            <w:pPr>
              <w:keepNext w:val="0"/>
              <w:keepLines w:val="0"/>
              <w:pageBreakBefore w:val="0"/>
              <w:kinsoku/>
              <w:wordWrap/>
              <w:overflowPunct/>
              <w:topLinePunct w:val="0"/>
              <w:autoSpaceDE/>
              <w:autoSpaceDN/>
              <w:bidi w:val="0"/>
              <w:adjustRightInd w:val="0"/>
              <w:snapToGrid w:val="0"/>
              <w:spacing w:line="360" w:lineRule="auto"/>
              <w:ind w:firstLine="470"/>
              <w:textAlignment w:val="auto"/>
              <w:rPr>
                <w:rFonts w:ascii="Times New Roman" w:hAnsi="Times New Roman" w:eastAsia="宋体" w:cs="Times New Roman"/>
                <w:color w:val="000000"/>
                <w:sz w:val="21"/>
                <w:szCs w:val="21"/>
                <w:highlight w:val="none"/>
                <w:lang w:bidi="ar"/>
              </w:rPr>
            </w:pPr>
            <w:r>
              <w:rPr>
                <w:rFonts w:hint="eastAsia" w:ascii="Times New Roman" w:hAnsi="Times New Roman" w:eastAsia="宋体" w:cs="Times New Roman"/>
                <w:color w:val="000000"/>
                <w:sz w:val="21"/>
                <w:szCs w:val="21"/>
                <w:highlight w:val="none"/>
                <w:lang w:bidi="ar"/>
              </w:rPr>
              <w:t>项目道路红线范围内种植绿化、行道树，加强营运期的路线绿化植被维护和管理，保证绿化树种的成活率，并制定相应的环境管理制度</w:t>
            </w:r>
            <w:r>
              <w:rPr>
                <w:rFonts w:ascii="Times New Roman" w:hAnsi="Times New Roman" w:eastAsia="宋体" w:cs="Times New Roman"/>
                <w:color w:val="000000"/>
                <w:sz w:val="21"/>
                <w:szCs w:val="21"/>
                <w:highlight w:val="none"/>
                <w:lang w:bidi="ar"/>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5.8</w:t>
            </w:r>
            <w:r>
              <w:rPr>
                <w:rFonts w:hint="eastAsia" w:cs="Times New Roman"/>
                <w:b/>
                <w:color w:val="000000"/>
                <w:sz w:val="21"/>
                <w:szCs w:val="21"/>
                <w:highlight w:val="none"/>
                <w:lang w:val="en-US" w:eastAsia="zh-CN" w:bidi="ar"/>
              </w:rPr>
              <w:t xml:space="preserve"> 运营期水</w:t>
            </w:r>
            <w:r>
              <w:rPr>
                <w:rFonts w:hint="eastAsia" w:ascii="Times New Roman" w:hAnsi="Times New Roman" w:eastAsia="宋体" w:cs="Times New Roman"/>
                <w:b/>
                <w:color w:val="000000"/>
                <w:sz w:val="21"/>
                <w:szCs w:val="21"/>
                <w:highlight w:val="none"/>
                <w:lang w:eastAsia="zh-CN" w:bidi="ar"/>
              </w:rPr>
              <w:t>环境</w:t>
            </w:r>
            <w:r>
              <w:rPr>
                <w:rFonts w:hint="eastAsia" w:cs="Times New Roman"/>
                <w:b/>
                <w:color w:val="000000"/>
                <w:sz w:val="21"/>
                <w:szCs w:val="21"/>
                <w:highlight w:val="none"/>
                <w:lang w:val="en-US" w:eastAsia="zh-CN" w:bidi="ar"/>
              </w:rPr>
              <w:t>保护</w:t>
            </w:r>
            <w:r>
              <w:rPr>
                <w:rFonts w:hint="eastAsia" w:ascii="Times New Roman" w:hAnsi="Times New Roman" w:eastAsia="宋体" w:cs="Times New Roman"/>
                <w:b/>
                <w:color w:val="000000"/>
                <w:sz w:val="21"/>
                <w:szCs w:val="21"/>
                <w:highlight w:val="none"/>
                <w:lang w:eastAsia="zh-CN" w:bidi="ar"/>
              </w:rPr>
              <w:t>措施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jc w:val="left"/>
              <w:textAlignment w:val="auto"/>
              <w:rPr>
                <w:rFonts w:hint="eastAsia" w:eastAsia="宋体"/>
                <w:color w:val="000000"/>
                <w:sz w:val="21"/>
                <w:szCs w:val="21"/>
                <w:highlight w:val="none"/>
                <w:lang w:eastAsia="zh-CN"/>
              </w:rPr>
            </w:pPr>
            <w:r>
              <w:rPr>
                <w:rFonts w:hint="eastAsia" w:eastAsia="宋体"/>
                <w:color w:val="000000"/>
                <w:sz w:val="21"/>
                <w:szCs w:val="21"/>
                <w:highlight w:val="none"/>
                <w:lang w:eastAsia="zh-CN"/>
              </w:rPr>
              <w:t>（1）加强道路排水系统的日常维护工作，定期疏通清淤，按时按质检修，确保排水畅通；</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jc w:val="left"/>
              <w:textAlignment w:val="auto"/>
              <w:rPr>
                <w:rFonts w:hint="eastAsia" w:eastAsia="宋体"/>
                <w:color w:val="000000"/>
                <w:sz w:val="21"/>
                <w:szCs w:val="21"/>
                <w:highlight w:val="none"/>
                <w:lang w:eastAsia="zh-CN"/>
              </w:rPr>
            </w:pPr>
            <w:r>
              <w:rPr>
                <w:rFonts w:hint="eastAsia" w:eastAsia="宋体"/>
                <w:color w:val="000000"/>
                <w:sz w:val="21"/>
                <w:szCs w:val="21"/>
                <w:highlight w:val="none"/>
                <w:lang w:eastAsia="zh-CN"/>
              </w:rPr>
              <w:t>（2）严禁各种泄漏、散装超载的车辆上路，装载煤、石灰、水泥、土方等易起尘的散货，必须加蓬覆盖后才能上路行驶，防止撒落的材料经雨水冲刷后造成水体污染；</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jc w:val="left"/>
              <w:textAlignment w:val="auto"/>
              <w:rPr>
                <w:rFonts w:hint="eastAsia" w:eastAsia="宋体"/>
                <w:color w:val="000000"/>
                <w:sz w:val="21"/>
                <w:szCs w:val="21"/>
                <w:highlight w:val="none"/>
                <w:lang w:eastAsia="zh-CN"/>
              </w:rPr>
            </w:pPr>
            <w:r>
              <w:rPr>
                <w:rFonts w:hint="eastAsia" w:eastAsia="宋体"/>
                <w:color w:val="000000"/>
                <w:sz w:val="21"/>
                <w:szCs w:val="21"/>
                <w:highlight w:val="none"/>
                <w:lang w:eastAsia="zh-CN"/>
              </w:rPr>
              <w:t>（3）加强对漏油车辆、装载易散失物资车辆的管理。</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jc w:val="left"/>
              <w:textAlignment w:val="auto"/>
              <w:rPr>
                <w:rFonts w:hint="eastAsia"/>
                <w:color w:val="000000"/>
                <w:sz w:val="21"/>
                <w:szCs w:val="21"/>
                <w:highlight w:val="none"/>
                <w:lang w:val="en-US" w:eastAsia="zh-CN"/>
              </w:rPr>
            </w:pPr>
            <w:r>
              <w:rPr>
                <w:rFonts w:hint="eastAsia"/>
                <w:color w:val="000000"/>
                <w:sz w:val="21"/>
                <w:szCs w:val="21"/>
                <w:highlight w:val="none"/>
                <w:lang w:eastAsia="zh-CN"/>
              </w:rPr>
              <w:t>（</w:t>
            </w:r>
            <w:r>
              <w:rPr>
                <w:rFonts w:hint="eastAsia"/>
                <w:color w:val="000000"/>
                <w:sz w:val="21"/>
                <w:szCs w:val="21"/>
                <w:highlight w:val="none"/>
                <w:lang w:val="en-US" w:eastAsia="zh-CN"/>
              </w:rPr>
              <w:t>4</w:t>
            </w:r>
            <w:r>
              <w:rPr>
                <w:rFonts w:hint="eastAsia"/>
                <w:color w:val="000000"/>
                <w:sz w:val="21"/>
                <w:szCs w:val="21"/>
                <w:highlight w:val="none"/>
                <w:lang w:eastAsia="zh-CN"/>
              </w:rPr>
              <w:t>）</w:t>
            </w:r>
            <w:r>
              <w:rPr>
                <w:rFonts w:hint="eastAsia"/>
                <w:color w:val="000000"/>
                <w:sz w:val="21"/>
                <w:szCs w:val="21"/>
                <w:highlight w:val="none"/>
                <w:lang w:val="en-US" w:eastAsia="zh-CN"/>
              </w:rPr>
              <w:t>加强路面环境卫生清扫</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jc w:val="left"/>
              <w:textAlignment w:val="auto"/>
              <w:rPr>
                <w:rFonts w:hint="default" w:eastAsia="宋体"/>
                <w:color w:val="000000"/>
                <w:sz w:val="21"/>
                <w:szCs w:val="21"/>
                <w:highlight w:val="none"/>
                <w:u w:val="single"/>
                <w:lang w:val="en-US" w:eastAsia="zh-CN"/>
              </w:rPr>
            </w:pPr>
            <w:r>
              <w:rPr>
                <w:rFonts w:hint="eastAsia"/>
                <w:color w:val="000000"/>
                <w:sz w:val="21"/>
                <w:szCs w:val="21"/>
                <w:highlight w:val="none"/>
                <w:u w:val="single"/>
                <w:lang w:val="en-US" w:eastAsia="zh-CN"/>
              </w:rPr>
              <w:t>（5）通向潇水雨水排放口设置紧急切断阀门，防止事故下废水的排放。</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imes New Roman" w:hAnsi="Times New Roman" w:eastAsia="宋体" w:cs="Times New Roman"/>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5.9</w:t>
            </w:r>
            <w:r>
              <w:rPr>
                <w:rFonts w:hint="eastAsia" w:cs="Times New Roman"/>
                <w:b/>
                <w:color w:val="000000"/>
                <w:sz w:val="21"/>
                <w:szCs w:val="21"/>
                <w:highlight w:val="none"/>
                <w:lang w:val="en-US" w:eastAsia="zh-CN" w:bidi="ar"/>
              </w:rPr>
              <w:t>运营期大气</w:t>
            </w:r>
            <w:r>
              <w:rPr>
                <w:rFonts w:hint="eastAsia" w:ascii="Times New Roman" w:hAnsi="Times New Roman" w:eastAsia="宋体" w:cs="Times New Roman"/>
                <w:b/>
                <w:color w:val="000000"/>
                <w:sz w:val="21"/>
                <w:szCs w:val="21"/>
                <w:highlight w:val="none"/>
                <w:lang w:eastAsia="zh-CN" w:bidi="ar"/>
              </w:rPr>
              <w:t>环境</w:t>
            </w:r>
            <w:r>
              <w:rPr>
                <w:rFonts w:hint="eastAsia" w:cs="Times New Roman"/>
                <w:b/>
                <w:color w:val="000000"/>
                <w:sz w:val="21"/>
                <w:szCs w:val="21"/>
                <w:highlight w:val="none"/>
                <w:lang w:val="en-US" w:eastAsia="zh-CN" w:bidi="ar"/>
              </w:rPr>
              <w:t>保护</w:t>
            </w:r>
            <w:r>
              <w:rPr>
                <w:rFonts w:hint="eastAsia" w:ascii="Times New Roman" w:hAnsi="Times New Roman" w:eastAsia="宋体" w:cs="Times New Roman"/>
                <w:b/>
                <w:color w:val="000000"/>
                <w:sz w:val="21"/>
                <w:szCs w:val="21"/>
                <w:highlight w:val="none"/>
                <w:lang w:eastAsia="zh-CN" w:bidi="ar"/>
              </w:rPr>
              <w:t>措施</w:t>
            </w:r>
          </w:p>
          <w:p>
            <w:pPr>
              <w:pStyle w:val="199"/>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（1）加强交通管理，规定车速范围，保持车流畅通，减少事故发生；</w:t>
            </w:r>
          </w:p>
          <w:p>
            <w:pPr>
              <w:pStyle w:val="199"/>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（2）路面及时洒水清扫，防止路面扬尘产生造成大气污染；</w:t>
            </w:r>
          </w:p>
          <w:p>
            <w:pPr>
              <w:pStyle w:val="199"/>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（3）禁止尾气污染物超标排放机动车通行，支持配合当地政府做好机动车尾气污染控制；</w:t>
            </w:r>
          </w:p>
          <w:p>
            <w:pPr>
              <w:pStyle w:val="199"/>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（4）加强绿化措施，有针对性的优化绿化树种、结构和层次，提高绿化防治效果；</w:t>
            </w:r>
          </w:p>
          <w:p>
            <w:pPr>
              <w:pStyle w:val="199"/>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（5）加强道路管理及路面养护，保持道路良好运营状态；加强运输散装物资车辆的管理，特别是运输散体材料的车辆必须加盖篷布</w:t>
            </w:r>
            <w:r>
              <w:rPr>
                <w:rFonts w:ascii="Times New Roman" w:hAnsi="Times New Roman" w:eastAsia="宋体" w:cs="Times New Roman"/>
                <w:color w:val="000000"/>
                <w:sz w:val="21"/>
                <w:szCs w:val="21"/>
                <w:highlight w:val="none"/>
              </w:rPr>
              <w:t>。</w:t>
            </w:r>
          </w:p>
          <w:p>
            <w:pPr>
              <w:keepNext w:val="0"/>
              <w:keepLines w:val="0"/>
              <w:pageBreakBefore w:val="0"/>
              <w:spacing w:line="360" w:lineRule="auto"/>
              <w:rPr>
                <w:rFonts w:ascii="Times New Roman" w:hAnsi="Times New Roman" w:eastAsia="宋体" w:cs="Times New Roman"/>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5.10</w:t>
            </w:r>
            <w:r>
              <w:rPr>
                <w:rFonts w:hint="eastAsia" w:cs="Times New Roman"/>
                <w:b/>
                <w:color w:val="000000"/>
                <w:sz w:val="21"/>
                <w:szCs w:val="21"/>
                <w:highlight w:val="none"/>
                <w:lang w:val="en-US" w:eastAsia="zh-CN" w:bidi="ar"/>
              </w:rPr>
              <w:t xml:space="preserve"> 运营期声</w:t>
            </w:r>
            <w:r>
              <w:rPr>
                <w:rFonts w:hint="eastAsia" w:ascii="Times New Roman" w:hAnsi="Times New Roman" w:eastAsia="宋体" w:cs="Times New Roman"/>
                <w:b/>
                <w:color w:val="000000"/>
                <w:sz w:val="21"/>
                <w:szCs w:val="21"/>
                <w:highlight w:val="none"/>
                <w:lang w:eastAsia="zh-CN" w:bidi="ar"/>
              </w:rPr>
              <w:t>环境</w:t>
            </w:r>
            <w:r>
              <w:rPr>
                <w:rFonts w:hint="eastAsia" w:cs="Times New Roman"/>
                <w:b/>
                <w:color w:val="000000"/>
                <w:sz w:val="21"/>
                <w:szCs w:val="21"/>
                <w:highlight w:val="none"/>
                <w:lang w:val="en-US" w:eastAsia="zh-CN" w:bidi="ar"/>
              </w:rPr>
              <w:t>保护</w:t>
            </w:r>
            <w:r>
              <w:rPr>
                <w:rFonts w:hint="eastAsia" w:ascii="Times New Roman" w:hAnsi="Times New Roman" w:eastAsia="宋体" w:cs="Times New Roman"/>
                <w:b/>
                <w:color w:val="000000"/>
                <w:sz w:val="21"/>
                <w:szCs w:val="21"/>
                <w:highlight w:val="none"/>
                <w:lang w:eastAsia="zh-CN" w:bidi="ar"/>
              </w:rPr>
              <w:t>措施</w:t>
            </w:r>
          </w:p>
          <w:p>
            <w:pPr>
              <w:pStyle w:val="199"/>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bidi="ar"/>
              </w:rPr>
              <w:t>（</w:t>
            </w:r>
            <w:r>
              <w:rPr>
                <w:rFonts w:hint="eastAsia" w:ascii="Times New Roman" w:hAnsi="Times New Roman" w:eastAsia="宋体" w:cs="Times New Roman"/>
                <w:color w:val="000000"/>
                <w:sz w:val="21"/>
                <w:szCs w:val="21"/>
                <w:highlight w:val="none"/>
                <w:lang w:val="en-US" w:eastAsia="zh-CN"/>
              </w:rPr>
              <w:t>1）加强道路交通管理，限制车况差、超载的车辆进入，可以有效降低交通噪声污染源强；</w:t>
            </w:r>
          </w:p>
          <w:p>
            <w:pPr>
              <w:pStyle w:val="199"/>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（2）加强道路通车后的路面养护工作，维持道路路面的平整度，避免因路况不佳造成车辆颠簸而引起交通噪声；</w:t>
            </w:r>
          </w:p>
          <w:p>
            <w:pPr>
              <w:pStyle w:val="199"/>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（3）针对运营期噪声预测结果，采取全线改性沥青低噪声路面、新建建筑由开发商设置隔声窗、加强绿化等措施；</w:t>
            </w:r>
          </w:p>
          <w:p>
            <w:pPr>
              <w:pStyle w:val="199"/>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噪声章节内容</w:t>
            </w:r>
            <w:r>
              <w:rPr>
                <w:rFonts w:hint="eastAsia" w:ascii="Times New Roman" w:hAnsi="Times New Roman" w:eastAsia="宋体" w:cs="Times New Roman"/>
                <w:color w:val="000000"/>
                <w:sz w:val="21"/>
                <w:szCs w:val="21"/>
                <w:highlight w:val="none"/>
                <w:lang w:val="en-US" w:eastAsia="zh-CN"/>
              </w:rPr>
              <w:t>详见声环境影响专项评价。</w:t>
            </w:r>
          </w:p>
          <w:p>
            <w:pPr>
              <w:keepNext w:val="0"/>
              <w:keepLines w:val="0"/>
              <w:pageBreakBefore w:val="0"/>
              <w:spacing w:line="360" w:lineRule="auto"/>
              <w:rPr>
                <w:rFonts w:ascii="Times New Roman" w:hAnsi="Times New Roman" w:eastAsia="宋体" w:cs="Times New Roman"/>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5.11</w:t>
            </w:r>
            <w:r>
              <w:rPr>
                <w:rFonts w:hint="eastAsia" w:cs="Times New Roman"/>
                <w:b/>
                <w:color w:val="000000"/>
                <w:sz w:val="21"/>
                <w:szCs w:val="21"/>
                <w:highlight w:val="none"/>
                <w:lang w:val="en-US" w:eastAsia="zh-CN" w:bidi="ar"/>
              </w:rPr>
              <w:t xml:space="preserve"> 运营期固体废物</w:t>
            </w:r>
            <w:r>
              <w:rPr>
                <w:rFonts w:hint="eastAsia" w:ascii="Times New Roman" w:hAnsi="Times New Roman" w:eastAsia="宋体" w:cs="Times New Roman"/>
                <w:b/>
                <w:color w:val="000000"/>
                <w:sz w:val="21"/>
                <w:szCs w:val="21"/>
                <w:highlight w:val="none"/>
                <w:lang w:eastAsia="zh-CN" w:bidi="ar"/>
              </w:rPr>
              <w:t>环境</w:t>
            </w:r>
            <w:r>
              <w:rPr>
                <w:rFonts w:hint="eastAsia" w:cs="Times New Roman"/>
                <w:b/>
                <w:color w:val="000000"/>
                <w:sz w:val="21"/>
                <w:szCs w:val="21"/>
                <w:highlight w:val="none"/>
                <w:lang w:val="en-US" w:eastAsia="zh-CN" w:bidi="ar"/>
              </w:rPr>
              <w:t>保护</w:t>
            </w:r>
            <w:r>
              <w:rPr>
                <w:rFonts w:hint="eastAsia" w:ascii="Times New Roman" w:hAnsi="Times New Roman" w:eastAsia="宋体" w:cs="Times New Roman"/>
                <w:b/>
                <w:color w:val="000000"/>
                <w:sz w:val="21"/>
                <w:szCs w:val="21"/>
                <w:highlight w:val="none"/>
                <w:lang w:eastAsia="zh-CN" w:bidi="ar"/>
              </w:rPr>
              <w:t>措施</w:t>
            </w:r>
          </w:p>
          <w:p>
            <w:pPr>
              <w:spacing w:line="360" w:lineRule="auto"/>
              <w:ind w:firstLine="480"/>
              <w:rPr>
                <w:rFonts w:hint="eastAsia" w:ascii="Times New Roman" w:hAnsi="Times New Roman" w:eastAsia="宋体" w:cs="Times New Roman"/>
                <w:color w:val="000000"/>
                <w:sz w:val="21"/>
                <w:szCs w:val="21"/>
                <w:highlight w:val="none"/>
                <w:lang w:eastAsia="zh-CN"/>
              </w:rPr>
            </w:pPr>
            <w:r>
              <w:rPr>
                <w:rFonts w:hint="eastAsia" w:cs="Times New Roman"/>
                <w:color w:val="000000"/>
                <w:sz w:val="21"/>
                <w:szCs w:val="21"/>
                <w:highlight w:val="none"/>
                <w:lang w:val="en-US" w:eastAsia="zh-CN"/>
              </w:rPr>
              <w:t>本项目</w:t>
            </w:r>
            <w:r>
              <w:rPr>
                <w:rFonts w:hint="eastAsia" w:ascii="Times New Roman" w:hAnsi="Times New Roman" w:eastAsia="宋体" w:cs="Times New Roman"/>
                <w:color w:val="000000"/>
                <w:sz w:val="21"/>
                <w:szCs w:val="21"/>
                <w:highlight w:val="none"/>
                <w:lang w:eastAsia="zh-CN"/>
              </w:rPr>
              <w:t>道路不设收费站、服务区，运营期固废主要为司乘人员的生活垃圾。</w:t>
            </w:r>
          </w:p>
          <w:p>
            <w:pPr>
              <w:spacing w:line="360" w:lineRule="auto"/>
              <w:ind w:firstLine="480"/>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（1）建议对经过道路的司乘人员进行环保教育，树立宣传标语，尽可能避免乘客在道路上乱丢饮料袋、易拉罐等垃圾，以保证行车安全和道路的清洁卫生。</w:t>
            </w:r>
          </w:p>
          <w:p>
            <w:pPr>
              <w:spacing w:line="360" w:lineRule="auto"/>
              <w:ind w:firstLine="480"/>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（2）采用分路段到责任人的方式对沿线的固体废物及时进行收集处理，对道路沿线附近居民的生活垃圾定期清运、集中处理，严禁随意向道路沿线丢弃，影响道路沿线环境卫生。</w:t>
            </w:r>
          </w:p>
          <w:p>
            <w:pPr>
              <w:keepNext w:val="0"/>
              <w:keepLines w:val="0"/>
              <w:pageBreakBefore w:val="0"/>
              <w:spacing w:line="360" w:lineRule="auto"/>
              <w:rPr>
                <w:rFonts w:ascii="Times New Roman" w:hAnsi="Times New Roman" w:eastAsia="宋体" w:cs="Times New Roman"/>
                <w:color w:val="000000"/>
                <w:sz w:val="21"/>
                <w:szCs w:val="21"/>
                <w:highlight w:val="none"/>
              </w:rPr>
            </w:pPr>
            <w:r>
              <w:rPr>
                <w:rFonts w:hint="eastAsia" w:ascii="Times New Roman" w:hAnsi="Times New Roman" w:eastAsia="宋体" w:cs="Times New Roman"/>
                <w:b/>
                <w:color w:val="000000"/>
                <w:sz w:val="21"/>
                <w:szCs w:val="21"/>
                <w:highlight w:val="none"/>
                <w:lang w:val="en-US" w:eastAsia="zh-CN" w:bidi="ar"/>
              </w:rPr>
              <w:t>5.1</w:t>
            </w:r>
            <w:r>
              <w:rPr>
                <w:rFonts w:hint="eastAsia" w:cs="Times New Roman"/>
                <w:b/>
                <w:color w:val="000000"/>
                <w:sz w:val="21"/>
                <w:szCs w:val="21"/>
                <w:highlight w:val="none"/>
                <w:lang w:val="en-US" w:eastAsia="zh-CN" w:bidi="ar"/>
              </w:rPr>
              <w:t>2 运营期环境风险防范措施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环境污染事故风险主要来自道路沿线发生的交通事故导致的环境风险，具体而言，是指运输危险化学品的车辆在桥梁上发生交通事故或意外，造成危险化学品倾倒、泄漏等造成环境空气污染和通过路边雨水管道排入沿线附近水体，对道路</w:t>
            </w:r>
            <w:r>
              <w:rPr>
                <w:rFonts w:hint="eastAsia" w:cs="Times New Roman"/>
                <w:color w:val="000000"/>
                <w:sz w:val="21"/>
                <w:szCs w:val="21"/>
                <w:highlight w:val="none"/>
                <w:lang w:val="en-US" w:eastAsia="zh-CN"/>
              </w:rPr>
              <w:t>潇水</w:t>
            </w:r>
            <w:r>
              <w:rPr>
                <w:rFonts w:hint="eastAsia" w:ascii="Times New Roman" w:hAnsi="Times New Roman" w:eastAsia="宋体" w:cs="Times New Roman"/>
                <w:color w:val="000000"/>
                <w:sz w:val="21"/>
                <w:szCs w:val="21"/>
                <w:highlight w:val="none"/>
                <w:lang w:val="en-US" w:eastAsia="zh-CN"/>
              </w:rPr>
              <w:t>造成污染危害。事故危害程度主要取决于事故地点的敏感性，此外还受危险品的毒性、化学性质等影响。本评价要求采取以下风险防范措施：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lang w:val="en-US" w:eastAsia="zh-CN" w:bidi="ar-SA"/>
              </w:rPr>
              <w:t>（4）</w:t>
            </w:r>
            <w:r>
              <w:rPr>
                <w:rFonts w:hint="eastAsia" w:ascii="Times New Roman" w:hAnsi="Times New Roman" w:eastAsia="宋体" w:cs="Times New Roman"/>
                <w:color w:val="000000"/>
                <w:sz w:val="21"/>
                <w:szCs w:val="21"/>
                <w:highlight w:val="none"/>
                <w:lang w:val="en-US" w:eastAsia="zh-CN"/>
              </w:rPr>
              <w:t>防范危险品运输风险事故应严格执行国家和有关部门颁布的危险货物运输相关法规；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lang w:val="en-US" w:eastAsia="zh-CN" w:bidi="ar-SA"/>
              </w:rPr>
              <w:t>（5）</w:t>
            </w:r>
            <w:r>
              <w:rPr>
                <w:rFonts w:hint="eastAsia" w:ascii="Times New Roman" w:hAnsi="Times New Roman" w:eastAsia="宋体" w:cs="Times New Roman"/>
                <w:color w:val="000000"/>
                <w:sz w:val="21"/>
                <w:szCs w:val="21"/>
                <w:highlight w:val="none"/>
                <w:lang w:val="en-US" w:eastAsia="zh-CN"/>
              </w:rPr>
              <w:t>要求危险品运输车辆配备警示标志，车辆必须按规定时速行驶，严禁超速，并保持安全行车距离；</w:t>
            </w:r>
          </w:p>
          <w:p>
            <w:pPr>
              <w:spacing w:line="360" w:lineRule="auto"/>
              <w:ind w:firstLine="480"/>
              <w:rPr>
                <w:rFonts w:ascii="宋体" w:hAnsi="宋体" w:cs="宋体"/>
                <w:bCs/>
                <w:color w:val="000000"/>
                <w:spacing w:val="10"/>
                <w:sz w:val="21"/>
                <w:szCs w:val="21"/>
                <w:highlight w:val="none"/>
              </w:rPr>
            </w:pPr>
            <w:r>
              <w:rPr>
                <w:rFonts w:hint="eastAsia" w:ascii="Times New Roman" w:hAnsi="Times New Roman" w:eastAsia="宋体" w:cs="Times New Roman"/>
                <w:color w:val="000000"/>
                <w:sz w:val="21"/>
                <w:szCs w:val="21"/>
                <w:highlight w:val="none"/>
                <w:lang w:val="en-US" w:eastAsia="zh-CN"/>
              </w:rPr>
              <w:t>交叉口处应设置限速、禁止超载标志。</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28" w:type="dxa"/>
            <w:bottom w:w="0" w:type="dxa"/>
            <w:right w:w="28" w:type="dxa"/>
          </w:tblCellMar>
        </w:tblPrEx>
        <w:trPr>
          <w:trHeight w:val="106" w:hRule="atLeast"/>
          <w:jc w:val="center"/>
        </w:trPr>
        <w:tc>
          <w:tcPr>
            <w:tcW w:w="401" w:type="dxa"/>
            <w:noWrap w:val="0"/>
            <w:vAlign w:val="center"/>
          </w:tcPr>
          <w:p>
            <w:pPr>
              <w:jc w:val="center"/>
              <w:rPr>
                <w:rFonts w:ascii="宋体" w:hAnsi="宋体" w:cs="宋体"/>
                <w:bCs/>
                <w:color w:val="000000"/>
                <w:spacing w:val="10"/>
                <w:sz w:val="21"/>
                <w:szCs w:val="21"/>
                <w:highlight w:val="none"/>
              </w:rPr>
            </w:pPr>
            <w:r>
              <w:rPr>
                <w:rFonts w:hint="eastAsia" w:ascii="宋体" w:hAnsi="宋体"/>
                <w:bCs/>
                <w:color w:val="000000"/>
                <w:sz w:val="21"/>
                <w:szCs w:val="21"/>
                <w:highlight w:val="none"/>
              </w:rPr>
              <w:t>其他</w:t>
            </w:r>
          </w:p>
        </w:tc>
        <w:tc>
          <w:tcPr>
            <w:tcW w:w="7959"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5.13</w:t>
            </w:r>
            <w:r>
              <w:rPr>
                <w:rFonts w:hint="eastAsia" w:cs="Times New Roman"/>
                <w:b/>
                <w:bCs/>
                <w:color w:val="000000"/>
                <w:sz w:val="21"/>
                <w:szCs w:val="21"/>
                <w:highlight w:val="none"/>
                <w:lang w:val="en-US" w:eastAsia="zh-CN"/>
              </w:rPr>
              <w:t xml:space="preserve"> </w:t>
            </w:r>
            <w:r>
              <w:rPr>
                <w:rFonts w:hint="eastAsia" w:ascii="Times New Roman" w:hAnsi="Times New Roman" w:eastAsia="宋体" w:cs="Times New Roman"/>
                <w:b/>
                <w:bCs/>
                <w:color w:val="000000"/>
                <w:sz w:val="21"/>
                <w:szCs w:val="21"/>
                <w:highlight w:val="none"/>
                <w:lang w:val="en-US" w:eastAsia="zh-CN"/>
              </w:rPr>
              <w:t>环境</w:t>
            </w:r>
            <w:r>
              <w:rPr>
                <w:rFonts w:hint="eastAsia" w:cs="Times New Roman"/>
                <w:b/>
                <w:bCs/>
                <w:color w:val="000000"/>
                <w:sz w:val="21"/>
                <w:szCs w:val="21"/>
                <w:highlight w:val="none"/>
                <w:lang w:val="en-US" w:eastAsia="zh-CN"/>
              </w:rPr>
              <w:t>管理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5.13</w:t>
            </w:r>
            <w:r>
              <w:rPr>
                <w:rFonts w:hint="eastAsia" w:cs="Times New Roman"/>
                <w:b/>
                <w:bCs/>
                <w:color w:val="000000"/>
                <w:sz w:val="21"/>
                <w:szCs w:val="21"/>
                <w:highlight w:val="none"/>
                <w:lang w:val="en-US" w:eastAsia="zh-CN"/>
              </w:rPr>
              <w:t xml:space="preserve">.1 </w:t>
            </w:r>
            <w:r>
              <w:rPr>
                <w:rFonts w:hint="eastAsia" w:ascii="Times New Roman" w:hAnsi="Times New Roman" w:eastAsia="宋体" w:cs="Times New Roman"/>
                <w:b/>
                <w:bCs/>
                <w:color w:val="000000"/>
                <w:sz w:val="21"/>
                <w:szCs w:val="21"/>
                <w:highlight w:val="none"/>
                <w:lang w:val="en-US" w:eastAsia="zh-CN"/>
              </w:rPr>
              <w:t>环境</w:t>
            </w:r>
            <w:r>
              <w:rPr>
                <w:rFonts w:hint="eastAsia" w:cs="Times New Roman"/>
                <w:b/>
                <w:bCs/>
                <w:color w:val="000000"/>
                <w:sz w:val="21"/>
                <w:szCs w:val="21"/>
                <w:highlight w:val="none"/>
                <w:lang w:val="en-US" w:eastAsia="zh-CN"/>
              </w:rPr>
              <w:t>管理机构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由建设单位设置环境管理部门，负责项目在设计、施工、营运各个阶段的环境管理资料和审批资料的收集和归档，为项目竣工环保验收提供相关的环保文件资料；负责营运期的环保措施实施与管理工作，委任专职人员管理本项目的环保工作。</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5.13</w:t>
            </w:r>
            <w:r>
              <w:rPr>
                <w:rFonts w:hint="eastAsia" w:cs="Times New Roman"/>
                <w:b/>
                <w:bCs/>
                <w:color w:val="000000"/>
                <w:sz w:val="21"/>
                <w:szCs w:val="21"/>
                <w:highlight w:val="none"/>
                <w:lang w:val="en-US" w:eastAsia="zh-CN"/>
              </w:rPr>
              <w:t>.2 机构人员要求</w:t>
            </w:r>
          </w:p>
          <w:p>
            <w:pPr>
              <w:spacing w:line="360" w:lineRule="auto"/>
              <w:ind w:firstLine="480"/>
              <w:jc w:val="left"/>
              <w:rPr>
                <w:rFonts w:hint="eastAsia" w:ascii="Times New Roman" w:hAnsi="Times New Roman" w:eastAsia="宋体" w:cs="Times New Roman"/>
                <w:color w:val="000000"/>
                <w:sz w:val="21"/>
                <w:szCs w:val="21"/>
                <w:highlight w:val="none"/>
                <w:u w:val="none"/>
                <w:lang w:bidi="ar"/>
              </w:rPr>
            </w:pPr>
            <w:r>
              <w:rPr>
                <w:rFonts w:hint="eastAsia" w:ascii="Times New Roman" w:hAnsi="Times New Roman" w:eastAsia="宋体" w:cs="Times New Roman"/>
                <w:color w:val="000000"/>
                <w:sz w:val="21"/>
                <w:szCs w:val="21"/>
                <w:highlight w:val="none"/>
                <w:u w:val="none"/>
                <w:lang w:bidi="ar"/>
              </w:rPr>
              <w:t>环保管理机构配备必要的专职或兼职人员，负责环境保护工作</w:t>
            </w:r>
            <w:r>
              <w:rPr>
                <w:rFonts w:hint="eastAsia" w:cs="Times New Roman"/>
                <w:color w:val="000000"/>
                <w:sz w:val="21"/>
                <w:szCs w:val="21"/>
                <w:highlight w:val="none"/>
                <w:u w:val="none"/>
                <w:lang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5.13</w:t>
            </w:r>
            <w:r>
              <w:rPr>
                <w:rFonts w:hint="eastAsia" w:cs="Times New Roman"/>
                <w:b/>
                <w:bCs/>
                <w:color w:val="000000"/>
                <w:sz w:val="21"/>
                <w:szCs w:val="21"/>
                <w:highlight w:val="none"/>
                <w:lang w:val="en-US" w:eastAsia="zh-CN"/>
              </w:rPr>
              <w:t>.3 环境保护管理计划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环境保护管理计划由施工期和运营期环境管理计划组成，用于组织实施由本报告中所提出的环境影响减缓措施。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）施工期环境管理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建设单位应组织落实环境监测计划、分析、整理监测结果，并进行有关环保法规的宣传，对有关人员进行环保培训。施工期责任主体人包括建设单位、施工单位和监理单位。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2</w:t>
            </w:r>
            <w:r>
              <w:rPr>
                <w:rFonts w:hint="eastAsia" w:ascii="Times New Roman" w:hAnsi="Times New Roman" w:eastAsia="宋体" w:cs="Times New Roman"/>
                <w:color w:val="000000"/>
                <w:sz w:val="21"/>
                <w:szCs w:val="21"/>
                <w:highlight w:val="none"/>
                <w:lang w:val="en-US" w:eastAsia="zh-CN"/>
              </w:rPr>
              <w:t>）环境保护设施竣工验收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根据《建设项目环境保护管理条例》，本项目的建设应执行污染治理设施与主体工程同时设计、同时施工、同时投产使用的</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三同时</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制度。本建设项目正式投产运营前，建设单位应组织竣工环境保护验收，</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建设项目竣工环境保护验收调查报告表</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主要内容应包括：</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）实际工程内容及变动情况。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r>
              <w:rPr>
                <w:rFonts w:hint="eastAsia" w:ascii="Times New Roman" w:hAnsi="Times New Roman" w:eastAsia="宋体" w:cs="Times New Roman"/>
                <w:color w:val="000000"/>
                <w:sz w:val="21"/>
                <w:szCs w:val="21"/>
                <w:highlight w:val="none"/>
                <w:lang w:val="en-US" w:eastAsia="zh-CN"/>
              </w:rPr>
              <w:t>）环境保护目标基本情况及变动情况。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w:t>
            </w:r>
            <w:r>
              <w:rPr>
                <w:rFonts w:hint="eastAsia" w:ascii="Times New Roman" w:hAnsi="Times New Roman" w:eastAsia="宋体" w:cs="Times New Roman"/>
                <w:color w:val="000000"/>
                <w:sz w:val="21"/>
                <w:szCs w:val="21"/>
                <w:highlight w:val="none"/>
                <w:lang w:val="en-US" w:eastAsia="zh-CN"/>
              </w:rPr>
              <w:t>）环境影响报告表及批复提出的环保措施及设施落实情况。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4</w:t>
            </w:r>
            <w:r>
              <w:rPr>
                <w:rFonts w:hint="eastAsia" w:ascii="Times New Roman" w:hAnsi="Times New Roman" w:eastAsia="宋体" w:cs="Times New Roman"/>
                <w:color w:val="000000"/>
                <w:sz w:val="21"/>
                <w:szCs w:val="21"/>
                <w:highlight w:val="none"/>
                <w:lang w:val="en-US" w:eastAsia="zh-CN"/>
              </w:rPr>
              <w:t>）环境质量和环境监测因子达标情况。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w:t>
            </w:r>
            <w:r>
              <w:rPr>
                <w:rFonts w:hint="eastAsia" w:ascii="Times New Roman" w:hAnsi="Times New Roman" w:eastAsia="宋体" w:cs="Times New Roman"/>
                <w:color w:val="000000"/>
                <w:sz w:val="21"/>
                <w:szCs w:val="21"/>
                <w:highlight w:val="none"/>
                <w:lang w:val="en-US" w:eastAsia="zh-CN"/>
              </w:rPr>
              <w:t>）环境管理与监测计划落实情况。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w:t>
            </w:r>
            <w:r>
              <w:rPr>
                <w:rFonts w:hint="eastAsia" w:ascii="Times New Roman" w:hAnsi="Times New Roman" w:eastAsia="宋体" w:cs="Times New Roman"/>
                <w:color w:val="000000"/>
                <w:sz w:val="21"/>
                <w:szCs w:val="21"/>
                <w:highlight w:val="none"/>
                <w:lang w:val="en-US" w:eastAsia="zh-CN"/>
              </w:rPr>
              <w:t>）环境保护投资落实情况。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3</w:t>
            </w:r>
            <w:r>
              <w:rPr>
                <w:rFonts w:hint="eastAsia" w:ascii="Times New Roman" w:hAnsi="Times New Roman" w:eastAsia="宋体" w:cs="Times New Roman"/>
                <w:color w:val="000000"/>
                <w:sz w:val="21"/>
                <w:szCs w:val="21"/>
                <w:highlight w:val="none"/>
                <w:lang w:val="en-US" w:eastAsia="zh-CN"/>
              </w:rPr>
              <w:t>）运营期环境管理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环保管理人员应在各自的岗位责任制中明确所负的环保责任，其主要工作内容如下：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w:t>
            </w:r>
            <w:r>
              <w:rPr>
                <w:rFonts w:hint="eastAsia" w:ascii="Times New Roman" w:hAnsi="Times New Roman" w:eastAsia="宋体" w:cs="Times New Roman"/>
                <w:color w:val="000000"/>
                <w:sz w:val="21"/>
                <w:szCs w:val="21"/>
                <w:highlight w:val="none"/>
                <w:lang w:val="en-US" w:eastAsia="zh-CN"/>
              </w:rPr>
              <w:t>）运营期环境监测单位的组织和落实。</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r>
              <w:rPr>
                <w:rFonts w:hint="eastAsia" w:ascii="Times New Roman" w:hAnsi="Times New Roman" w:eastAsia="宋体" w:cs="Times New Roman"/>
                <w:color w:val="000000"/>
                <w:sz w:val="21"/>
                <w:szCs w:val="21"/>
                <w:highlight w:val="none"/>
                <w:lang w:val="en-US" w:eastAsia="zh-CN"/>
              </w:rPr>
              <w:t>）制定运营期的环境监测计划。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3</w:t>
            </w:r>
            <w:r>
              <w:rPr>
                <w:rFonts w:hint="eastAsia" w:ascii="Times New Roman" w:hAnsi="Times New Roman" w:eastAsia="宋体" w:cs="Times New Roman"/>
                <w:color w:val="000000"/>
                <w:sz w:val="21"/>
                <w:szCs w:val="21"/>
                <w:highlight w:val="none"/>
                <w:lang w:val="en-US" w:eastAsia="zh-CN"/>
              </w:rPr>
              <w:t>）建立环境管理和环境监测技术文件。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4</w:t>
            </w:r>
            <w:r>
              <w:rPr>
                <w:rFonts w:hint="eastAsia" w:ascii="Times New Roman" w:hAnsi="Times New Roman" w:eastAsia="宋体" w:cs="Times New Roman"/>
                <w:color w:val="000000"/>
                <w:sz w:val="21"/>
                <w:szCs w:val="21"/>
                <w:highlight w:val="none"/>
                <w:lang w:val="en-US" w:eastAsia="zh-CN"/>
              </w:rPr>
              <w:t>）检查各环保设施运行情况，及时处理出现的问题，保证环保设施的正常运行。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5</w:t>
            </w:r>
            <w:r>
              <w:rPr>
                <w:rFonts w:hint="eastAsia" w:ascii="Times New Roman" w:hAnsi="Times New Roman" w:eastAsia="宋体" w:cs="Times New Roman"/>
                <w:color w:val="000000"/>
                <w:sz w:val="21"/>
                <w:szCs w:val="21"/>
                <w:highlight w:val="none"/>
                <w:lang w:val="en-US" w:eastAsia="zh-CN"/>
              </w:rPr>
              <w:t>）不定期地巡查道路，特别是环境保护对象，保护生态环境不被破坏，保证生态环境与项目运行相协调。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6</w:t>
            </w:r>
            <w:r>
              <w:rPr>
                <w:rFonts w:hint="eastAsia" w:ascii="Times New Roman" w:hAnsi="Times New Roman" w:eastAsia="宋体" w:cs="Times New Roman"/>
                <w:color w:val="000000"/>
                <w:sz w:val="21"/>
                <w:szCs w:val="21"/>
                <w:highlight w:val="none"/>
                <w:lang w:val="en-US" w:eastAsia="zh-CN"/>
              </w:rPr>
              <w:t>）参照《企业事业单位环境信息公开办法》、《建设项目环境影响评价信息公开机制方案》等要求，及时公开环境信息。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运营期责任主体人为运营单位。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本项目“三同时”竣工环保验收主要内容见表5-2。</w:t>
            </w:r>
          </w:p>
          <w:p>
            <w:pPr>
              <w:widowControl/>
              <w:jc w:val="center"/>
              <w:rPr>
                <w:rFonts w:hint="default" w:ascii="Times New Roman" w:hAnsi="Times New Roman" w:eastAsia="宋体" w:cs="Times New Roman"/>
                <w:b/>
                <w:color w:val="000000"/>
                <w:sz w:val="21"/>
                <w:szCs w:val="21"/>
                <w:highlight w:val="none"/>
                <w:lang w:val="en-US" w:eastAsia="zh-CN"/>
              </w:rPr>
            </w:pPr>
            <w:r>
              <w:rPr>
                <w:rFonts w:ascii="Times New Roman" w:hAnsi="Times New Roman" w:eastAsia="宋体" w:cs="Times New Roman"/>
                <w:b/>
                <w:color w:val="000000"/>
                <w:sz w:val="21"/>
                <w:szCs w:val="21"/>
                <w:highlight w:val="none"/>
              </w:rPr>
              <w:t>表</w:t>
            </w:r>
            <w:r>
              <w:rPr>
                <w:rFonts w:hint="eastAsia" w:ascii="Times New Roman" w:hAnsi="Times New Roman" w:eastAsia="宋体" w:cs="Times New Roman"/>
                <w:b/>
                <w:color w:val="000000"/>
                <w:sz w:val="21"/>
                <w:szCs w:val="21"/>
                <w:highlight w:val="none"/>
                <w:lang w:val="en-US" w:eastAsia="zh-CN"/>
              </w:rPr>
              <w:t>5</w:t>
            </w:r>
            <w:r>
              <w:rPr>
                <w:rFonts w:ascii="Times New Roman" w:hAnsi="Times New Roman" w:eastAsia="宋体" w:cs="Times New Roman"/>
                <w:b/>
                <w:color w:val="000000"/>
                <w:sz w:val="21"/>
                <w:szCs w:val="21"/>
                <w:highlight w:val="none"/>
              </w:rPr>
              <w:t>-</w:t>
            </w:r>
            <w:r>
              <w:rPr>
                <w:rFonts w:hint="eastAsia" w:cs="Times New Roman"/>
                <w:b/>
                <w:color w:val="000000"/>
                <w:sz w:val="21"/>
                <w:szCs w:val="21"/>
                <w:highlight w:val="none"/>
                <w:lang w:val="en-US" w:eastAsia="zh-CN"/>
              </w:rPr>
              <w:t>2项目“三同时”竣工环保验收一览表</w:t>
            </w:r>
          </w:p>
          <w:tbl>
            <w:tblPr>
              <w:tblStyle w:val="41"/>
              <w:tblW w:w="7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809"/>
              <w:gridCol w:w="5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84" w:type="dxa"/>
                  <w:gridSpan w:val="2"/>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项目类型</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none"/>
                      <w:vertAlign w:val="baseline"/>
                      <w:lang w:val="en-US" w:eastAsia="zh-CN"/>
                    </w:rPr>
                  </w:pPr>
                  <w:r>
                    <w:rPr>
                      <w:rFonts w:hint="eastAsia" w:cs="Times New Roman"/>
                      <w:color w:val="000000"/>
                      <w:sz w:val="21"/>
                      <w:szCs w:val="21"/>
                      <w:highlight w:val="none"/>
                      <w:u w:val="none"/>
                      <w:vertAlign w:val="baseline"/>
                      <w:lang w:val="en-US" w:eastAsia="zh-CN"/>
                    </w:rPr>
                    <w:t>环保工程（施工期）</w:t>
                  </w:r>
                </w:p>
              </w:tc>
              <w:tc>
                <w:tcPr>
                  <w:tcW w:w="180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single"/>
                      <w:lang w:val="en-US" w:eastAsia="zh-CN"/>
                    </w:rPr>
                  </w:pPr>
                  <w:r>
                    <w:rPr>
                      <w:rFonts w:hint="eastAsia" w:cs="Times New Roman"/>
                      <w:color w:val="000000"/>
                      <w:sz w:val="21"/>
                      <w:szCs w:val="21"/>
                      <w:highlight w:val="none"/>
                      <w:u w:val="single"/>
                      <w:lang w:val="en-US" w:eastAsia="zh-CN"/>
                    </w:rPr>
                    <w:t>大气污染防治措施</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single"/>
                      <w:vertAlign w:val="baseline"/>
                      <w:lang w:eastAsia="zh-CN"/>
                    </w:rPr>
                  </w:pPr>
                  <w:r>
                    <w:rPr>
                      <w:rFonts w:hint="eastAsia" w:ascii="Times New Roman" w:hAnsi="Times New Roman" w:eastAsia="宋体" w:cs="Times New Roman"/>
                      <w:color w:val="000000"/>
                      <w:sz w:val="21"/>
                      <w:szCs w:val="21"/>
                      <w:highlight w:val="none"/>
                      <w:u w:val="single"/>
                      <w:lang w:bidi="ar"/>
                    </w:rPr>
                    <w:t>配备洒水车</w:t>
                  </w:r>
                  <w:r>
                    <w:rPr>
                      <w:rFonts w:hint="eastAsia" w:cs="Times New Roman"/>
                      <w:color w:val="000000"/>
                      <w:sz w:val="21"/>
                      <w:szCs w:val="21"/>
                      <w:highlight w:val="none"/>
                      <w:u w:val="single"/>
                      <w:lang w:eastAsia="zh-CN" w:bidi="ar"/>
                    </w:rPr>
                    <w:t>、</w:t>
                  </w:r>
                  <w:r>
                    <w:rPr>
                      <w:rFonts w:hint="eastAsia" w:cs="Times New Roman"/>
                      <w:color w:val="000000"/>
                      <w:sz w:val="21"/>
                      <w:szCs w:val="21"/>
                      <w:highlight w:val="none"/>
                      <w:u w:val="single"/>
                      <w:lang w:val="en-US" w:eastAsia="zh-CN" w:bidi="ar"/>
                    </w:rPr>
                    <w:t>雾炮机</w:t>
                  </w:r>
                  <w:r>
                    <w:rPr>
                      <w:rFonts w:hint="eastAsia" w:ascii="Times New Roman" w:hAnsi="Times New Roman" w:eastAsia="宋体" w:cs="Times New Roman"/>
                      <w:color w:val="000000"/>
                      <w:sz w:val="21"/>
                      <w:szCs w:val="21"/>
                      <w:highlight w:val="none"/>
                      <w:u w:val="single"/>
                      <w:lang w:bidi="ar"/>
                    </w:rPr>
                    <w:t>洒水抑尘，沿线环境保护目标路段设置防尘网、围挡，材料堆场远离敏感点并严密遮盖，外购商品沥青、商品混凝土</w:t>
                  </w:r>
                  <w:r>
                    <w:rPr>
                      <w:rFonts w:hint="eastAsia" w:cs="Times New Roman"/>
                      <w:color w:val="000000"/>
                      <w:sz w:val="21"/>
                      <w:szCs w:val="21"/>
                      <w:highlight w:val="none"/>
                      <w:u w:val="single"/>
                      <w:lang w:eastAsia="zh-CN" w:bidi="ar"/>
                    </w:rPr>
                    <w:t>，</w:t>
                  </w:r>
                  <w:r>
                    <w:rPr>
                      <w:rFonts w:hint="eastAsia" w:cs="Times New Roman"/>
                      <w:color w:val="000000"/>
                      <w:sz w:val="21"/>
                      <w:szCs w:val="21"/>
                      <w:highlight w:val="none"/>
                      <w:u w:val="single"/>
                      <w:lang w:val="en-US" w:eastAsia="zh-CN" w:bidi="ar"/>
                    </w:rPr>
                    <w:t>进出口设置车辆冲洗平台</w:t>
                  </w:r>
                  <w:r>
                    <w:rPr>
                      <w:rFonts w:hint="eastAsia" w:cs="Times New Roman"/>
                      <w:color w:val="000000"/>
                      <w:sz w:val="21"/>
                      <w:szCs w:val="21"/>
                      <w:highlight w:val="none"/>
                      <w:u w:val="single"/>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4" w:hRule="atLeast"/>
              </w:trPr>
              <w:tc>
                <w:tcPr>
                  <w:tcW w:w="77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80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水污染防治措施</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highlight w:val="none"/>
                      <w:u w:val="none"/>
                      <w:vertAlign w:val="baseline"/>
                    </w:rPr>
                    <w:t>施工现场设置排水沟、隔油池、沉砂池等设施收集处理施工废水</w:t>
                  </w:r>
                  <w:r>
                    <w:rPr>
                      <w:rFonts w:hint="eastAsia" w:cs="Times New Roman"/>
                      <w:color w:val="000000"/>
                      <w:sz w:val="21"/>
                      <w:szCs w:val="21"/>
                      <w:highlight w:val="none"/>
                      <w:u w:val="none"/>
                      <w:vertAlign w:val="baseline"/>
                      <w:lang w:eastAsia="zh-CN"/>
                    </w:rPr>
                    <w:t>，</w:t>
                  </w:r>
                  <w:r>
                    <w:rPr>
                      <w:rFonts w:hint="eastAsia" w:cs="Times New Roman"/>
                      <w:color w:val="000000"/>
                      <w:sz w:val="21"/>
                      <w:szCs w:val="21"/>
                      <w:highlight w:val="none"/>
                      <w:u w:val="none"/>
                      <w:vertAlign w:val="baseline"/>
                      <w:lang w:val="en-US" w:eastAsia="zh-CN"/>
                    </w:rPr>
                    <w:t>处理后废水用于车辆冲洗或用于施工场地降尘，不外排</w:t>
                  </w:r>
                  <w:r>
                    <w:rPr>
                      <w:rFonts w:hint="eastAsia" w:ascii="Times New Roman" w:hAnsi="Times New Roman" w:eastAsia="宋体" w:cs="Times New Roman"/>
                      <w:color w:val="000000"/>
                      <w:sz w:val="21"/>
                      <w:szCs w:val="21"/>
                      <w:highlight w:val="none"/>
                      <w:u w:val="none"/>
                      <w:vertAlign w:val="baseline"/>
                    </w:rPr>
                    <w:t>；生活污水依托周边居民家中化粪池处理后排入市政污水管网</w:t>
                  </w:r>
                  <w:r>
                    <w:rPr>
                      <w:rFonts w:hint="eastAsia" w:cs="Times New Roman"/>
                      <w:color w:val="000000"/>
                      <w:sz w:val="21"/>
                      <w:szCs w:val="21"/>
                      <w:highlight w:val="none"/>
                      <w:u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80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噪声污染防治措施</w:t>
                  </w:r>
                </w:p>
              </w:tc>
              <w:tc>
                <w:tcPr>
                  <w:tcW w:w="5307" w:type="dxa"/>
                  <w:vAlign w:val="center"/>
                </w:tcPr>
                <w:p>
                  <w:pPr>
                    <w:keepNext w:val="0"/>
                    <w:keepLines w:val="0"/>
                    <w:pageBreakBefore w:val="0"/>
                    <w:widowControl w:val="0"/>
                    <w:numPr>
                      <w:ilvl w:val="0"/>
                      <w:numId w:val="1"/>
                    </w:numPr>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选用低噪声设备或采取隔声、消声等措施降噪；</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2、夜间（22:00-06:00）禁止进行产生环境噪声污染的建筑施工作业，如因特殊需要必须连续作业的，施工单位必须与当地环保部门取得联系，办理夜间施工手续，同时发布夜间施工公告；</w:t>
                  </w:r>
                </w:p>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highlight w:val="none"/>
                      <w:u w:val="none"/>
                      <w:vertAlign w:val="baseline"/>
                    </w:rPr>
                    <w:t>3、合理安排施工时间；加强与施工区附近居民沟通</w:t>
                  </w:r>
                  <w:r>
                    <w:rPr>
                      <w:rFonts w:hint="eastAsia" w:cs="Times New Roman"/>
                      <w:color w:val="000000"/>
                      <w:sz w:val="21"/>
                      <w:szCs w:val="21"/>
                      <w:highlight w:val="none"/>
                      <w:u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80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固废污染防治措施</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highlight w:val="none"/>
                      <w:u w:val="none"/>
                    </w:rPr>
                    <w:t>及时清运处理生活垃圾，建筑垃圾剩余的砂石及时运走，并做好固体废物资源再利用，以减小排放量；基础开挖产生的弃土弃渣应就近回填压实，不能回填的运至指定弃渣场，废油及含油废抹布等含油废物委托资质单位处置</w:t>
                  </w:r>
                  <w:r>
                    <w:rPr>
                      <w:rFonts w:hint="eastAsia" w:cs="Times New Roman"/>
                      <w:color w:val="000000"/>
                      <w:sz w:val="21"/>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80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生态保护措施</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做好水土保持工作，并尽量恢复植被，避免发生崩塌、塌方、路基沉陷等不良地质现象；抓紧施工进度，尽量缩短施工时间，施工结束后应对道路沿线的土石方、筑路垃圾等固废废物进行全面清理，及时进行场地平整及道路绿化</w:t>
                  </w:r>
                  <w:r>
                    <w:rPr>
                      <w:rFonts w:hint="eastAsia" w:cs="Times New Roman"/>
                      <w:color w:val="000000"/>
                      <w:sz w:val="21"/>
                      <w:szCs w:val="21"/>
                      <w:highlight w:val="none"/>
                      <w:u w:val="none"/>
                      <w:vertAlign w:val="baseline"/>
                      <w:lang w:eastAsia="zh-CN"/>
                    </w:rPr>
                    <w:t>；</w:t>
                  </w:r>
                  <w:r>
                    <w:rPr>
                      <w:rFonts w:hint="eastAsia" w:ascii="Times New Roman" w:hAnsi="Times New Roman" w:eastAsia="宋体" w:cs="Times New Roman"/>
                      <w:color w:val="000000"/>
                      <w:sz w:val="21"/>
                      <w:szCs w:val="21"/>
                      <w:highlight w:val="none"/>
                      <w:u w:val="none"/>
                      <w:lang w:val="en-US" w:eastAsia="zh-CN"/>
                    </w:rPr>
                    <w:t>在临时工程周边设置临时截排水设施；避免弃渣行为，保护好地表水体周边区域内生态环境</w:t>
                  </w:r>
                  <w:r>
                    <w:rPr>
                      <w:rFonts w:hint="eastAsia" w:ascii="Times New Roman" w:hAnsi="Times New Roman" w:eastAsia="宋体" w:cs="Times New Roman"/>
                      <w:color w:val="000000"/>
                      <w:sz w:val="21"/>
                      <w:szCs w:val="21"/>
                      <w:highlight w:val="none"/>
                      <w:u w:val="none"/>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r>
                    <w:rPr>
                      <w:rFonts w:hint="eastAsia" w:cs="Times New Roman"/>
                      <w:color w:val="000000"/>
                      <w:sz w:val="21"/>
                      <w:szCs w:val="21"/>
                      <w:highlight w:val="none"/>
                      <w:u w:val="none"/>
                      <w:vertAlign w:val="baseline"/>
                      <w:lang w:val="en-US" w:eastAsia="zh-CN"/>
                    </w:rPr>
                    <w:t>环保工程（运营期）</w:t>
                  </w:r>
                </w:p>
              </w:tc>
              <w:tc>
                <w:tcPr>
                  <w:tcW w:w="180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大气污染防治措施</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严禁尾气超标车辆运输，加强对道路的养护；加强绿化，多种可吸收或吸附汽车尾气中污染物的乔木、灌木等树种及草坪。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80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水污染防治措施</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定期清理和维护雨污水管道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809"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噪声污染防治措施</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eastAsia="zh-CN"/>
                    </w:rPr>
                  </w:pPr>
                  <w:r>
                    <w:rPr>
                      <w:rFonts w:ascii="Times New Roman" w:hAnsi="Times New Roman" w:eastAsia="宋体" w:cs="Times New Roman"/>
                      <w:color w:val="000000"/>
                      <w:sz w:val="21"/>
                      <w:szCs w:val="21"/>
                      <w:highlight w:val="none"/>
                      <w:u w:val="none"/>
                    </w:rPr>
                    <w:t>加强车辆管理，限制车速，严禁超载</w:t>
                  </w:r>
                  <w:r>
                    <w:rPr>
                      <w:rFonts w:ascii="Times New Roman" w:hAnsi="Times New Roman" w:eastAsia="宋体" w:cs="Times New Roman"/>
                      <w:color w:val="000000"/>
                      <w:sz w:val="21"/>
                      <w:szCs w:val="21"/>
                      <w:highlight w:val="none"/>
                      <w:u w:val="none"/>
                      <w:lang w:eastAsia="zh-CN"/>
                    </w:rPr>
                    <w:t>；种植吸附或净化能力强的植物</w:t>
                  </w:r>
                  <w:r>
                    <w:rPr>
                      <w:rFonts w:hint="eastAsia" w:cs="Times New Roman"/>
                      <w:color w:val="000000"/>
                      <w:sz w:val="21"/>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8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lang w:val="en-US" w:eastAsia="zh-CN" w:bidi="ar-SA"/>
                    </w:rPr>
                  </w:pPr>
                  <w:r>
                    <w:rPr>
                      <w:rFonts w:hint="eastAsia" w:cs="Times New Roman"/>
                      <w:color w:val="000000"/>
                      <w:sz w:val="21"/>
                      <w:szCs w:val="21"/>
                      <w:highlight w:val="none"/>
                      <w:u w:val="none"/>
                      <w:lang w:val="en-US" w:eastAsia="zh-CN"/>
                    </w:rPr>
                    <w:t>固废污染防治措施</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lang w:eastAsia="zh-CN"/>
                    </w:rPr>
                  </w:pPr>
                  <w:r>
                    <w:rPr>
                      <w:rFonts w:hint="eastAsia" w:ascii="Times New Roman" w:hAnsi="Times New Roman" w:eastAsia="宋体" w:cs="Times New Roman"/>
                      <w:color w:val="000000"/>
                      <w:sz w:val="21"/>
                      <w:szCs w:val="21"/>
                      <w:highlight w:val="none"/>
                      <w:u w:val="none"/>
                      <w:vertAlign w:val="baseline"/>
                      <w:lang w:eastAsia="zh-CN"/>
                    </w:rPr>
                    <w:t>对道路产生的纸屑、绿化带落叶等交通垃圾，在道路两侧设分类垃圾收集箱，最终由环卫部门统一收集后处理。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8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none"/>
                      <w:lang w:val="en-US" w:eastAsia="zh-CN" w:bidi="ar-SA"/>
                    </w:rPr>
                  </w:pPr>
                  <w:r>
                    <w:rPr>
                      <w:rFonts w:hint="eastAsia" w:cs="Times New Roman"/>
                      <w:color w:val="000000"/>
                      <w:sz w:val="21"/>
                      <w:szCs w:val="21"/>
                      <w:highlight w:val="none"/>
                      <w:u w:val="none"/>
                      <w:lang w:val="en-US" w:eastAsia="zh-CN"/>
                    </w:rPr>
                    <w:t>生态保护措施</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eastAsia" w:ascii="Times New Roman" w:hAnsi="Times New Roman" w:eastAsia="宋体" w:cs="Times New Roman"/>
                      <w:color w:val="000000"/>
                      <w:sz w:val="21"/>
                      <w:szCs w:val="21"/>
                      <w:highlight w:val="none"/>
                      <w:u w:val="none"/>
                      <w:vertAlign w:val="baseline"/>
                    </w:rPr>
                  </w:pPr>
                  <w:r>
                    <w:rPr>
                      <w:rFonts w:hint="eastAsia" w:ascii="Times New Roman" w:hAnsi="Times New Roman" w:eastAsia="宋体" w:cs="Times New Roman"/>
                      <w:color w:val="000000"/>
                      <w:sz w:val="21"/>
                      <w:szCs w:val="21"/>
                      <w:highlight w:val="none"/>
                      <w:u w:val="none"/>
                      <w:vertAlign w:val="baseline"/>
                    </w:rPr>
                    <w:t>按道路绿化设计的要求，完成拟建道路两侧设计的植树种草工作；及时恢复被临时工程占地所破坏的植被和生态环境，防止地表裸露；加强绿化工程的养护</w:t>
                  </w:r>
                  <w:r>
                    <w:rPr>
                      <w:rFonts w:hint="eastAsia" w:cs="Times New Roman"/>
                      <w:color w:val="000000"/>
                      <w:sz w:val="21"/>
                      <w:szCs w:val="21"/>
                      <w:highlight w:val="none"/>
                      <w:u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sz w:val="21"/>
                      <w:szCs w:val="21"/>
                      <w:highlight w:val="none"/>
                      <w:u w:val="none"/>
                      <w:vertAlign w:val="baseline"/>
                    </w:rPr>
                  </w:pPr>
                </w:p>
              </w:tc>
              <w:tc>
                <w:tcPr>
                  <w:tcW w:w="1809"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none"/>
                      <w:lang w:val="en-US" w:eastAsia="zh-CN"/>
                    </w:rPr>
                  </w:pPr>
                  <w:r>
                    <w:rPr>
                      <w:rFonts w:hint="eastAsia" w:cs="Times New Roman"/>
                      <w:color w:val="000000"/>
                      <w:sz w:val="21"/>
                      <w:szCs w:val="21"/>
                      <w:highlight w:val="none"/>
                      <w:u w:val="none"/>
                      <w:lang w:val="en-US" w:eastAsia="zh-CN"/>
                    </w:rPr>
                    <w:t>环境风险</w:t>
                  </w:r>
                </w:p>
              </w:tc>
              <w:tc>
                <w:tcPr>
                  <w:tcW w:w="5307" w:type="dxa"/>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left"/>
                    <w:textAlignment w:val="auto"/>
                    <w:rPr>
                      <w:rFonts w:hint="default" w:ascii="Times New Roman" w:hAnsi="Times New Roman" w:eastAsia="宋体" w:cs="Times New Roman"/>
                      <w:color w:val="000000"/>
                      <w:sz w:val="21"/>
                      <w:szCs w:val="21"/>
                      <w:highlight w:val="none"/>
                      <w:u w:val="none"/>
                      <w:vertAlign w:val="baseline"/>
                      <w:lang w:val="en-US"/>
                    </w:rPr>
                  </w:pPr>
                  <w:r>
                    <w:rPr>
                      <w:rFonts w:hint="eastAsia" w:ascii="Times New Roman" w:hAnsi="Times New Roman" w:eastAsia="宋体" w:cs="Times New Roman"/>
                      <w:color w:val="000000"/>
                      <w:sz w:val="21"/>
                      <w:szCs w:val="21"/>
                      <w:highlight w:val="none"/>
                      <w:u w:val="none"/>
                      <w:lang w:eastAsia="zh-CN"/>
                    </w:rPr>
                    <w:t>设置警示标志；加强危险化学品道路运输交通安全防治措施，防范突发性风险事故</w:t>
                  </w:r>
                  <w:r>
                    <w:rPr>
                      <w:rFonts w:hint="eastAsia" w:cs="Times New Roman"/>
                      <w:color w:val="000000"/>
                      <w:sz w:val="21"/>
                      <w:szCs w:val="21"/>
                      <w:highlight w:val="none"/>
                      <w:u w:val="none"/>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5.13</w:t>
            </w:r>
            <w:r>
              <w:rPr>
                <w:rFonts w:hint="eastAsia" w:cs="Times New Roman"/>
                <w:b/>
                <w:bCs/>
                <w:color w:val="000000"/>
                <w:sz w:val="21"/>
                <w:szCs w:val="21"/>
                <w:highlight w:val="none"/>
                <w:lang w:val="en-US" w:eastAsia="zh-CN"/>
              </w:rPr>
              <w:t>.4 环境监测计划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本项目环境监测计划具体见下表。</w:t>
            </w:r>
          </w:p>
          <w:p>
            <w:pPr>
              <w:widowControl/>
              <w:jc w:val="center"/>
              <w:rPr>
                <w:rFonts w:hint="default" w:ascii="Times New Roman" w:hAnsi="Times New Roman" w:eastAsia="宋体" w:cs="Times New Roman"/>
                <w:b/>
                <w:color w:val="000000"/>
                <w:sz w:val="21"/>
                <w:szCs w:val="21"/>
                <w:highlight w:val="none"/>
                <w:lang w:val="en-US" w:eastAsia="zh-CN"/>
              </w:rPr>
            </w:pPr>
            <w:r>
              <w:rPr>
                <w:rFonts w:ascii="Times New Roman" w:hAnsi="Times New Roman" w:eastAsia="宋体" w:cs="Times New Roman"/>
                <w:b/>
                <w:color w:val="000000"/>
                <w:sz w:val="21"/>
                <w:szCs w:val="21"/>
                <w:highlight w:val="none"/>
              </w:rPr>
              <w:t>表</w:t>
            </w:r>
            <w:r>
              <w:rPr>
                <w:rFonts w:hint="eastAsia" w:ascii="Times New Roman" w:hAnsi="Times New Roman" w:eastAsia="宋体" w:cs="Times New Roman"/>
                <w:b/>
                <w:color w:val="000000"/>
                <w:sz w:val="21"/>
                <w:szCs w:val="21"/>
                <w:highlight w:val="none"/>
                <w:lang w:val="en-US" w:eastAsia="zh-CN"/>
              </w:rPr>
              <w:t>5</w:t>
            </w:r>
            <w:r>
              <w:rPr>
                <w:rFonts w:ascii="Times New Roman" w:hAnsi="Times New Roman" w:eastAsia="宋体" w:cs="Times New Roman"/>
                <w:b/>
                <w:color w:val="000000"/>
                <w:sz w:val="21"/>
                <w:szCs w:val="21"/>
                <w:highlight w:val="none"/>
              </w:rPr>
              <w:t>-</w:t>
            </w:r>
            <w:r>
              <w:rPr>
                <w:rFonts w:hint="eastAsia" w:cs="Times New Roman"/>
                <w:b/>
                <w:color w:val="000000"/>
                <w:sz w:val="21"/>
                <w:szCs w:val="21"/>
                <w:highlight w:val="none"/>
                <w:lang w:val="en-US" w:eastAsia="zh-CN"/>
              </w:rPr>
              <w:t>3</w:t>
            </w:r>
            <w:r>
              <w:rPr>
                <w:rFonts w:ascii="Times New Roman" w:hAnsi="Times New Roman" w:eastAsia="宋体" w:cs="Times New Roman"/>
                <w:b/>
                <w:color w:val="000000"/>
                <w:sz w:val="21"/>
                <w:szCs w:val="21"/>
                <w:highlight w:val="none"/>
              </w:rPr>
              <w:t xml:space="preserve"> </w:t>
            </w:r>
            <w:r>
              <w:rPr>
                <w:rFonts w:hint="eastAsia" w:cs="Times New Roman"/>
                <w:b/>
                <w:color w:val="000000"/>
                <w:sz w:val="21"/>
                <w:szCs w:val="21"/>
                <w:highlight w:val="none"/>
                <w:lang w:val="en-US" w:eastAsia="zh-CN"/>
              </w:rPr>
              <w:t>环境监测计划一览表</w:t>
            </w:r>
          </w:p>
          <w:tbl>
            <w:tblPr>
              <w:tblStyle w:val="41"/>
              <w:tblW w:w="7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108"/>
              <w:gridCol w:w="1115"/>
              <w:gridCol w:w="1127"/>
              <w:gridCol w:w="1108"/>
              <w:gridCol w:w="1119"/>
              <w:gridCol w:w="1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阶段</w:t>
                  </w:r>
                </w:p>
              </w:tc>
              <w:tc>
                <w:tcPr>
                  <w:tcW w:w="11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监测项目</w:t>
                  </w:r>
                </w:p>
              </w:tc>
              <w:tc>
                <w:tcPr>
                  <w:tcW w:w="111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监测地点</w:t>
                  </w:r>
                </w:p>
              </w:tc>
              <w:tc>
                <w:tcPr>
                  <w:tcW w:w="112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监测因子</w:t>
                  </w:r>
                </w:p>
              </w:tc>
              <w:tc>
                <w:tcPr>
                  <w:tcW w:w="11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监测频次</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监测时间</w:t>
                  </w:r>
                </w:p>
              </w:tc>
              <w:tc>
                <w:tcPr>
                  <w:tcW w:w="120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施工期</w:t>
                  </w:r>
                </w:p>
              </w:tc>
              <w:tc>
                <w:tcPr>
                  <w:tcW w:w="1108"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环境噪声</w:t>
                  </w:r>
                </w:p>
              </w:tc>
              <w:tc>
                <w:tcPr>
                  <w:tcW w:w="1115"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default" w:ascii="Times New Roman" w:hAnsi="Times New Roman" w:eastAsia="宋体" w:cs="Times New Roman"/>
                      <w:kern w:val="2"/>
                      <w:sz w:val="21"/>
                      <w:szCs w:val="21"/>
                      <w:highlight w:val="none"/>
                      <w:u w:val="single"/>
                      <w:lang w:val="en-US" w:eastAsia="zh-CN" w:bidi="ar-SA"/>
                    </w:rPr>
                    <w:t>老渡口社区居民委员会及居民委员会旁居民、梨头尖居民点</w:t>
                  </w:r>
                </w:p>
              </w:tc>
              <w:tc>
                <w:tcPr>
                  <w:tcW w:w="1127"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r>
                    <w:rPr>
                      <w:rFonts w:hint="eastAsia" w:ascii="Times New Roman" w:hAnsi="Times New Roman" w:eastAsia="宋体" w:cs="Times New Roman"/>
                      <w:color w:val="000000"/>
                      <w:sz w:val="21"/>
                      <w:szCs w:val="21"/>
                      <w:highlight w:val="none"/>
                      <w:u w:val="single"/>
                      <w:vertAlign w:val="baseline"/>
                      <w:lang w:val="en-US" w:eastAsia="zh-CN"/>
                    </w:rPr>
                    <w:t>等效连续A声级Leq（A）</w:t>
                  </w:r>
                </w:p>
              </w:tc>
              <w:tc>
                <w:tcPr>
                  <w:tcW w:w="11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1次/施工期</w:t>
                  </w:r>
                </w:p>
              </w:tc>
              <w:tc>
                <w:tcPr>
                  <w:tcW w:w="111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连续2天，昼夜间各监测一次</w:t>
                  </w:r>
                </w:p>
              </w:tc>
              <w:tc>
                <w:tcPr>
                  <w:tcW w:w="1209" w:type="dxa"/>
                  <w:vMerge w:val="restart"/>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r>
                    <w:rPr>
                      <w:rFonts w:hint="eastAsia" w:ascii="Times New Roman" w:hAnsi="Times New Roman" w:eastAsia="宋体" w:cs="Times New Roman"/>
                      <w:color w:val="000000"/>
                      <w:sz w:val="21"/>
                      <w:szCs w:val="21"/>
                      <w:highlight w:val="none"/>
                      <w:u w:val="single"/>
                      <w:vertAlign w:val="baseline"/>
                      <w:lang w:val="en-US" w:eastAsia="zh-CN"/>
                    </w:rPr>
                    <w:t>（GB3096-2008）2类、4a类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运营期</w:t>
                  </w:r>
                </w:p>
              </w:tc>
              <w:tc>
                <w:tcPr>
                  <w:tcW w:w="1108"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p>
              </w:tc>
              <w:tc>
                <w:tcPr>
                  <w:tcW w:w="111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p>
              </w:tc>
              <w:tc>
                <w:tcPr>
                  <w:tcW w:w="1127"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p>
              </w:tc>
              <w:tc>
                <w:tcPr>
                  <w:tcW w:w="11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1次/年</w:t>
                  </w:r>
                </w:p>
              </w:tc>
              <w:tc>
                <w:tcPr>
                  <w:tcW w:w="111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p>
              </w:tc>
              <w:tc>
                <w:tcPr>
                  <w:tcW w:w="1209"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施工期</w:t>
                  </w:r>
                </w:p>
              </w:tc>
              <w:tc>
                <w:tcPr>
                  <w:tcW w:w="11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环境空气</w:t>
                  </w:r>
                </w:p>
              </w:tc>
              <w:tc>
                <w:tcPr>
                  <w:tcW w:w="1115" w:type="dxa"/>
                  <w:vMerge w:val="continue"/>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p>
              </w:tc>
              <w:tc>
                <w:tcPr>
                  <w:tcW w:w="1127"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TSP</w:t>
                  </w:r>
                </w:p>
              </w:tc>
              <w:tc>
                <w:tcPr>
                  <w:tcW w:w="1108"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每季度1次</w:t>
                  </w:r>
                </w:p>
              </w:tc>
              <w:tc>
                <w:tcPr>
                  <w:tcW w:w="111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u w:val="single"/>
                      <w:vertAlign w:val="baseline"/>
                      <w:lang w:val="en-US" w:eastAsia="zh-CN"/>
                    </w:rPr>
                  </w:pPr>
                  <w:r>
                    <w:rPr>
                      <w:rFonts w:hint="eastAsia" w:cs="Times New Roman"/>
                      <w:color w:val="000000"/>
                      <w:sz w:val="21"/>
                      <w:szCs w:val="21"/>
                      <w:highlight w:val="none"/>
                      <w:u w:val="single"/>
                      <w:vertAlign w:val="baseline"/>
                      <w:lang w:val="en-US" w:eastAsia="zh-CN"/>
                    </w:rPr>
                    <w:t>连续3天，每天一次</w:t>
                  </w:r>
                </w:p>
              </w:tc>
              <w:tc>
                <w:tcPr>
                  <w:tcW w:w="1209"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r>
                    <w:rPr>
                      <w:rFonts w:hint="eastAsia" w:ascii="Times New Roman" w:hAnsi="Times New Roman" w:eastAsia="宋体" w:cs="Times New Roman"/>
                      <w:color w:val="000000"/>
                      <w:sz w:val="21"/>
                      <w:szCs w:val="21"/>
                      <w:highlight w:val="none"/>
                      <w:u w:val="single"/>
                      <w:vertAlign w:val="baseline"/>
                      <w:lang w:val="en-US" w:eastAsia="zh-CN"/>
                    </w:rPr>
                    <w:t>《环境空气质量标准》(GB2095-</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u w:val="single"/>
                      <w:vertAlign w:val="baseline"/>
                      <w:lang w:val="en-US" w:eastAsia="zh-CN"/>
                    </w:rPr>
                  </w:pPr>
                  <w:r>
                    <w:rPr>
                      <w:rFonts w:hint="eastAsia" w:ascii="Times New Roman" w:hAnsi="Times New Roman" w:eastAsia="宋体" w:cs="Times New Roman"/>
                      <w:color w:val="000000"/>
                      <w:sz w:val="21"/>
                      <w:szCs w:val="21"/>
                      <w:highlight w:val="none"/>
                      <w:u w:val="single"/>
                      <w:vertAlign w:val="baseline"/>
                      <w:lang w:val="en-US" w:eastAsia="zh-CN"/>
                    </w:rPr>
                    <w:t>2012)</w:t>
                  </w:r>
                </w:p>
              </w:tc>
            </w:tr>
          </w:tbl>
          <w:p>
            <w:pPr>
              <w:spacing w:line="360" w:lineRule="auto"/>
              <w:ind w:firstLine="480"/>
              <w:jc w:val="left"/>
              <w:rPr>
                <w:rFonts w:hint="eastAsia" w:ascii="Times New Roman" w:hAnsi="Times New Roman" w:eastAsia="宋体" w:cs="Times New Roman"/>
                <w:color w:val="000000"/>
                <w:sz w:val="21"/>
                <w:szCs w:val="21"/>
                <w:highlight w:val="none"/>
                <w:u w:val="none"/>
                <w:lang w:eastAsia="zh-CN" w:bidi="ar"/>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28" w:type="dxa"/>
            <w:bottom w:w="0" w:type="dxa"/>
            <w:right w:w="28" w:type="dxa"/>
          </w:tblCellMar>
        </w:tblPrEx>
        <w:trPr>
          <w:trHeight w:val="11795" w:hRule="atLeast"/>
          <w:jc w:val="center"/>
        </w:trPr>
        <w:tc>
          <w:tcPr>
            <w:tcW w:w="401" w:type="dxa"/>
            <w:noWrap w:val="0"/>
            <w:vAlign w:val="center"/>
          </w:tcPr>
          <w:p>
            <w:pPr>
              <w:spacing w:line="360" w:lineRule="auto"/>
              <w:jc w:val="center"/>
              <w:rPr>
                <w:rFonts w:ascii="宋体" w:hAnsi="宋体" w:cs="宋体"/>
                <w:bCs/>
                <w:color w:val="000000"/>
                <w:spacing w:val="10"/>
                <w:sz w:val="21"/>
                <w:szCs w:val="21"/>
                <w:highlight w:val="none"/>
              </w:rPr>
            </w:pPr>
            <w:r>
              <w:rPr>
                <w:rFonts w:hint="eastAsia" w:ascii="宋体" w:hAnsi="宋体"/>
                <w:bCs/>
                <w:color w:val="000000"/>
                <w:sz w:val="21"/>
                <w:szCs w:val="21"/>
                <w:highlight w:val="none"/>
              </w:rPr>
              <w:t>环保投资</w:t>
            </w:r>
          </w:p>
        </w:tc>
        <w:tc>
          <w:tcPr>
            <w:tcW w:w="7959" w:type="dxa"/>
            <w:noWrap w:val="0"/>
            <w:vAlign w:val="top"/>
          </w:tcPr>
          <w:p>
            <w:pPr>
              <w:pStyle w:val="199"/>
              <w:keepNext w:val="0"/>
              <w:keepLines w:val="0"/>
              <w:pageBreakBefore w:val="0"/>
              <w:widowControl/>
              <w:spacing w:before="157" w:after="0" w:line="360" w:lineRule="auto"/>
              <w:ind w:right="0" w:firstLine="472"/>
              <w:jc w:val="both"/>
              <w:rPr>
                <w:rFonts w:ascii="Times New Roman" w:hAnsi="Times New Roman" w:eastAsia="宋体" w:cs="Times New Roman"/>
                <w:color w:val="000000"/>
                <w:sz w:val="21"/>
                <w:szCs w:val="21"/>
                <w:highlight w:val="none"/>
              </w:rPr>
            </w:pPr>
            <w:r>
              <w:rPr>
                <w:rFonts w:hint="eastAsia" w:cs="Times New Roman"/>
                <w:color w:val="000000"/>
                <w:spacing w:val="-2"/>
                <w:sz w:val="21"/>
                <w:szCs w:val="21"/>
                <w:highlight w:val="none"/>
                <w:lang w:val="en-US" w:eastAsia="zh-CN"/>
              </w:rPr>
              <w:t>项目</w:t>
            </w:r>
            <w:r>
              <w:rPr>
                <w:rFonts w:ascii="Times New Roman" w:hAnsi="Times New Roman" w:eastAsia="宋体" w:cs="Times New Roman"/>
                <w:color w:val="000000"/>
                <w:spacing w:val="-2"/>
                <w:sz w:val="21"/>
                <w:szCs w:val="21"/>
                <w:highlight w:val="none"/>
              </w:rPr>
              <w:t>总投资为</w:t>
            </w:r>
            <w:r>
              <w:rPr>
                <w:rFonts w:hint="eastAsia" w:ascii="Times New Roman" w:hAnsi="Times New Roman" w:eastAsia="宋体" w:cs="Times New Roman"/>
                <w:color w:val="000000"/>
                <w:spacing w:val="-2"/>
                <w:sz w:val="21"/>
                <w:szCs w:val="21"/>
                <w:highlight w:val="none"/>
              </w:rPr>
              <w:t>8832.72</w:t>
            </w:r>
            <w:r>
              <w:rPr>
                <w:rFonts w:ascii="Times New Roman" w:hAnsi="Times New Roman" w:eastAsia="宋体" w:cs="Times New Roman"/>
                <w:color w:val="000000"/>
                <w:spacing w:val="-2"/>
                <w:sz w:val="21"/>
                <w:szCs w:val="21"/>
                <w:highlight w:val="none"/>
              </w:rPr>
              <w:t>万元，</w:t>
            </w:r>
            <w:r>
              <w:rPr>
                <w:rFonts w:hint="eastAsia" w:cs="Times New Roman"/>
                <w:color w:val="000000"/>
                <w:spacing w:val="-2"/>
                <w:sz w:val="21"/>
                <w:szCs w:val="21"/>
                <w:highlight w:val="none"/>
                <w:lang w:val="en-US" w:eastAsia="zh-CN"/>
              </w:rPr>
              <w:t>其中环保投资估算为416.5万元</w:t>
            </w:r>
            <w:r>
              <w:rPr>
                <w:rFonts w:ascii="Times New Roman" w:hAnsi="Times New Roman" w:eastAsia="宋体" w:cs="Times New Roman"/>
                <w:color w:val="000000"/>
                <w:spacing w:val="-2"/>
                <w:sz w:val="21"/>
                <w:szCs w:val="21"/>
                <w:highlight w:val="none"/>
              </w:rPr>
              <w:t>，占工程总投资的</w:t>
            </w:r>
            <w:r>
              <w:rPr>
                <w:rFonts w:hint="eastAsia" w:cs="Times New Roman"/>
                <w:color w:val="000000"/>
                <w:spacing w:val="-2"/>
                <w:sz w:val="21"/>
                <w:szCs w:val="21"/>
                <w:highlight w:val="none"/>
                <w:lang w:val="en-US" w:eastAsia="zh-CN"/>
              </w:rPr>
              <w:t>4.72</w:t>
            </w:r>
            <w:r>
              <w:rPr>
                <w:rFonts w:ascii="Times New Roman" w:hAnsi="Times New Roman" w:eastAsia="宋体" w:cs="Times New Roman"/>
                <w:color w:val="000000"/>
                <w:spacing w:val="-2"/>
                <w:sz w:val="21"/>
                <w:szCs w:val="21"/>
                <w:highlight w:val="none"/>
              </w:rPr>
              <w:t>%。具体环保项目投资见下表。</w:t>
            </w:r>
          </w:p>
          <w:p>
            <w:pPr>
              <w:widowControl/>
              <w:jc w:val="center"/>
              <w:rPr>
                <w:rFonts w:hint="eastAsia" w:cs="Times New Roman"/>
                <w:b/>
                <w:color w:val="000000"/>
                <w:sz w:val="21"/>
                <w:szCs w:val="21"/>
                <w:highlight w:val="none"/>
                <w:lang w:val="en-US" w:eastAsia="zh-CN"/>
              </w:rPr>
            </w:pPr>
            <w:r>
              <w:rPr>
                <w:rFonts w:ascii="Times New Roman" w:hAnsi="Times New Roman" w:eastAsia="宋体" w:cs="Times New Roman"/>
                <w:b/>
                <w:color w:val="000000"/>
                <w:sz w:val="21"/>
                <w:szCs w:val="21"/>
                <w:highlight w:val="none"/>
              </w:rPr>
              <w:t>表</w:t>
            </w:r>
            <w:r>
              <w:rPr>
                <w:rFonts w:hint="eastAsia" w:ascii="Times New Roman" w:hAnsi="Times New Roman" w:eastAsia="宋体" w:cs="Times New Roman"/>
                <w:b/>
                <w:color w:val="000000"/>
                <w:sz w:val="21"/>
                <w:szCs w:val="21"/>
                <w:highlight w:val="none"/>
                <w:lang w:val="en-US" w:eastAsia="zh-CN"/>
              </w:rPr>
              <w:t>5</w:t>
            </w:r>
            <w:r>
              <w:rPr>
                <w:rFonts w:ascii="Times New Roman" w:hAnsi="Times New Roman" w:eastAsia="宋体" w:cs="Times New Roman"/>
                <w:b/>
                <w:color w:val="000000"/>
                <w:sz w:val="21"/>
                <w:szCs w:val="21"/>
                <w:highlight w:val="none"/>
              </w:rPr>
              <w:t>-</w:t>
            </w:r>
            <w:r>
              <w:rPr>
                <w:rFonts w:hint="eastAsia" w:cs="Times New Roman"/>
                <w:b/>
                <w:color w:val="000000"/>
                <w:sz w:val="21"/>
                <w:szCs w:val="21"/>
                <w:highlight w:val="none"/>
                <w:lang w:val="en-US" w:eastAsia="zh-CN"/>
              </w:rPr>
              <w:t>4</w:t>
            </w:r>
            <w:r>
              <w:rPr>
                <w:rFonts w:ascii="Times New Roman" w:hAnsi="Times New Roman" w:eastAsia="宋体" w:cs="Times New Roman"/>
                <w:b/>
                <w:color w:val="000000"/>
                <w:sz w:val="21"/>
                <w:szCs w:val="21"/>
                <w:highlight w:val="none"/>
              </w:rPr>
              <w:t xml:space="preserve"> </w:t>
            </w:r>
            <w:r>
              <w:rPr>
                <w:rFonts w:hint="eastAsia" w:cs="Times New Roman"/>
                <w:b/>
                <w:color w:val="000000"/>
                <w:sz w:val="21"/>
                <w:szCs w:val="21"/>
                <w:highlight w:val="none"/>
                <w:lang w:val="en-US" w:eastAsia="zh-CN"/>
              </w:rPr>
              <w:t>环保投资一览表</w:t>
            </w:r>
          </w:p>
          <w:tbl>
            <w:tblPr>
              <w:tblStyle w:val="40"/>
              <w:tblW w:w="78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
              <w:gridCol w:w="1296"/>
              <w:gridCol w:w="1506"/>
              <w:gridCol w:w="610"/>
              <w:gridCol w:w="627"/>
              <w:gridCol w:w="618"/>
              <w:gridCol w:w="2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60" w:hRule="atLeast"/>
              </w:trPr>
              <w:tc>
                <w:tcPr>
                  <w:tcW w:w="426" w:type="dxa"/>
                  <w:vMerge w:val="restart"/>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21"/>
                      <w:szCs w:val="21"/>
                      <w:u w:val="none"/>
                    </w:rPr>
                  </w:pPr>
                </w:p>
              </w:tc>
              <w:tc>
                <w:tcPr>
                  <w:tcW w:w="2802" w:type="dxa"/>
                  <w:gridSpan w:val="2"/>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投资项目（工程措施）</w:t>
                  </w:r>
                </w:p>
              </w:tc>
              <w:tc>
                <w:tcPr>
                  <w:tcW w:w="610"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627"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投资</w:t>
                  </w:r>
                </w:p>
              </w:tc>
              <w:tc>
                <w:tcPr>
                  <w:tcW w:w="2810"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90"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微软雅黑" w:hAnsi="微软雅黑" w:eastAsia="微软雅黑" w:cs="微软雅黑"/>
                      <w:i w:val="0"/>
                      <w:iCs w:val="0"/>
                      <w:color w:val="000000"/>
                      <w:sz w:val="21"/>
                      <w:szCs w:val="21"/>
                      <w:u w:val="none"/>
                    </w:rPr>
                  </w:pPr>
                </w:p>
              </w:tc>
              <w:tc>
                <w:tcPr>
                  <w:tcW w:w="2802" w:type="dxa"/>
                  <w:gridSpan w:val="2"/>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c>
                <w:tcPr>
                  <w:tcW w:w="610"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c>
                <w:tcPr>
                  <w:tcW w:w="627"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万元</w:t>
                  </w:r>
                </w:p>
              </w:tc>
              <w:tc>
                <w:tcPr>
                  <w:tcW w:w="2810"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w:t>
                  </w:r>
                </w:p>
              </w:tc>
              <w:tc>
                <w:tcPr>
                  <w:tcW w:w="7467" w:type="dxa"/>
                  <w:gridSpan w:val="6"/>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环境污染治理投资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7467" w:type="dxa"/>
                  <w:gridSpan w:val="6"/>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施工期污染环境治理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扬尘治理</w:t>
                  </w: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洒水车（租用）</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台</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lang w:val="en-US"/>
                    </w:rPr>
                  </w:pPr>
                  <w:r>
                    <w:rPr>
                      <w:rFonts w:hint="eastAsia" w:cs="Times New Roman"/>
                      <w:i w:val="0"/>
                      <w:iCs w:val="0"/>
                      <w:color w:val="000000"/>
                      <w:kern w:val="0"/>
                      <w:sz w:val="21"/>
                      <w:szCs w:val="21"/>
                      <w:u w:val="single"/>
                      <w:lang w:val="en-US" w:eastAsia="zh-CN" w:bidi="ar"/>
                    </w:rPr>
                    <w:t>10</w:t>
                  </w:r>
                </w:p>
              </w:tc>
              <w:tc>
                <w:tcPr>
                  <w:tcW w:w="2810"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60"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0"/>
                      <w:sz w:val="21"/>
                      <w:szCs w:val="21"/>
                      <w:u w:val="single"/>
                      <w:lang w:val="en-US" w:eastAsia="zh-CN" w:bidi="ar"/>
                    </w:rPr>
                  </w:pP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1"/>
                      <w:szCs w:val="21"/>
                      <w:u w:val="single"/>
                      <w:lang w:val="en-US" w:eastAsia="zh-CN" w:bidi="ar"/>
                    </w:rPr>
                  </w:pPr>
                  <w:r>
                    <w:rPr>
                      <w:rFonts w:hint="eastAsia" w:ascii="宋体" w:hAnsi="宋体" w:cs="宋体"/>
                      <w:i w:val="0"/>
                      <w:iCs w:val="0"/>
                      <w:color w:val="000000"/>
                      <w:kern w:val="0"/>
                      <w:sz w:val="21"/>
                      <w:szCs w:val="21"/>
                      <w:u w:val="single"/>
                      <w:lang w:val="en-US" w:eastAsia="zh-CN" w:bidi="ar"/>
                    </w:rPr>
                    <w:t>雾炮机</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1"/>
                      <w:szCs w:val="21"/>
                      <w:u w:val="single"/>
                      <w:lang w:val="en-US" w:eastAsia="zh-CN" w:bidi="ar"/>
                    </w:rPr>
                  </w:pPr>
                  <w:r>
                    <w:rPr>
                      <w:rFonts w:hint="eastAsia" w:ascii="宋体" w:hAnsi="宋体" w:cs="宋体"/>
                      <w:i w:val="0"/>
                      <w:iCs w:val="0"/>
                      <w:color w:val="000000"/>
                      <w:kern w:val="0"/>
                      <w:sz w:val="21"/>
                      <w:szCs w:val="21"/>
                      <w:u w:val="single"/>
                      <w:lang w:val="en-US" w:eastAsia="zh-CN" w:bidi="ar"/>
                    </w:rPr>
                    <w:t>台</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2</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10</w:t>
                  </w:r>
                </w:p>
              </w:tc>
              <w:tc>
                <w:tcPr>
                  <w:tcW w:w="2810"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85"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single"/>
                    </w:rPr>
                  </w:pP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围挡及帆布</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批</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2</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lang w:val="en-US"/>
                    </w:rPr>
                  </w:pPr>
                  <w:r>
                    <w:rPr>
                      <w:rFonts w:hint="eastAsia" w:cs="Times New Roman"/>
                      <w:i w:val="0"/>
                      <w:iCs w:val="0"/>
                      <w:color w:val="000000"/>
                      <w:kern w:val="0"/>
                      <w:sz w:val="21"/>
                      <w:szCs w:val="21"/>
                      <w:u w:val="single"/>
                      <w:lang w:val="en-US" w:eastAsia="zh-CN" w:bidi="ar"/>
                    </w:rPr>
                    <w:t>15</w:t>
                  </w:r>
                </w:p>
              </w:tc>
              <w:tc>
                <w:tcPr>
                  <w:tcW w:w="2810"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废水治理</w:t>
                  </w: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隔油池</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个</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2</w:t>
                  </w:r>
                </w:p>
              </w:tc>
              <w:tc>
                <w:tcPr>
                  <w:tcW w:w="2810"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single"/>
                    </w:rPr>
                  </w:pP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沉淀池</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个</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3</w:t>
                  </w:r>
                </w:p>
              </w:tc>
              <w:tc>
                <w:tcPr>
                  <w:tcW w:w="2810"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噪声治理</w:t>
                  </w: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围挡屏障</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rPr>
                  </w:pPr>
                  <w:r>
                    <w:rPr>
                      <w:rFonts w:hint="eastAsia" w:ascii="Times New Roman" w:hAnsi="Times New Roman" w:eastAsia="宋体" w:cs="Times New Roman"/>
                      <w:i w:val="0"/>
                      <w:iCs w:val="0"/>
                      <w:color w:val="000000"/>
                      <w:kern w:val="0"/>
                      <w:sz w:val="21"/>
                      <w:szCs w:val="21"/>
                      <w:u w:val="single"/>
                      <w:lang w:val="en-US" w:eastAsia="zh-CN" w:bidi="ar"/>
                    </w:rPr>
                    <w:t>k</w:t>
                  </w:r>
                  <w:r>
                    <w:rPr>
                      <w:rFonts w:hint="default" w:ascii="Times New Roman" w:hAnsi="Times New Roman" w:eastAsia="宋体" w:cs="Times New Roman"/>
                      <w:i w:val="0"/>
                      <w:iCs w:val="0"/>
                      <w:color w:val="000000"/>
                      <w:kern w:val="0"/>
                      <w:sz w:val="21"/>
                      <w:szCs w:val="21"/>
                      <w:u w:val="single"/>
                      <w:lang w:val="en-US" w:eastAsia="zh-CN" w:bidi="ar"/>
                    </w:rPr>
                    <w:t>m</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lang w:val="en-US"/>
                    </w:rPr>
                  </w:pPr>
                  <w:r>
                    <w:rPr>
                      <w:rFonts w:hint="eastAsia" w:ascii="Times New Roman" w:hAnsi="Times New Roman" w:eastAsia="宋体" w:cs="Times New Roman"/>
                      <w:i w:val="0"/>
                      <w:iCs w:val="0"/>
                      <w:color w:val="000000"/>
                      <w:kern w:val="0"/>
                      <w:sz w:val="21"/>
                      <w:szCs w:val="21"/>
                      <w:u w:val="single"/>
                      <w:lang w:val="en-US" w:eastAsia="zh-CN" w:bidi="ar"/>
                    </w:rPr>
                    <w:t>2.12</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30</w:t>
                  </w:r>
                </w:p>
              </w:tc>
              <w:tc>
                <w:tcPr>
                  <w:tcW w:w="2810"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生活垃圾</w:t>
                  </w: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收集箱</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single"/>
                    </w:rPr>
                  </w:pPr>
                  <w:r>
                    <w:rPr>
                      <w:rFonts w:hint="eastAsia" w:ascii="宋体" w:hAnsi="宋体" w:eastAsia="宋体" w:cs="宋体"/>
                      <w:i w:val="0"/>
                      <w:iCs w:val="0"/>
                      <w:color w:val="000000"/>
                      <w:kern w:val="0"/>
                      <w:sz w:val="21"/>
                      <w:szCs w:val="21"/>
                      <w:u w:val="single"/>
                      <w:lang w:val="en-US" w:eastAsia="zh-CN" w:bidi="ar"/>
                    </w:rPr>
                    <w:t>处</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2</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single"/>
                    </w:rPr>
                  </w:pPr>
                  <w:r>
                    <w:rPr>
                      <w:rFonts w:hint="eastAsia" w:cs="Times New Roman"/>
                      <w:i w:val="0"/>
                      <w:iCs w:val="0"/>
                      <w:color w:val="000000"/>
                      <w:kern w:val="0"/>
                      <w:sz w:val="21"/>
                      <w:szCs w:val="21"/>
                      <w:u w:val="single"/>
                      <w:lang w:val="en-US" w:eastAsia="zh-CN" w:bidi="ar"/>
                    </w:rPr>
                    <w:t>2</w:t>
                  </w:r>
                </w:p>
              </w:tc>
              <w:tc>
                <w:tcPr>
                  <w:tcW w:w="2810"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1"/>
                      <w:szCs w:val="21"/>
                      <w:u w:val="single"/>
                      <w:lang w:val="en-US" w:eastAsia="zh-CN" w:bidi="ar"/>
                    </w:rPr>
                  </w:pPr>
                  <w:r>
                    <w:rPr>
                      <w:rFonts w:hint="eastAsia" w:ascii="宋体" w:hAnsi="宋体" w:cs="宋体"/>
                      <w:i w:val="0"/>
                      <w:iCs w:val="0"/>
                      <w:color w:val="000000"/>
                      <w:kern w:val="0"/>
                      <w:sz w:val="21"/>
                      <w:szCs w:val="21"/>
                      <w:u w:val="single"/>
                      <w:lang w:val="en-US" w:eastAsia="zh-CN" w:bidi="ar"/>
                    </w:rPr>
                    <w:t>危险废物</w:t>
                  </w: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1"/>
                      <w:szCs w:val="21"/>
                      <w:u w:val="single"/>
                      <w:lang w:val="en-US" w:eastAsia="zh-CN" w:bidi="ar"/>
                    </w:rPr>
                  </w:pPr>
                  <w:r>
                    <w:rPr>
                      <w:rFonts w:hint="eastAsia" w:ascii="宋体" w:hAnsi="宋体" w:cs="宋体"/>
                      <w:i w:val="0"/>
                      <w:iCs w:val="0"/>
                      <w:color w:val="000000"/>
                      <w:kern w:val="0"/>
                      <w:sz w:val="21"/>
                      <w:szCs w:val="21"/>
                      <w:u w:val="single"/>
                      <w:lang w:val="en-US" w:eastAsia="zh-CN" w:bidi="ar"/>
                    </w:rPr>
                    <w:t>收集委托处理</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1"/>
                      <w:szCs w:val="21"/>
                      <w:u w:val="single"/>
                      <w:lang w:val="en-US" w:eastAsia="zh-CN" w:bidi="ar"/>
                    </w:rPr>
                  </w:pPr>
                  <w:r>
                    <w:rPr>
                      <w:rFonts w:hint="eastAsia" w:ascii="宋体" w:hAnsi="宋体" w:cs="宋体"/>
                      <w:i w:val="0"/>
                      <w:iCs w:val="0"/>
                      <w:color w:val="000000"/>
                      <w:kern w:val="0"/>
                      <w:sz w:val="21"/>
                      <w:szCs w:val="21"/>
                      <w:u w:val="single"/>
                      <w:lang w:val="en-US" w:eastAsia="zh-CN" w:bidi="ar"/>
                    </w:rPr>
                    <w:t>/</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kern w:val="0"/>
                      <w:sz w:val="21"/>
                      <w:szCs w:val="21"/>
                      <w:u w:val="single"/>
                      <w:lang w:val="en-US" w:eastAsia="zh-CN" w:bidi="ar"/>
                    </w:rPr>
                  </w:pPr>
                  <w:r>
                    <w:rPr>
                      <w:rFonts w:hint="eastAsia" w:cs="Times New Roman"/>
                      <w:i w:val="0"/>
                      <w:iCs w:val="0"/>
                      <w:color w:val="000000"/>
                      <w:kern w:val="0"/>
                      <w:sz w:val="21"/>
                      <w:szCs w:val="21"/>
                      <w:u w:val="single"/>
                      <w:lang w:val="en-US" w:eastAsia="zh-CN" w:bidi="ar"/>
                    </w:rPr>
                    <w:t>1</w:t>
                  </w:r>
                </w:p>
              </w:tc>
              <w:tc>
                <w:tcPr>
                  <w:tcW w:w="2810"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467" w:type="dxa"/>
                  <w:gridSpan w:val="6"/>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营运期污染环境治理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360"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噪声治理</w:t>
                  </w: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禁鸣标识等</w:t>
                  </w:r>
                </w:p>
              </w:tc>
              <w:tc>
                <w:tcPr>
                  <w:tcW w:w="1237"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kern w:val="0"/>
                      <w:sz w:val="21"/>
                      <w:szCs w:val="21"/>
                      <w:u w:val="none"/>
                      <w:lang w:val="en-US" w:eastAsia="zh-CN" w:bidi="ar"/>
                    </w:rPr>
                    <w:t>2</w:t>
                  </w:r>
                </w:p>
              </w:tc>
              <w:tc>
                <w:tcPr>
                  <w:tcW w:w="28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运营期投资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低噪声路面</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k</w:t>
                  </w:r>
                  <w:r>
                    <w:rPr>
                      <w:rFonts w:hint="default" w:ascii="Times New Roman" w:hAnsi="Times New Roman" w:eastAsia="宋体" w:cs="Times New Roman"/>
                      <w:i w:val="0"/>
                      <w:iCs w:val="0"/>
                      <w:color w:val="000000"/>
                      <w:kern w:val="0"/>
                      <w:sz w:val="21"/>
                      <w:szCs w:val="21"/>
                      <w:u w:val="none"/>
                      <w:lang w:val="en-US" w:eastAsia="zh-CN" w:bidi="ar"/>
                    </w:rPr>
                    <w:t>m</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2.12</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8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纳入项目主体工程投资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绿化</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eastAsia" w:ascii="Times New Roman" w:hAnsi="Times New Roman" w:eastAsia="宋体" w:cs="Times New Roman"/>
                      <w:i w:val="0"/>
                      <w:iCs w:val="0"/>
                      <w:color w:val="000000"/>
                      <w:kern w:val="0"/>
                      <w:sz w:val="21"/>
                      <w:szCs w:val="21"/>
                      <w:u w:val="none"/>
                      <w:lang w:val="en-US" w:eastAsia="zh-CN" w:bidi="ar"/>
                    </w:rPr>
                    <w:t>k</w:t>
                  </w:r>
                  <w:r>
                    <w:rPr>
                      <w:rFonts w:hint="default" w:ascii="Times New Roman" w:hAnsi="Times New Roman" w:eastAsia="宋体" w:cs="Times New Roman"/>
                      <w:i w:val="0"/>
                      <w:iCs w:val="0"/>
                      <w:color w:val="000000"/>
                      <w:kern w:val="0"/>
                      <w:sz w:val="21"/>
                      <w:szCs w:val="21"/>
                      <w:u w:val="none"/>
                      <w:lang w:val="en-US" w:eastAsia="zh-CN" w:bidi="ar"/>
                    </w:rPr>
                    <w:t>m</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1.56</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8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纳入项目主体绿化投资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eastAsia" w:ascii="宋体" w:hAnsi="宋体" w:eastAsia="宋体" w:cs="宋体"/>
                      <w:i w:val="0"/>
                      <w:iCs w:val="0"/>
                      <w:color w:val="000000"/>
                      <w:sz w:val="21"/>
                      <w:szCs w:val="21"/>
                      <w:u w:val="none"/>
                    </w:rPr>
                  </w:pP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隔声窗</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8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由新建建筑物开发商投资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废水</w:t>
                  </w: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雨污管网</w:t>
                  </w:r>
                </w:p>
              </w:tc>
              <w:tc>
                <w:tcPr>
                  <w:tcW w:w="1237"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雨污分流</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8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计入主体工程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802"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本部分小计</w:t>
                  </w:r>
                </w:p>
              </w:tc>
              <w:tc>
                <w:tcPr>
                  <w:tcW w:w="4665" w:type="dxa"/>
                  <w:gridSpan w:val="4"/>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lang w:val="en-US"/>
                    </w:rPr>
                  </w:pPr>
                  <w:r>
                    <w:rPr>
                      <w:rFonts w:hint="eastAsia" w:ascii="Times New Roman" w:hAnsi="Times New Roman" w:eastAsia="宋体" w:cs="Times New Roman"/>
                      <w:i w:val="0"/>
                      <w:iCs w:val="0"/>
                      <w:color w:val="000000"/>
                      <w:kern w:val="0"/>
                      <w:sz w:val="21"/>
                      <w:szCs w:val="21"/>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w:t>
                  </w:r>
                </w:p>
              </w:tc>
              <w:tc>
                <w:tcPr>
                  <w:tcW w:w="7467" w:type="dxa"/>
                  <w:gridSpan w:val="6"/>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生态环境保护投资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2802"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表土保存，绿化（行道树）</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8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802"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水土保持</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28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计入水保投资，本次不计入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2802"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绿化维护</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28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营运期投资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802"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本部分小计</w:t>
                  </w:r>
                </w:p>
              </w:tc>
              <w:tc>
                <w:tcPr>
                  <w:tcW w:w="4665" w:type="dxa"/>
                  <w:gridSpan w:val="4"/>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w:t>
                  </w:r>
                </w:p>
              </w:tc>
              <w:tc>
                <w:tcPr>
                  <w:tcW w:w="7467" w:type="dxa"/>
                  <w:gridSpan w:val="6"/>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环境管理投资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96"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环境监测费用</w:t>
                  </w: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2810" w:type="dxa"/>
                  <w:vMerge w:val="restart"/>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运营期监测按照设计的15年计算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426" w:type="dxa"/>
                  <w:vMerge w:val="continue"/>
                  <w:shd w:val="clear" w:color="auto" w:fill="FFFFFF"/>
                  <w:vAlign w:val="center"/>
                </w:tcPr>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i w:val="0"/>
                      <w:iCs w:val="0"/>
                      <w:color w:val="000000"/>
                      <w:sz w:val="21"/>
                      <w:szCs w:val="21"/>
                      <w:u w:val="none"/>
                    </w:rPr>
                  </w:pPr>
                </w:p>
              </w:tc>
              <w:tc>
                <w:tcPr>
                  <w:tcW w:w="1296"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p>
              </w:tc>
              <w:tc>
                <w:tcPr>
                  <w:tcW w:w="150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营运期</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年</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2810" w:type="dxa"/>
                  <w:vMerge w:val="continue"/>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2802"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工程环境监理费用</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28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2802"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环境影响评价与环保验收</w:t>
                  </w:r>
                </w:p>
              </w:tc>
              <w:tc>
                <w:tcPr>
                  <w:tcW w:w="6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627"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18"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2810"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2802"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本部分小计</w:t>
                  </w:r>
                </w:p>
              </w:tc>
              <w:tc>
                <w:tcPr>
                  <w:tcW w:w="4665" w:type="dxa"/>
                  <w:gridSpan w:val="4"/>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6" w:type="dxa"/>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w:t>
                  </w:r>
                </w:p>
              </w:tc>
              <w:tc>
                <w:tcPr>
                  <w:tcW w:w="2802" w:type="dxa"/>
                  <w:gridSpan w:val="2"/>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总计</w:t>
                  </w:r>
                </w:p>
              </w:tc>
              <w:tc>
                <w:tcPr>
                  <w:tcW w:w="4665" w:type="dxa"/>
                  <w:gridSpan w:val="4"/>
                  <w:shd w:val="clear" w:color="auto" w:fill="FFFFFF"/>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6.5</w:t>
                  </w:r>
                </w:p>
              </w:tc>
            </w:tr>
          </w:tbl>
          <w:p>
            <w:pPr>
              <w:rPr>
                <w:rFonts w:ascii="宋体" w:hAnsi="宋体" w:cs="宋体"/>
                <w:bCs/>
                <w:color w:val="000000"/>
                <w:spacing w:val="10"/>
                <w:sz w:val="21"/>
                <w:szCs w:val="21"/>
                <w:highlight w:val="none"/>
              </w:rPr>
            </w:pPr>
          </w:p>
        </w:tc>
      </w:tr>
    </w:tbl>
    <w:p>
      <w:pPr>
        <w:rPr>
          <w:rFonts w:hint="eastAsia" w:ascii="黑体" w:hAnsi="黑体" w:eastAsia="黑体"/>
          <w:color w:val="000000"/>
          <w:sz w:val="30"/>
          <w:szCs w:val="30"/>
          <w:highlight w:val="none"/>
        </w:rPr>
      </w:pPr>
      <w:r>
        <w:rPr>
          <w:rFonts w:hint="eastAsia" w:ascii="黑体" w:hAnsi="黑体" w:eastAsia="黑体"/>
          <w:color w:val="000000"/>
          <w:sz w:val="30"/>
          <w:szCs w:val="30"/>
          <w:highlight w:val="none"/>
        </w:rPr>
        <w:br w:type="page"/>
      </w:r>
    </w:p>
    <w:p>
      <w:pPr>
        <w:pStyle w:val="218"/>
        <w:jc w:val="center"/>
        <w:outlineLvl w:val="0"/>
        <w:rPr>
          <w:rFonts w:ascii="黑体" w:hAnsi="黑体" w:eastAsia="黑体"/>
          <w:color w:val="000000"/>
          <w:sz w:val="30"/>
          <w:szCs w:val="30"/>
          <w:highlight w:val="none"/>
        </w:rPr>
      </w:pPr>
      <w:bookmarkStart w:id="25" w:name="_Toc17202"/>
      <w:bookmarkStart w:id="26" w:name="_Toc13518"/>
      <w:r>
        <w:rPr>
          <w:rFonts w:hint="eastAsia" w:ascii="黑体" w:hAnsi="黑体" w:eastAsia="黑体"/>
          <w:color w:val="000000"/>
          <w:sz w:val="30"/>
          <w:szCs w:val="30"/>
          <w:highlight w:val="none"/>
        </w:rPr>
        <w:t>六、生态环境保护措施监督检查清单</w:t>
      </w:r>
      <w:bookmarkEnd w:id="25"/>
      <w:bookmarkEnd w:id="26"/>
    </w:p>
    <w:tbl>
      <w:tblPr>
        <w:tblStyle w:val="40"/>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2227"/>
        <w:gridCol w:w="1455"/>
        <w:gridCol w:w="1750"/>
        <w:gridCol w:w="1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326" w:type="dxa"/>
            <w:vMerge w:val="restart"/>
            <w:noWrap w:val="0"/>
            <w:vAlign w:val="center"/>
          </w:tcPr>
          <w:p>
            <w:pPr>
              <w:pStyle w:val="218"/>
              <w:spacing w:before="72" w:beforeAutospacing="0" w:after="0" w:afterAutospacing="0"/>
              <w:jc w:val="center"/>
              <w:outlineLvl w:val="0"/>
              <w:rPr>
                <w:rFonts w:ascii="Times New Roman" w:hAnsi="Times New Roman" w:eastAsia="宋体" w:cs="Times New Roman"/>
                <w:color w:val="000000"/>
                <w:sz w:val="21"/>
                <w:szCs w:val="21"/>
                <w:highlight w:val="none"/>
              </w:rPr>
            </w:pPr>
            <w:bookmarkStart w:id="27" w:name="_Toc11772"/>
            <w:bookmarkStart w:id="28" w:name="_Toc9875"/>
            <w:bookmarkStart w:id="29" w:name="_Toc25765"/>
            <w:bookmarkStart w:id="30" w:name="_Toc3401"/>
            <w:bookmarkStart w:id="31" w:name="_Toc10645"/>
            <w:bookmarkStart w:id="32" w:name="_Toc16790"/>
            <w:bookmarkStart w:id="33" w:name="_Toc12974"/>
            <w:bookmarkStart w:id="34" w:name="_Toc11767"/>
            <w:r>
              <w:rPr>
                <w:rFonts w:ascii="Times New Roman" w:hAnsi="Times New Roman" w:eastAsia="宋体" w:cs="Times New Roman"/>
                <w:color w:val="000000"/>
                <w:sz w:val="21"/>
                <w:szCs w:val="21"/>
                <w:highlight w:val="none"/>
              </w:rPr>
              <w:t>内容</w:t>
            </w:r>
            <w:bookmarkEnd w:id="27"/>
            <w:bookmarkStart w:id="35" w:name="_Toc298"/>
            <w:r>
              <w:rPr>
                <w:rFonts w:hint="eastAsia" w:ascii="Times New Roman" w:hAnsi="Times New Roman" w:cs="Times New Roman"/>
                <w:color w:val="000000"/>
                <w:sz w:val="21"/>
                <w:szCs w:val="21"/>
                <w:highlight w:val="none"/>
                <w:lang w:val="en-US" w:eastAsia="zh-CN"/>
              </w:rPr>
              <w:t>/</w:t>
            </w:r>
            <w:r>
              <w:rPr>
                <w:rFonts w:ascii="Times New Roman" w:hAnsi="Times New Roman" w:eastAsia="宋体" w:cs="Times New Roman"/>
                <w:color w:val="000000"/>
                <w:sz w:val="21"/>
                <w:szCs w:val="21"/>
                <w:highlight w:val="none"/>
              </w:rPr>
              <w:t>要素</w:t>
            </w:r>
            <w:bookmarkEnd w:id="28"/>
            <w:bookmarkEnd w:id="29"/>
            <w:bookmarkEnd w:id="30"/>
            <w:bookmarkEnd w:id="31"/>
            <w:bookmarkEnd w:id="32"/>
            <w:bookmarkEnd w:id="33"/>
            <w:bookmarkEnd w:id="34"/>
            <w:bookmarkEnd w:id="35"/>
          </w:p>
        </w:tc>
        <w:tc>
          <w:tcPr>
            <w:tcW w:w="3682" w:type="dxa"/>
            <w:gridSpan w:val="2"/>
            <w:noWrap w:val="0"/>
            <w:vAlign w:val="center"/>
          </w:tcPr>
          <w:p>
            <w:pPr>
              <w:pStyle w:val="218"/>
              <w:spacing w:before="0" w:beforeAutospacing="0" w:after="0" w:afterAutospacing="0"/>
              <w:jc w:val="center"/>
              <w:outlineLvl w:val="0"/>
              <w:rPr>
                <w:rFonts w:ascii="Times New Roman" w:hAnsi="Times New Roman" w:eastAsia="宋体" w:cs="Times New Roman"/>
                <w:color w:val="000000"/>
                <w:sz w:val="21"/>
                <w:szCs w:val="21"/>
                <w:highlight w:val="none"/>
              </w:rPr>
            </w:pPr>
            <w:bookmarkStart w:id="36" w:name="_Toc18210"/>
            <w:bookmarkStart w:id="37" w:name="_Toc14505"/>
            <w:bookmarkStart w:id="38" w:name="_Toc32762"/>
            <w:bookmarkStart w:id="39" w:name="_Toc9835"/>
            <w:bookmarkStart w:id="40" w:name="_Toc7125"/>
            <w:bookmarkStart w:id="41" w:name="_Toc2003"/>
            <w:bookmarkStart w:id="42" w:name="_Toc19102"/>
            <w:bookmarkStart w:id="43" w:name="_Toc10531"/>
            <w:r>
              <w:rPr>
                <w:rFonts w:ascii="Times New Roman" w:hAnsi="Times New Roman" w:eastAsia="宋体" w:cs="Times New Roman"/>
                <w:color w:val="000000"/>
                <w:sz w:val="21"/>
                <w:szCs w:val="21"/>
                <w:highlight w:val="none"/>
              </w:rPr>
              <w:t>施工期</w:t>
            </w:r>
            <w:bookmarkEnd w:id="36"/>
            <w:bookmarkEnd w:id="37"/>
            <w:bookmarkEnd w:id="38"/>
            <w:bookmarkEnd w:id="39"/>
            <w:bookmarkEnd w:id="40"/>
            <w:bookmarkEnd w:id="41"/>
            <w:bookmarkEnd w:id="42"/>
            <w:bookmarkEnd w:id="43"/>
          </w:p>
        </w:tc>
        <w:tc>
          <w:tcPr>
            <w:tcW w:w="3511" w:type="dxa"/>
            <w:gridSpan w:val="2"/>
            <w:noWrap w:val="0"/>
            <w:vAlign w:val="center"/>
          </w:tcPr>
          <w:p>
            <w:pPr>
              <w:pStyle w:val="218"/>
              <w:spacing w:before="0" w:beforeAutospacing="0" w:after="0" w:afterAutospacing="0"/>
              <w:jc w:val="center"/>
              <w:outlineLvl w:val="0"/>
              <w:rPr>
                <w:rFonts w:ascii="Times New Roman" w:hAnsi="Times New Roman" w:eastAsia="宋体" w:cs="Times New Roman"/>
                <w:color w:val="000000"/>
                <w:sz w:val="21"/>
                <w:szCs w:val="21"/>
                <w:highlight w:val="none"/>
              </w:rPr>
            </w:pPr>
            <w:bookmarkStart w:id="44" w:name="_Toc17793"/>
            <w:bookmarkStart w:id="45" w:name="_Toc15705"/>
            <w:bookmarkStart w:id="46" w:name="_Toc19447"/>
            <w:bookmarkStart w:id="47" w:name="_Toc31580"/>
            <w:bookmarkStart w:id="48" w:name="_Toc19487"/>
            <w:bookmarkStart w:id="49" w:name="_Toc3509"/>
            <w:bookmarkStart w:id="50" w:name="_Toc25072"/>
            <w:bookmarkStart w:id="51" w:name="_Toc3968"/>
            <w:r>
              <w:rPr>
                <w:rFonts w:ascii="Times New Roman" w:hAnsi="Times New Roman" w:eastAsia="宋体" w:cs="Times New Roman"/>
                <w:color w:val="000000"/>
                <w:sz w:val="21"/>
                <w:szCs w:val="21"/>
                <w:highlight w:val="none"/>
              </w:rPr>
              <w:t>运营期</w:t>
            </w:r>
            <w:bookmarkEnd w:id="44"/>
            <w:bookmarkEnd w:id="45"/>
            <w:bookmarkEnd w:id="46"/>
            <w:bookmarkEnd w:id="47"/>
            <w:bookmarkEnd w:id="48"/>
            <w:bookmarkEnd w:id="49"/>
            <w:bookmarkEnd w:id="50"/>
            <w:bookmarkEnd w:id="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1326" w:type="dxa"/>
            <w:vMerge w:val="continue"/>
            <w:noWrap w:val="0"/>
            <w:vAlign w:val="center"/>
          </w:tcPr>
          <w:p>
            <w:pPr>
              <w:pStyle w:val="218"/>
              <w:spacing w:before="0" w:beforeAutospacing="0" w:after="0" w:afterAutospacing="0"/>
              <w:ind w:firstLine="840"/>
              <w:jc w:val="center"/>
              <w:outlineLvl w:val="9"/>
              <w:rPr>
                <w:rFonts w:ascii="Times New Roman" w:hAnsi="Times New Roman" w:eastAsia="宋体" w:cs="Times New Roman"/>
                <w:color w:val="000000"/>
                <w:sz w:val="21"/>
                <w:szCs w:val="21"/>
                <w:highlight w:val="none"/>
              </w:rPr>
            </w:pPr>
          </w:p>
        </w:tc>
        <w:tc>
          <w:tcPr>
            <w:tcW w:w="2227" w:type="dxa"/>
            <w:noWrap w:val="0"/>
            <w:vAlign w:val="center"/>
          </w:tcPr>
          <w:p>
            <w:pPr>
              <w:pStyle w:val="218"/>
              <w:spacing w:before="0" w:beforeAutospacing="0" w:after="0" w:afterAutospacing="0"/>
              <w:jc w:val="center"/>
              <w:outlineLvl w:val="0"/>
              <w:rPr>
                <w:rFonts w:ascii="Times New Roman" w:hAnsi="Times New Roman" w:eastAsia="宋体" w:cs="Times New Roman"/>
                <w:color w:val="000000"/>
                <w:sz w:val="21"/>
                <w:szCs w:val="21"/>
                <w:highlight w:val="none"/>
              </w:rPr>
            </w:pPr>
            <w:bookmarkStart w:id="52" w:name="_Toc30322"/>
            <w:bookmarkStart w:id="53" w:name="_Toc2544"/>
            <w:bookmarkStart w:id="54" w:name="_Toc15507"/>
            <w:bookmarkStart w:id="55" w:name="_Toc22577"/>
            <w:bookmarkStart w:id="56" w:name="_Toc12659"/>
            <w:bookmarkStart w:id="57" w:name="_Toc9919"/>
            <w:bookmarkStart w:id="58" w:name="_Toc9215"/>
            <w:bookmarkStart w:id="59" w:name="_Toc27849"/>
            <w:r>
              <w:rPr>
                <w:rFonts w:ascii="Times New Roman" w:hAnsi="Times New Roman" w:eastAsia="宋体" w:cs="Times New Roman"/>
                <w:color w:val="000000"/>
                <w:sz w:val="21"/>
                <w:szCs w:val="21"/>
                <w:highlight w:val="none"/>
              </w:rPr>
              <w:t>环境保护措施</w:t>
            </w:r>
            <w:bookmarkEnd w:id="52"/>
            <w:bookmarkEnd w:id="53"/>
            <w:bookmarkEnd w:id="54"/>
            <w:bookmarkEnd w:id="55"/>
            <w:bookmarkEnd w:id="56"/>
            <w:bookmarkEnd w:id="57"/>
            <w:bookmarkEnd w:id="58"/>
            <w:bookmarkEnd w:id="59"/>
          </w:p>
        </w:tc>
        <w:tc>
          <w:tcPr>
            <w:tcW w:w="1455" w:type="dxa"/>
            <w:noWrap w:val="0"/>
            <w:vAlign w:val="center"/>
          </w:tcPr>
          <w:p>
            <w:pPr>
              <w:pStyle w:val="218"/>
              <w:spacing w:before="0" w:beforeAutospacing="0" w:after="0" w:afterAutospacing="0"/>
              <w:jc w:val="center"/>
              <w:outlineLvl w:val="0"/>
              <w:rPr>
                <w:rFonts w:ascii="Times New Roman" w:hAnsi="Times New Roman" w:eastAsia="宋体" w:cs="Times New Roman"/>
                <w:color w:val="000000"/>
                <w:sz w:val="21"/>
                <w:szCs w:val="21"/>
                <w:highlight w:val="none"/>
              </w:rPr>
            </w:pPr>
            <w:bookmarkStart w:id="60" w:name="_Toc14608"/>
            <w:bookmarkStart w:id="61" w:name="_Toc13956"/>
            <w:bookmarkStart w:id="62" w:name="_Toc32301"/>
            <w:bookmarkStart w:id="63" w:name="_Toc12947"/>
            <w:bookmarkStart w:id="64" w:name="_Toc20140"/>
            <w:bookmarkStart w:id="65" w:name="_Toc30211"/>
            <w:bookmarkStart w:id="66" w:name="_Toc22967"/>
            <w:bookmarkStart w:id="67" w:name="_Toc623"/>
            <w:r>
              <w:rPr>
                <w:rFonts w:ascii="Times New Roman" w:hAnsi="Times New Roman" w:eastAsia="宋体" w:cs="Times New Roman"/>
                <w:color w:val="000000"/>
                <w:sz w:val="21"/>
                <w:szCs w:val="21"/>
                <w:highlight w:val="none"/>
              </w:rPr>
              <w:t>验收要求</w:t>
            </w:r>
            <w:bookmarkEnd w:id="60"/>
            <w:bookmarkEnd w:id="61"/>
            <w:bookmarkEnd w:id="62"/>
            <w:bookmarkEnd w:id="63"/>
            <w:bookmarkEnd w:id="64"/>
            <w:bookmarkEnd w:id="65"/>
            <w:bookmarkEnd w:id="66"/>
            <w:bookmarkEnd w:id="67"/>
          </w:p>
        </w:tc>
        <w:tc>
          <w:tcPr>
            <w:tcW w:w="1750" w:type="dxa"/>
            <w:noWrap w:val="0"/>
            <w:vAlign w:val="center"/>
          </w:tcPr>
          <w:p>
            <w:pPr>
              <w:pStyle w:val="218"/>
              <w:spacing w:before="0" w:beforeAutospacing="0" w:after="0" w:afterAutospacing="0"/>
              <w:jc w:val="center"/>
              <w:outlineLvl w:val="0"/>
              <w:rPr>
                <w:rFonts w:ascii="Times New Roman" w:hAnsi="Times New Roman" w:eastAsia="宋体" w:cs="Times New Roman"/>
                <w:color w:val="000000"/>
                <w:sz w:val="21"/>
                <w:szCs w:val="21"/>
                <w:highlight w:val="none"/>
              </w:rPr>
            </w:pPr>
            <w:bookmarkStart w:id="68" w:name="_Toc9286"/>
            <w:bookmarkStart w:id="69" w:name="_Toc8398"/>
            <w:bookmarkStart w:id="70" w:name="_Toc5379"/>
            <w:bookmarkStart w:id="71" w:name="_Toc17952"/>
            <w:bookmarkStart w:id="72" w:name="_Toc25866"/>
            <w:bookmarkStart w:id="73" w:name="_Toc11325"/>
            <w:bookmarkStart w:id="74" w:name="_Toc16906"/>
            <w:bookmarkStart w:id="75" w:name="_Toc9220"/>
            <w:r>
              <w:rPr>
                <w:rFonts w:ascii="Times New Roman" w:hAnsi="Times New Roman" w:eastAsia="宋体" w:cs="Times New Roman"/>
                <w:color w:val="000000"/>
                <w:sz w:val="21"/>
                <w:szCs w:val="21"/>
                <w:highlight w:val="none"/>
              </w:rPr>
              <w:t>环境保护措施</w:t>
            </w:r>
            <w:bookmarkEnd w:id="68"/>
            <w:bookmarkEnd w:id="69"/>
            <w:bookmarkEnd w:id="70"/>
            <w:bookmarkEnd w:id="71"/>
            <w:bookmarkEnd w:id="72"/>
            <w:bookmarkEnd w:id="73"/>
            <w:bookmarkEnd w:id="74"/>
            <w:bookmarkEnd w:id="75"/>
          </w:p>
        </w:tc>
        <w:tc>
          <w:tcPr>
            <w:tcW w:w="1761" w:type="dxa"/>
            <w:noWrap w:val="0"/>
            <w:vAlign w:val="center"/>
          </w:tcPr>
          <w:p>
            <w:pPr>
              <w:pStyle w:val="218"/>
              <w:spacing w:before="0" w:beforeAutospacing="0" w:after="0" w:afterAutospacing="0"/>
              <w:jc w:val="center"/>
              <w:outlineLvl w:val="0"/>
              <w:rPr>
                <w:rFonts w:ascii="Times New Roman" w:hAnsi="Times New Roman" w:eastAsia="宋体" w:cs="Times New Roman"/>
                <w:color w:val="000000"/>
                <w:sz w:val="21"/>
                <w:szCs w:val="21"/>
                <w:highlight w:val="none"/>
              </w:rPr>
            </w:pPr>
            <w:bookmarkStart w:id="76" w:name="_Toc18936"/>
            <w:bookmarkStart w:id="77" w:name="_Toc3048"/>
            <w:bookmarkStart w:id="78" w:name="_Toc24070"/>
            <w:bookmarkStart w:id="79" w:name="_Toc12924"/>
            <w:bookmarkStart w:id="80" w:name="_Toc8046"/>
            <w:bookmarkStart w:id="81" w:name="_Toc25251"/>
            <w:bookmarkStart w:id="82" w:name="_Toc31726"/>
            <w:bookmarkStart w:id="83" w:name="_Toc3406"/>
            <w:r>
              <w:rPr>
                <w:rFonts w:ascii="Times New Roman" w:hAnsi="Times New Roman" w:eastAsia="宋体" w:cs="Times New Roman"/>
                <w:color w:val="000000"/>
                <w:sz w:val="21"/>
                <w:szCs w:val="21"/>
                <w:highlight w:val="none"/>
              </w:rPr>
              <w:t>验收要求</w:t>
            </w:r>
            <w:bookmarkEnd w:id="76"/>
            <w:bookmarkEnd w:id="77"/>
            <w:bookmarkEnd w:id="78"/>
            <w:bookmarkEnd w:id="79"/>
            <w:bookmarkEnd w:id="80"/>
            <w:bookmarkEnd w:id="81"/>
            <w:bookmarkEnd w:id="82"/>
            <w:bookmarkEnd w:id="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26"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陆生生态</w:t>
            </w:r>
          </w:p>
        </w:tc>
        <w:tc>
          <w:tcPr>
            <w:tcW w:w="2227" w:type="dxa"/>
            <w:noWrap w:val="0"/>
            <w:vAlign w:val="center"/>
          </w:tcPr>
          <w:p>
            <w:pPr>
              <w:jc w:val="center"/>
              <w:rPr>
                <w:rFonts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做好水土保持，尽量缩短施工期，减少土地裸露时间</w:t>
            </w:r>
          </w:p>
        </w:tc>
        <w:tc>
          <w:tcPr>
            <w:tcW w:w="1455" w:type="dxa"/>
            <w:noWrap w:val="0"/>
            <w:vAlign w:val="center"/>
          </w:tcPr>
          <w:p>
            <w:pPr>
              <w:jc w:val="center"/>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减小陆生</w:t>
            </w:r>
          </w:p>
          <w:p>
            <w:pPr>
              <w:jc w:val="center"/>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生态影响</w:t>
            </w:r>
          </w:p>
        </w:tc>
        <w:tc>
          <w:tcPr>
            <w:tcW w:w="1750"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加强对路面的养护和清洁，使</w:t>
            </w:r>
            <w:r>
              <w:rPr>
                <w:rFonts w:hint="eastAsia" w:cs="Times New Roman"/>
                <w:color w:val="000000"/>
                <w:sz w:val="21"/>
                <w:szCs w:val="21"/>
                <w:highlight w:val="none"/>
                <w:lang w:val="en-US" w:eastAsia="zh-CN"/>
              </w:rPr>
              <w:t>道路</w:t>
            </w:r>
            <w:r>
              <w:rPr>
                <w:rFonts w:ascii="Times New Roman" w:hAnsi="Times New Roman" w:eastAsia="宋体" w:cs="Times New Roman"/>
                <w:color w:val="000000"/>
                <w:sz w:val="21"/>
                <w:szCs w:val="21"/>
                <w:highlight w:val="none"/>
              </w:rPr>
              <w:t>保持良好的运营状态；加强</w:t>
            </w:r>
            <w:r>
              <w:rPr>
                <w:rFonts w:hint="eastAsia" w:cs="Times New Roman"/>
                <w:color w:val="000000"/>
                <w:sz w:val="21"/>
                <w:szCs w:val="21"/>
                <w:highlight w:val="none"/>
                <w:lang w:val="en-US" w:eastAsia="zh-CN"/>
              </w:rPr>
              <w:t>道路</w:t>
            </w:r>
            <w:r>
              <w:rPr>
                <w:rFonts w:ascii="Times New Roman" w:hAnsi="Times New Roman" w:eastAsia="宋体" w:cs="Times New Roman"/>
                <w:color w:val="000000"/>
                <w:sz w:val="21"/>
                <w:szCs w:val="21"/>
                <w:highlight w:val="none"/>
              </w:rPr>
              <w:t>两侧的绿化</w:t>
            </w:r>
          </w:p>
        </w:tc>
        <w:tc>
          <w:tcPr>
            <w:tcW w:w="1761"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崭新的道路及沿线配套的绿化</w:t>
            </w:r>
            <w:r>
              <w:rPr>
                <w:rFonts w:ascii="Times New Roman" w:hAnsi="Times New Roman" w:eastAsia="宋体" w:cs="Times New Roman"/>
                <w:color w:val="000000"/>
                <w:sz w:val="21"/>
                <w:szCs w:val="21"/>
                <w:highlight w:val="none"/>
                <w:lang w:eastAsia="zh-CN"/>
              </w:rPr>
              <w:t>与</w:t>
            </w:r>
            <w:r>
              <w:rPr>
                <w:rFonts w:hint="eastAsia" w:cs="Times New Roman"/>
                <w:color w:val="000000"/>
                <w:sz w:val="21"/>
                <w:szCs w:val="21"/>
                <w:highlight w:val="none"/>
                <w:lang w:val="en-US" w:eastAsia="zh-CN"/>
              </w:rPr>
              <w:t>道路</w:t>
            </w:r>
            <w:r>
              <w:rPr>
                <w:rFonts w:ascii="Times New Roman" w:hAnsi="Times New Roman" w:eastAsia="宋体" w:cs="Times New Roman"/>
                <w:color w:val="000000"/>
                <w:sz w:val="21"/>
                <w:szCs w:val="21"/>
                <w:highlight w:val="none"/>
              </w:rPr>
              <w:t>形成一条绿色走廊，与周边自然景观相协调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326"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水生生态</w:t>
            </w:r>
          </w:p>
        </w:tc>
        <w:tc>
          <w:tcPr>
            <w:tcW w:w="2227"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在临时工程周边设置临时截排水设施；避免弃渣行为，保护好地表水体周边区域内生态环境</w:t>
            </w:r>
          </w:p>
        </w:tc>
        <w:tc>
          <w:tcPr>
            <w:tcW w:w="1455"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减小水质影响</w:t>
            </w:r>
          </w:p>
        </w:tc>
        <w:tc>
          <w:tcPr>
            <w:tcW w:w="1750"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道路路面两侧设置排水管</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vertAlign w:val="baseline"/>
              </w:rPr>
              <w:t>定期清理和维护雨污水管道</w:t>
            </w:r>
          </w:p>
        </w:tc>
        <w:tc>
          <w:tcPr>
            <w:tcW w:w="1761" w:type="dxa"/>
            <w:noWrap w:val="0"/>
            <w:vAlign w:val="center"/>
          </w:tcPr>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最大限度减缓</w:t>
            </w:r>
          </w:p>
          <w:p>
            <w:pPr>
              <w:jc w:val="center"/>
              <w:rPr>
                <w:rFonts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水污染影响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1" w:hRule="atLeast"/>
          <w:jc w:val="center"/>
        </w:trPr>
        <w:tc>
          <w:tcPr>
            <w:tcW w:w="1326" w:type="dxa"/>
            <w:noWrap w:val="0"/>
            <w:vAlign w:val="center"/>
          </w:tcPr>
          <w:p>
            <w:pPr>
              <w:jc w:val="center"/>
              <w:rPr>
                <w:rFonts w:ascii="Times New Roman" w:hAnsi="Times New Roman" w:eastAsia="宋体" w:cs="Times New Roman"/>
                <w:color w:val="000000"/>
                <w:sz w:val="21"/>
                <w:szCs w:val="21"/>
                <w:highlight w:val="none"/>
                <w:u w:val="single"/>
              </w:rPr>
            </w:pPr>
            <w:r>
              <w:rPr>
                <w:rFonts w:ascii="Times New Roman" w:hAnsi="Times New Roman" w:eastAsia="宋体" w:cs="Times New Roman"/>
                <w:color w:val="000000"/>
                <w:sz w:val="21"/>
                <w:szCs w:val="21"/>
                <w:highlight w:val="none"/>
                <w:u w:val="single"/>
              </w:rPr>
              <w:t>地表水环境</w:t>
            </w:r>
          </w:p>
        </w:tc>
        <w:tc>
          <w:tcPr>
            <w:tcW w:w="2227" w:type="dxa"/>
            <w:noWrap w:val="0"/>
            <w:vAlign w:val="center"/>
          </w:tcPr>
          <w:p>
            <w:pPr>
              <w:jc w:val="center"/>
              <w:rPr>
                <w:rFonts w:ascii="Times New Roman" w:hAnsi="Times New Roman" w:eastAsia="宋体" w:cs="Times New Roman"/>
                <w:color w:val="000000"/>
                <w:sz w:val="21"/>
                <w:szCs w:val="21"/>
                <w:highlight w:val="none"/>
                <w:u w:val="single"/>
                <w:lang w:eastAsia="zh-CN"/>
              </w:rPr>
            </w:pPr>
            <w:r>
              <w:rPr>
                <w:rFonts w:hint="eastAsia" w:ascii="Times New Roman" w:hAnsi="Times New Roman" w:eastAsia="宋体" w:cs="Times New Roman"/>
                <w:color w:val="000000"/>
                <w:sz w:val="21"/>
                <w:szCs w:val="21"/>
                <w:highlight w:val="none"/>
                <w:u w:val="single"/>
                <w:lang w:eastAsia="zh-CN"/>
              </w:rPr>
              <w:t>施工现场设置排水沟、隔油池、沉砂池等设施收集处理施工废水；生活污水依托周边居民家中化粪池处理后排入市政污水管网</w:t>
            </w:r>
          </w:p>
        </w:tc>
        <w:tc>
          <w:tcPr>
            <w:tcW w:w="1455" w:type="dxa"/>
            <w:noWrap w:val="0"/>
            <w:vAlign w:val="center"/>
          </w:tcPr>
          <w:p>
            <w:pPr>
              <w:jc w:val="center"/>
              <w:rPr>
                <w:rFonts w:ascii="Times New Roman" w:hAnsi="Times New Roman" w:eastAsia="宋体" w:cs="Times New Roman"/>
                <w:color w:val="000000"/>
                <w:sz w:val="21"/>
                <w:szCs w:val="21"/>
                <w:highlight w:val="none"/>
              </w:rPr>
            </w:pPr>
            <w:r>
              <w:rPr>
                <w:rFonts w:hint="eastAsia" w:cs="Times New Roman"/>
                <w:color w:val="000000"/>
                <w:sz w:val="21"/>
                <w:szCs w:val="21"/>
                <w:highlight w:val="none"/>
                <w:lang w:val="en-US" w:eastAsia="zh-CN"/>
              </w:rPr>
              <w:t>施工废水</w:t>
            </w:r>
            <w:r>
              <w:rPr>
                <w:rFonts w:ascii="Times New Roman" w:hAnsi="Times New Roman" w:eastAsia="宋体" w:cs="Times New Roman"/>
                <w:color w:val="000000"/>
                <w:sz w:val="21"/>
                <w:szCs w:val="21"/>
                <w:highlight w:val="none"/>
              </w:rPr>
              <w:t>不外排</w:t>
            </w:r>
          </w:p>
        </w:tc>
        <w:tc>
          <w:tcPr>
            <w:tcW w:w="1750" w:type="dxa"/>
            <w:noWrap w:val="0"/>
            <w:vAlign w:val="center"/>
          </w:tcPr>
          <w:p>
            <w:pPr>
              <w:jc w:val="center"/>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路面径流通过雨</w:t>
            </w:r>
          </w:p>
          <w:p>
            <w:pPr>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rPr>
              <w:t>水管排入</w:t>
            </w:r>
            <w:r>
              <w:rPr>
                <w:rFonts w:hint="eastAsia" w:cs="Times New Roman"/>
                <w:color w:val="000000"/>
                <w:sz w:val="21"/>
                <w:szCs w:val="21"/>
                <w:highlight w:val="none"/>
                <w:lang w:val="en-US" w:eastAsia="zh-CN"/>
              </w:rPr>
              <w:t>潇水</w:t>
            </w:r>
          </w:p>
        </w:tc>
        <w:tc>
          <w:tcPr>
            <w:tcW w:w="1761"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对沿线水环境不产生明显不良影响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326"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地下水及土壤环境</w:t>
            </w:r>
          </w:p>
        </w:tc>
        <w:tc>
          <w:tcPr>
            <w:tcW w:w="2227"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455"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750"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761"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26"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声环境</w:t>
            </w:r>
          </w:p>
        </w:tc>
        <w:tc>
          <w:tcPr>
            <w:tcW w:w="2227" w:type="dxa"/>
            <w:noWrap w:val="0"/>
            <w:vAlign w:val="center"/>
          </w:tcPr>
          <w:p>
            <w:pPr>
              <w:jc w:val="center"/>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1、选用低噪声设备或采取隔声、消声等措施降噪；</w:t>
            </w:r>
          </w:p>
          <w:p>
            <w:pPr>
              <w:jc w:val="center"/>
              <w:rPr>
                <w:rFonts w:hint="eastAsia"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2、夜间（22:00-06:00）禁止进行产生环境噪声污染的建筑施工作业，如因特殊需要必须连续作业的，施工单位必须与当地环保部门取得联系，办理夜间施工手续，同时发布夜间施工公告；</w:t>
            </w:r>
          </w:p>
          <w:p>
            <w:pPr>
              <w:jc w:val="center"/>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rPr>
              <w:t>3、合理安排施工时间；加强与施工区附近居民沟通。</w:t>
            </w:r>
          </w:p>
        </w:tc>
        <w:tc>
          <w:tcPr>
            <w:tcW w:w="1455"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满足《建筑施工场界环境噪声排放标准》中的限值要求</w:t>
            </w:r>
          </w:p>
        </w:tc>
        <w:tc>
          <w:tcPr>
            <w:tcW w:w="1750" w:type="dxa"/>
            <w:noWrap w:val="0"/>
            <w:vAlign w:val="center"/>
          </w:tcPr>
          <w:p>
            <w:pPr>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①加强道路交通管理，限制车况差、超载的车辆进入；</w:t>
            </w:r>
          </w:p>
          <w:p>
            <w:pPr>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②加强路面养护工作；</w:t>
            </w:r>
          </w:p>
          <w:p>
            <w:pPr>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③全线改性沥青低噪声路面；</w:t>
            </w:r>
          </w:p>
          <w:p>
            <w:pPr>
              <w:jc w:val="center"/>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④新建建筑由开发商设置隔声窗</w:t>
            </w:r>
          </w:p>
        </w:tc>
        <w:tc>
          <w:tcPr>
            <w:tcW w:w="1761"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满足《声环境质量标准》（GB 3096-2008）2类和4a类限值要求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326"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振动</w:t>
            </w:r>
          </w:p>
        </w:tc>
        <w:tc>
          <w:tcPr>
            <w:tcW w:w="2227"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455"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750"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761"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7" w:hRule="atLeast"/>
          <w:jc w:val="center"/>
        </w:trPr>
        <w:tc>
          <w:tcPr>
            <w:tcW w:w="1326"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大气环境</w:t>
            </w:r>
          </w:p>
        </w:tc>
        <w:tc>
          <w:tcPr>
            <w:tcW w:w="2227" w:type="dxa"/>
            <w:noWrap w:val="0"/>
            <w:vAlign w:val="center"/>
          </w:tcPr>
          <w:p>
            <w:pPr>
              <w:jc w:val="center"/>
              <w:rPr>
                <w:rFonts w:ascii="Times New Roman" w:hAnsi="Times New Roman" w:eastAsia="宋体" w:cs="Times New Roman"/>
                <w:color w:val="000000"/>
                <w:sz w:val="21"/>
                <w:szCs w:val="21"/>
                <w:highlight w:val="none"/>
                <w:u w:val="single"/>
                <w:lang w:bidi="ar"/>
              </w:rPr>
            </w:pPr>
            <w:r>
              <w:rPr>
                <w:rFonts w:hint="eastAsia" w:ascii="Times New Roman" w:hAnsi="Times New Roman" w:eastAsia="宋体" w:cs="Times New Roman"/>
                <w:color w:val="000000"/>
                <w:sz w:val="21"/>
                <w:szCs w:val="21"/>
                <w:highlight w:val="none"/>
                <w:u w:val="single"/>
                <w:lang w:bidi="ar"/>
              </w:rPr>
              <w:t>配备洒水车</w:t>
            </w:r>
            <w:r>
              <w:rPr>
                <w:rFonts w:hint="eastAsia" w:cs="Times New Roman"/>
                <w:color w:val="000000"/>
                <w:sz w:val="21"/>
                <w:szCs w:val="21"/>
                <w:highlight w:val="none"/>
                <w:u w:val="single"/>
                <w:lang w:eastAsia="zh-CN" w:bidi="ar"/>
              </w:rPr>
              <w:t>、</w:t>
            </w:r>
            <w:r>
              <w:rPr>
                <w:rFonts w:hint="eastAsia" w:cs="Times New Roman"/>
                <w:color w:val="000000"/>
                <w:sz w:val="21"/>
                <w:szCs w:val="21"/>
                <w:highlight w:val="none"/>
                <w:u w:val="single"/>
                <w:lang w:val="en-US" w:eastAsia="zh-CN" w:bidi="ar"/>
              </w:rPr>
              <w:t>雾炮车</w:t>
            </w:r>
            <w:r>
              <w:rPr>
                <w:rFonts w:hint="eastAsia" w:ascii="Times New Roman" w:hAnsi="Times New Roman" w:eastAsia="宋体" w:cs="Times New Roman"/>
                <w:color w:val="000000"/>
                <w:sz w:val="21"/>
                <w:szCs w:val="21"/>
                <w:highlight w:val="none"/>
                <w:u w:val="single"/>
                <w:lang w:bidi="ar"/>
              </w:rPr>
              <w:t>洒水抑尘，</w:t>
            </w:r>
            <w:r>
              <w:rPr>
                <w:rFonts w:hint="eastAsia" w:cs="Times New Roman"/>
                <w:color w:val="000000"/>
                <w:sz w:val="21"/>
                <w:szCs w:val="21"/>
                <w:highlight w:val="none"/>
                <w:u w:val="single"/>
                <w:lang w:val="en-US" w:eastAsia="zh-CN" w:bidi="ar"/>
              </w:rPr>
              <w:t>进出口设置车辆冲洗平台，</w:t>
            </w:r>
            <w:r>
              <w:rPr>
                <w:rFonts w:hint="eastAsia" w:ascii="Times New Roman" w:hAnsi="Times New Roman" w:eastAsia="宋体" w:cs="Times New Roman"/>
                <w:color w:val="000000"/>
                <w:sz w:val="21"/>
                <w:szCs w:val="21"/>
                <w:highlight w:val="none"/>
                <w:u w:val="single"/>
                <w:lang w:bidi="ar"/>
              </w:rPr>
              <w:t>沿线环境保护目标路段设置防尘网、围挡，材料堆场远离敏感点并严密遮盖，外购商品沥青、商品混凝土</w:t>
            </w:r>
          </w:p>
        </w:tc>
        <w:tc>
          <w:tcPr>
            <w:tcW w:w="1455"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《大气污染物综合排放标准》（GB16297-1996）</w:t>
            </w:r>
            <w:r>
              <w:rPr>
                <w:rFonts w:hint="eastAsia" w:cs="Times New Roman"/>
                <w:color w:val="000000"/>
                <w:sz w:val="21"/>
                <w:szCs w:val="21"/>
                <w:highlight w:val="none"/>
                <w:lang w:val="en-US" w:eastAsia="zh-CN"/>
              </w:rPr>
              <w:t>表2中</w:t>
            </w:r>
            <w:r>
              <w:rPr>
                <w:rFonts w:ascii="Times New Roman" w:hAnsi="Times New Roman" w:eastAsia="宋体" w:cs="Times New Roman"/>
                <w:color w:val="000000"/>
                <w:sz w:val="21"/>
                <w:szCs w:val="21"/>
                <w:highlight w:val="none"/>
              </w:rPr>
              <w:t>无组织排放监控浓度限值</w:t>
            </w:r>
          </w:p>
        </w:tc>
        <w:tc>
          <w:tcPr>
            <w:tcW w:w="1750" w:type="dxa"/>
            <w:noWrap w:val="0"/>
            <w:vAlign w:val="center"/>
          </w:tcPr>
          <w:p>
            <w:pPr>
              <w:jc w:val="center"/>
              <w:rPr>
                <w:rFonts w:ascii="Times New Roman" w:hAnsi="Times New Roman" w:eastAsia="宋体" w:cs="Times New Roman"/>
                <w:color w:val="000000"/>
                <w:sz w:val="21"/>
                <w:szCs w:val="21"/>
                <w:highlight w:val="none"/>
                <w:lang w:eastAsia="zh-CN"/>
              </w:rPr>
            </w:pPr>
            <w:r>
              <w:rPr>
                <w:rFonts w:ascii="Times New Roman" w:hAnsi="Times New Roman" w:eastAsia="宋体" w:cs="Times New Roman"/>
                <w:color w:val="000000"/>
                <w:sz w:val="21"/>
                <w:szCs w:val="21"/>
                <w:highlight w:val="none"/>
              </w:rPr>
              <w:t>加强车辆管理，限制车速，严禁超载</w:t>
            </w:r>
            <w:r>
              <w:rPr>
                <w:rFonts w:ascii="Times New Roman" w:hAnsi="Times New Roman" w:eastAsia="宋体" w:cs="Times New Roman"/>
                <w:color w:val="000000"/>
                <w:sz w:val="21"/>
                <w:szCs w:val="21"/>
                <w:highlight w:val="none"/>
                <w:lang w:eastAsia="zh-CN"/>
              </w:rPr>
              <w:t>；种植吸附或净化能力强的植物</w:t>
            </w:r>
          </w:p>
        </w:tc>
        <w:tc>
          <w:tcPr>
            <w:tcW w:w="1761"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《大气环境质量标准》（GB3095-2012）中二级标准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26"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固体废物</w:t>
            </w:r>
          </w:p>
        </w:tc>
        <w:tc>
          <w:tcPr>
            <w:tcW w:w="2227" w:type="dxa"/>
            <w:noWrap w:val="0"/>
            <w:vAlign w:val="center"/>
          </w:tcPr>
          <w:p>
            <w:pPr>
              <w:jc w:val="center"/>
              <w:rPr>
                <w:rFonts w:ascii="Times New Roman" w:hAnsi="Times New Roman" w:eastAsia="宋体" w:cs="Times New Roman"/>
                <w:color w:val="000000"/>
                <w:sz w:val="21"/>
                <w:szCs w:val="21"/>
                <w:highlight w:val="none"/>
                <w:u w:val="single"/>
              </w:rPr>
            </w:pPr>
            <w:r>
              <w:rPr>
                <w:rFonts w:hint="eastAsia" w:ascii="Times New Roman" w:hAnsi="Times New Roman" w:eastAsia="宋体" w:cs="Times New Roman"/>
                <w:color w:val="000000"/>
                <w:sz w:val="21"/>
                <w:szCs w:val="21"/>
                <w:highlight w:val="none"/>
                <w:u w:val="single"/>
              </w:rPr>
              <w:t>及时清运处理生活垃圾，建筑垃圾剩余的砂石及时运走，并做好固体废物资源再利用，以减小排放量；基础开挖产生的弃土弃渣应就近回填压实，不能回填的运至指定弃渣场，废油及含油废抹布等含油废物委托资质单位处置</w:t>
            </w:r>
          </w:p>
        </w:tc>
        <w:tc>
          <w:tcPr>
            <w:tcW w:w="1455"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保持道路清洁</w:t>
            </w:r>
          </w:p>
        </w:tc>
        <w:tc>
          <w:tcPr>
            <w:tcW w:w="1750" w:type="dxa"/>
            <w:noWrap w:val="0"/>
            <w:vAlign w:val="center"/>
          </w:tcPr>
          <w:p>
            <w:pPr>
              <w:jc w:val="center"/>
              <w:rPr>
                <w:rFonts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vertAlign w:val="baseline"/>
                <w:lang w:eastAsia="zh-CN"/>
              </w:rPr>
              <w:t>对道路产生的纸屑、绿化带落叶等交通垃圾，在道路两侧设分类垃圾收集箱，最终由环卫部门统一收集后处理。</w:t>
            </w:r>
          </w:p>
        </w:tc>
        <w:tc>
          <w:tcPr>
            <w:tcW w:w="1761"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保持道路清洁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jc w:val="center"/>
        </w:trPr>
        <w:tc>
          <w:tcPr>
            <w:tcW w:w="1326"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电磁环境</w:t>
            </w:r>
          </w:p>
        </w:tc>
        <w:tc>
          <w:tcPr>
            <w:tcW w:w="2227"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455"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750"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761"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26" w:type="dxa"/>
            <w:noWrap w:val="0"/>
            <w:vAlign w:val="center"/>
          </w:tcPr>
          <w:p>
            <w:pPr>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环境风险</w:t>
            </w:r>
          </w:p>
        </w:tc>
        <w:tc>
          <w:tcPr>
            <w:tcW w:w="2227"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455"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750" w:type="dxa"/>
            <w:noWrap w:val="0"/>
            <w:vAlign w:val="center"/>
          </w:tcPr>
          <w:p>
            <w:pPr>
              <w:jc w:val="center"/>
              <w:rPr>
                <w:rFonts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设置警示标志；加强危险化学品道路运输交通安全防治措施，防范突发性风险事故</w:t>
            </w:r>
          </w:p>
        </w:tc>
        <w:tc>
          <w:tcPr>
            <w:tcW w:w="1761" w:type="dxa"/>
            <w:noWrap w:val="0"/>
            <w:vAlign w:val="center"/>
          </w:tcPr>
          <w:p>
            <w:pPr>
              <w:jc w:val="center"/>
              <w:rPr>
                <w:rFonts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eastAsia="zh-CN"/>
              </w:rPr>
              <w:t>项目环境风险可控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326" w:type="dxa"/>
            <w:noWrap w:val="0"/>
            <w:vAlign w:val="center"/>
          </w:tcPr>
          <w:p>
            <w:pPr>
              <w:spacing w:line="240" w:lineRule="auto"/>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环境监测</w:t>
            </w:r>
          </w:p>
        </w:tc>
        <w:tc>
          <w:tcPr>
            <w:tcW w:w="2227" w:type="dxa"/>
            <w:noWrap w:val="0"/>
            <w:vAlign w:val="center"/>
          </w:tcPr>
          <w:p>
            <w:pPr>
              <w:pStyle w:val="246"/>
              <w:spacing w:line="240" w:lineRule="auto"/>
              <w:ind w:right="113" w:rightChars="0"/>
              <w:rPr>
                <w:rFonts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auto"/>
                <w:highlight w:val="none"/>
                <w:u w:val="single"/>
              </w:rPr>
              <w:t>加强施工期间场地扬尘及边界噪声监测</w:t>
            </w:r>
          </w:p>
        </w:tc>
        <w:tc>
          <w:tcPr>
            <w:tcW w:w="1455" w:type="dxa"/>
            <w:noWrap w:val="0"/>
            <w:vAlign w:val="center"/>
          </w:tcPr>
          <w:p>
            <w:pPr>
              <w:pStyle w:val="246"/>
              <w:spacing w:line="240" w:lineRule="auto"/>
              <w:ind w:right="113" w:rightChars="0"/>
              <w:rPr>
                <w:rFonts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auto"/>
                <w:highlight w:val="none"/>
                <w:u w:val="single"/>
              </w:rPr>
              <w:t>施工对周边环境影响较小</w:t>
            </w:r>
          </w:p>
        </w:tc>
        <w:tc>
          <w:tcPr>
            <w:tcW w:w="1750"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噪声环境监测计划</w:t>
            </w:r>
          </w:p>
        </w:tc>
        <w:tc>
          <w:tcPr>
            <w:tcW w:w="1761"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rPr>
              <w:t>满足《声环境质量标准》（GB 3096-2008）2类和4a类限值要求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jc w:val="center"/>
        </w:trPr>
        <w:tc>
          <w:tcPr>
            <w:tcW w:w="1326" w:type="dxa"/>
            <w:noWrap w:val="0"/>
            <w:vAlign w:val="center"/>
          </w:tcPr>
          <w:p>
            <w:pPr>
              <w:spacing w:line="240" w:lineRule="auto"/>
              <w:jc w:val="center"/>
              <w:rPr>
                <w:rFonts w:ascii="Times New Roman" w:hAnsi="Times New Roman" w:eastAsia="宋体" w:cs="Times New Roman"/>
                <w:color w:val="000000"/>
                <w:sz w:val="21"/>
                <w:szCs w:val="21"/>
                <w:highlight w:val="none"/>
              </w:rPr>
            </w:pPr>
            <w:r>
              <w:rPr>
                <w:rFonts w:ascii="Times New Roman" w:hAnsi="Times New Roman" w:eastAsia="宋体" w:cs="Times New Roman"/>
                <w:color w:val="000000"/>
                <w:sz w:val="21"/>
                <w:szCs w:val="21"/>
                <w:highlight w:val="none"/>
              </w:rPr>
              <w:t>其他</w:t>
            </w:r>
          </w:p>
        </w:tc>
        <w:tc>
          <w:tcPr>
            <w:tcW w:w="2227" w:type="dxa"/>
            <w:noWrap w:val="0"/>
            <w:vAlign w:val="center"/>
          </w:tcPr>
          <w:p>
            <w:pPr>
              <w:pStyle w:val="246"/>
              <w:spacing w:line="240" w:lineRule="auto"/>
              <w:ind w:right="113" w:rightChars="0"/>
              <w:rPr>
                <w:rFonts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auto"/>
                <w:highlight w:val="none"/>
                <w:u w:val="single"/>
              </w:rPr>
              <w:t>开展施工期环境监理，加强施工期环境管理</w:t>
            </w:r>
          </w:p>
        </w:tc>
        <w:tc>
          <w:tcPr>
            <w:tcW w:w="1455" w:type="dxa"/>
            <w:noWrap w:val="0"/>
            <w:vAlign w:val="center"/>
          </w:tcPr>
          <w:p>
            <w:pPr>
              <w:pStyle w:val="246"/>
              <w:spacing w:line="240" w:lineRule="auto"/>
              <w:ind w:right="113" w:rightChars="0"/>
              <w:rPr>
                <w:rFonts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auto"/>
                <w:highlight w:val="none"/>
                <w:u w:val="single"/>
              </w:rPr>
              <w:t>落实监理制度，形成监理报告</w:t>
            </w:r>
          </w:p>
        </w:tc>
        <w:tc>
          <w:tcPr>
            <w:tcW w:w="1750"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c>
          <w:tcPr>
            <w:tcW w:w="1761" w:type="dxa"/>
            <w:noWrap w:val="0"/>
            <w:vAlign w:val="center"/>
          </w:tcPr>
          <w:p>
            <w:pPr>
              <w:jc w:val="center"/>
              <w:rPr>
                <w:rFonts w:ascii="Times New Roman" w:hAnsi="Times New Roman" w:eastAsia="宋体" w:cs="Times New Roman"/>
                <w:color w:val="000000"/>
                <w:sz w:val="21"/>
                <w:szCs w:val="21"/>
                <w:highlight w:val="none"/>
                <w:lang w:val="en-US" w:eastAsia="zh-CN"/>
              </w:rPr>
            </w:pPr>
            <w:r>
              <w:rPr>
                <w:rFonts w:ascii="Times New Roman" w:hAnsi="Times New Roman" w:eastAsia="宋体" w:cs="Times New Roman"/>
                <w:color w:val="000000"/>
                <w:sz w:val="21"/>
                <w:szCs w:val="21"/>
                <w:highlight w:val="none"/>
                <w:lang w:val="en-US" w:eastAsia="zh-CN"/>
              </w:rPr>
              <w:t>/</w:t>
            </w:r>
          </w:p>
        </w:tc>
      </w:tr>
    </w:tbl>
    <w:p>
      <w:pPr>
        <w:rPr>
          <w:rFonts w:hint="eastAsia" w:ascii="黑体" w:hAnsi="黑体" w:eastAsia="黑体"/>
          <w:color w:val="000000"/>
          <w:sz w:val="30"/>
          <w:szCs w:val="30"/>
          <w:highlight w:val="none"/>
        </w:rPr>
      </w:pPr>
      <w:r>
        <w:rPr>
          <w:rFonts w:hint="eastAsia" w:ascii="黑体" w:hAnsi="黑体" w:eastAsia="黑体"/>
          <w:color w:val="000000"/>
          <w:sz w:val="30"/>
          <w:szCs w:val="30"/>
          <w:highlight w:val="none"/>
        </w:rPr>
        <w:br w:type="page"/>
      </w:r>
    </w:p>
    <w:p>
      <w:pPr>
        <w:pStyle w:val="218"/>
        <w:spacing w:before="192" w:beforeAutospacing="0"/>
        <w:jc w:val="center"/>
        <w:outlineLvl w:val="0"/>
        <w:rPr>
          <w:rFonts w:ascii="黑体" w:hAnsi="黑体" w:eastAsia="黑体"/>
          <w:color w:val="000000"/>
          <w:sz w:val="30"/>
          <w:szCs w:val="30"/>
          <w:highlight w:val="none"/>
        </w:rPr>
      </w:pPr>
      <w:bookmarkStart w:id="84" w:name="_Toc21200"/>
      <w:bookmarkStart w:id="85" w:name="_Toc14921"/>
      <w:r>
        <w:rPr>
          <w:rFonts w:hint="eastAsia" w:ascii="黑体" w:hAnsi="黑体" w:eastAsia="黑体"/>
          <w:color w:val="000000"/>
          <w:sz w:val="30"/>
          <w:szCs w:val="30"/>
          <w:highlight w:val="none"/>
        </w:rPr>
        <w:t>七、结论</w:t>
      </w:r>
      <w:bookmarkEnd w:id="84"/>
      <w:bookmarkEnd w:id="85"/>
    </w:p>
    <w:tbl>
      <w:tblPr>
        <w:tblStyle w:val="4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8522" w:type="dxa"/>
            <w:noWrap w:val="0"/>
            <w:vAlign w:val="top"/>
          </w:tcPr>
          <w:p>
            <w:pPr>
              <w:keepNext w:val="0"/>
              <w:keepLines w:val="0"/>
              <w:pageBreakBefore w:val="0"/>
              <w:widowControl w:val="0"/>
              <w:kinsoku/>
              <w:wordWrap/>
              <w:overflowPunct/>
              <w:topLinePunct w:val="0"/>
              <w:autoSpaceDE/>
              <w:autoSpaceDN/>
              <w:bidi w:val="0"/>
              <w:adjustRightInd/>
              <w:snapToGrid w:val="0"/>
              <w:spacing w:line="360" w:lineRule="auto"/>
              <w:ind w:firstLine="482"/>
              <w:jc w:val="left"/>
              <w:textAlignment w:val="auto"/>
              <w:rPr>
                <w:rFonts w:hint="eastAsia" w:ascii="宋体" w:hAnsi="宋体" w:cs="宋体"/>
                <w:color w:val="000000"/>
                <w:sz w:val="21"/>
                <w:szCs w:val="21"/>
                <w:highlight w:val="none"/>
              </w:rPr>
            </w:pPr>
            <w:r>
              <w:rPr>
                <w:rFonts w:hint="eastAsia" w:ascii="宋体" w:hAnsi="宋体" w:cs="宋体"/>
                <w:color w:val="000000"/>
                <w:sz w:val="21"/>
                <w:szCs w:val="21"/>
                <w:highlight w:val="none"/>
              </w:rPr>
              <w:t>本项目符合国家产业政策，符合区域交通规划，项目所在区域内无重大环境制约要素。本评价对建设项目所在地及其周围地区进行了调查与评价，分析项目建设及外排污染物对周围环境可能产生的影响，提出了相应的减缓、防治措施及对策。</w:t>
            </w:r>
          </w:p>
          <w:p>
            <w:pPr>
              <w:keepNext w:val="0"/>
              <w:keepLines w:val="0"/>
              <w:pageBreakBefore w:val="0"/>
              <w:widowControl w:val="0"/>
              <w:kinsoku/>
              <w:wordWrap/>
              <w:overflowPunct/>
              <w:topLinePunct w:val="0"/>
              <w:autoSpaceDE/>
              <w:autoSpaceDN/>
              <w:bidi w:val="0"/>
              <w:adjustRightInd/>
              <w:snapToGrid w:val="0"/>
              <w:spacing w:line="360" w:lineRule="auto"/>
              <w:ind w:firstLine="482"/>
              <w:jc w:val="left"/>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综上所述，建设单位必须严格遵守“三同时”的管理规定，完成各项报建手续，本着以人为本的宗旨，切实保证本报告提出的各项环保措施的落实。从环境保护角度而言，项目建设后不会对周围环境产生明显不良影响，本项目建设是可行的。</w:t>
            </w:r>
          </w:p>
        </w:tc>
      </w:tr>
    </w:tbl>
    <w:p>
      <w:r>
        <w:br w:type="page"/>
      </w:r>
    </w:p>
    <w:p>
      <w:pPr>
        <w:ind w:firstLine="883"/>
        <w:rPr>
          <w:rFonts w:hint="default" w:ascii="Times New Roman" w:hAnsi="Times New Roman" w:cs="Times New Roman"/>
          <w:b/>
          <w:bCs/>
          <w:color w:val="auto"/>
          <w:sz w:val="44"/>
          <w:szCs w:val="44"/>
          <w:highlight w:val="none"/>
          <w:u w:val="none" w:color="auto"/>
        </w:rPr>
      </w:pPr>
    </w:p>
    <w:p>
      <w:pPr>
        <w:ind w:firstLine="883"/>
        <w:rPr>
          <w:rFonts w:hint="default" w:ascii="Times New Roman" w:hAnsi="Times New Roman" w:cs="Times New Roman"/>
          <w:b/>
          <w:bCs/>
          <w:color w:val="auto"/>
          <w:sz w:val="44"/>
          <w:szCs w:val="44"/>
          <w:highlight w:val="none"/>
          <w:u w:val="none" w:color="auto"/>
        </w:rPr>
      </w:pPr>
    </w:p>
    <w:p>
      <w:pPr>
        <w:ind w:firstLine="883"/>
        <w:rPr>
          <w:rFonts w:hint="default" w:ascii="Times New Roman" w:hAnsi="Times New Roman" w:cs="Times New Roman"/>
          <w:b/>
          <w:bCs/>
          <w:color w:val="auto"/>
          <w:sz w:val="44"/>
          <w:szCs w:val="44"/>
          <w:highlight w:val="none"/>
          <w:u w:val="none" w:color="auto"/>
        </w:rPr>
      </w:pPr>
    </w:p>
    <w:p>
      <w:pPr>
        <w:spacing w:after="312" w:afterLines="100"/>
        <w:ind w:firstLine="0" w:firstLineChars="0"/>
        <w:jc w:val="center"/>
        <w:outlineLvl w:val="0"/>
        <w:rPr>
          <w:rFonts w:hint="default" w:ascii="Times New Roman" w:hAnsi="Times New Roman" w:cs="Times New Roman"/>
          <w:b/>
          <w:bCs/>
          <w:color w:val="auto"/>
          <w:sz w:val="44"/>
          <w:szCs w:val="44"/>
          <w:highlight w:val="none"/>
          <w:u w:val="none" w:color="auto"/>
        </w:rPr>
      </w:pPr>
      <w:bookmarkStart w:id="86" w:name="_Toc12375"/>
      <w:bookmarkStart w:id="87" w:name="_Toc15518"/>
      <w:r>
        <w:rPr>
          <w:rFonts w:hint="default" w:ascii="Times New Roman" w:hAnsi="Times New Roman" w:eastAsia="宋体" w:cs="Times New Roman"/>
          <w:b/>
          <w:bCs/>
          <w:color w:val="auto"/>
          <w:sz w:val="44"/>
          <w:szCs w:val="44"/>
          <w:highlight w:val="none"/>
          <w:u w:val="none" w:color="auto"/>
          <w:lang w:val="en-US" w:eastAsia="zh-CN"/>
        </w:rPr>
        <w:t>萍阳北路延伸段及萍洲大桥西岸匝道建设项目</w:t>
      </w:r>
      <w:r>
        <w:rPr>
          <w:rFonts w:hint="default" w:ascii="Times New Roman" w:hAnsi="Times New Roman" w:cs="Times New Roman"/>
          <w:b/>
          <w:bCs/>
          <w:color w:val="auto"/>
          <w:sz w:val="44"/>
          <w:szCs w:val="44"/>
          <w:highlight w:val="none"/>
          <w:u w:val="none" w:color="auto"/>
        </w:rPr>
        <w:t>声环境影响专项评价</w:t>
      </w:r>
      <w:bookmarkEnd w:id="86"/>
      <w:bookmarkEnd w:id="87"/>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480"/>
        <w:rPr>
          <w:rFonts w:hint="default" w:ascii="Times New Roman" w:hAnsi="Times New Roman" w:cs="Times New Roman"/>
          <w:color w:val="auto"/>
          <w:highlight w:val="none"/>
          <w:u w:val="none" w:color="auto"/>
        </w:rPr>
      </w:pPr>
    </w:p>
    <w:p>
      <w:pPr>
        <w:ind w:firstLine="643"/>
        <w:jc w:val="center"/>
        <w:outlineLvl w:val="0"/>
        <w:rPr>
          <w:rFonts w:hint="default" w:ascii="Times New Roman" w:hAnsi="Times New Roman" w:cs="Times New Roman"/>
          <w:b/>
          <w:bCs/>
          <w:color w:val="auto"/>
          <w:sz w:val="32"/>
          <w:szCs w:val="32"/>
          <w:highlight w:val="none"/>
          <w:u w:val="none" w:color="auto"/>
        </w:rPr>
      </w:pPr>
      <w:bookmarkStart w:id="88" w:name="_Toc9110"/>
      <w:bookmarkStart w:id="89" w:name="_Toc3597"/>
      <w:bookmarkStart w:id="90" w:name="_Toc10882"/>
      <w:bookmarkStart w:id="91" w:name="_Toc20490"/>
      <w:bookmarkStart w:id="92" w:name="_Toc22842"/>
      <w:bookmarkStart w:id="93" w:name="_Toc8576"/>
      <w:bookmarkStart w:id="94" w:name="_Toc3679"/>
      <w:bookmarkStart w:id="95" w:name="_Toc17083"/>
      <w:r>
        <w:rPr>
          <w:rFonts w:hint="default" w:ascii="Times New Roman" w:hAnsi="Times New Roman" w:cs="Times New Roman"/>
          <w:b/>
          <w:bCs/>
          <w:color w:val="auto"/>
          <w:sz w:val="32"/>
          <w:szCs w:val="32"/>
          <w:highlight w:val="none"/>
          <w:u w:val="none" w:color="auto"/>
        </w:rPr>
        <w:t>编制单位：湖南</w:t>
      </w:r>
      <w:r>
        <w:rPr>
          <w:rFonts w:hint="eastAsia" w:ascii="Times New Roman" w:hAnsi="Times New Roman" w:cs="Times New Roman"/>
          <w:b/>
          <w:bCs/>
          <w:color w:val="auto"/>
          <w:sz w:val="32"/>
          <w:szCs w:val="32"/>
          <w:highlight w:val="none"/>
          <w:u w:val="none" w:color="auto"/>
          <w:lang w:val="en-US" w:eastAsia="zh-CN"/>
        </w:rPr>
        <w:t>至中</w:t>
      </w:r>
      <w:r>
        <w:rPr>
          <w:rFonts w:hint="default" w:ascii="Times New Roman" w:hAnsi="Times New Roman" w:cs="Times New Roman"/>
          <w:b/>
          <w:bCs/>
          <w:color w:val="auto"/>
          <w:sz w:val="32"/>
          <w:szCs w:val="32"/>
          <w:highlight w:val="none"/>
          <w:u w:val="none" w:color="auto"/>
        </w:rPr>
        <w:t>环保科技有限公司</w:t>
      </w:r>
      <w:bookmarkEnd w:id="88"/>
      <w:bookmarkEnd w:id="89"/>
      <w:bookmarkEnd w:id="90"/>
      <w:bookmarkEnd w:id="91"/>
      <w:bookmarkEnd w:id="92"/>
      <w:bookmarkEnd w:id="93"/>
      <w:bookmarkEnd w:id="94"/>
      <w:bookmarkEnd w:id="95"/>
    </w:p>
    <w:p>
      <w:pPr>
        <w:tabs>
          <w:tab w:val="center" w:pos="4474"/>
          <w:tab w:val="left" w:pos="6554"/>
        </w:tabs>
        <w:ind w:firstLine="643"/>
        <w:jc w:val="left"/>
        <w:rPr>
          <w:rFonts w:hint="default" w:ascii="Times New Roman" w:hAnsi="Times New Roman" w:cs="Times New Roman"/>
          <w:b/>
          <w:bCs/>
          <w:color w:val="auto"/>
          <w:sz w:val="32"/>
          <w:szCs w:val="32"/>
          <w:highlight w:val="none"/>
          <w:u w:val="none" w:color="auto"/>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b/>
          <w:bCs/>
          <w:color w:val="auto"/>
          <w:sz w:val="32"/>
          <w:szCs w:val="32"/>
          <w:highlight w:val="none"/>
          <w:u w:val="none" w:color="auto"/>
        </w:rPr>
        <w:tab/>
      </w:r>
      <w:r>
        <w:rPr>
          <w:rFonts w:hint="default" w:ascii="Times New Roman" w:hAnsi="Times New Roman" w:cs="Times New Roman"/>
          <w:b/>
          <w:bCs/>
          <w:color w:val="auto"/>
          <w:sz w:val="32"/>
          <w:szCs w:val="32"/>
          <w:highlight w:val="none"/>
          <w:u w:val="none" w:color="auto"/>
        </w:rPr>
        <w:t>202</w:t>
      </w:r>
      <w:r>
        <w:rPr>
          <w:rFonts w:hint="default" w:ascii="Times New Roman" w:hAnsi="Times New Roman" w:cs="Times New Roman"/>
          <w:b/>
          <w:bCs/>
          <w:color w:val="auto"/>
          <w:sz w:val="32"/>
          <w:szCs w:val="32"/>
          <w:highlight w:val="none"/>
          <w:u w:val="none" w:color="auto"/>
          <w:lang w:val="en-US" w:eastAsia="zh-CN"/>
        </w:rPr>
        <w:t>4</w:t>
      </w:r>
      <w:r>
        <w:rPr>
          <w:rFonts w:hint="default" w:ascii="Times New Roman" w:hAnsi="Times New Roman" w:cs="Times New Roman"/>
          <w:b/>
          <w:bCs/>
          <w:color w:val="auto"/>
          <w:sz w:val="32"/>
          <w:szCs w:val="32"/>
          <w:highlight w:val="none"/>
          <w:u w:val="none" w:color="auto"/>
        </w:rPr>
        <w:t>年</w:t>
      </w:r>
      <w:r>
        <w:rPr>
          <w:rFonts w:hint="eastAsia" w:cs="Times New Roman"/>
          <w:b/>
          <w:bCs/>
          <w:color w:val="auto"/>
          <w:sz w:val="32"/>
          <w:szCs w:val="32"/>
          <w:highlight w:val="none"/>
          <w:u w:val="none" w:color="auto"/>
          <w:lang w:val="en-US" w:eastAsia="zh-CN"/>
        </w:rPr>
        <w:t>12</w:t>
      </w:r>
      <w:r>
        <w:rPr>
          <w:rFonts w:hint="default" w:ascii="Times New Roman" w:hAnsi="Times New Roman" w:cs="Times New Roman"/>
          <w:b/>
          <w:bCs/>
          <w:color w:val="auto"/>
          <w:sz w:val="32"/>
          <w:szCs w:val="32"/>
          <w:highlight w:val="none"/>
          <w:u w:val="none" w:color="auto"/>
        </w:rPr>
        <w:t>月</w:t>
      </w:r>
    </w:p>
    <w:p>
      <w:pPr>
        <w:keepNext/>
        <w:keepLines/>
        <w:pageBreakBefore w:val="0"/>
        <w:widowControl w:val="0"/>
        <w:numPr>
          <w:ilvl w:val="0"/>
          <w:numId w:val="3"/>
        </w:numPr>
        <w:kinsoku/>
        <w:wordWrap/>
        <w:overflowPunct/>
        <w:topLinePunct w:val="0"/>
        <w:bidi w:val="0"/>
        <w:adjustRightInd w:val="0"/>
        <w:snapToGrid w:val="0"/>
        <w:spacing w:line="360" w:lineRule="auto"/>
        <w:ind w:left="0" w:firstLine="0" w:firstLineChars="0"/>
        <w:jc w:val="both"/>
        <w:outlineLvl w:val="0"/>
        <w:rPr>
          <w:rFonts w:hint="default" w:ascii="Times New Roman" w:hAnsi="Times New Roman" w:eastAsia="宋体" w:cs="Times New Roman"/>
          <w:b/>
          <w:bCs/>
          <w:kern w:val="44"/>
          <w:sz w:val="21"/>
          <w:szCs w:val="21"/>
          <w:highlight w:val="none"/>
          <w:u w:val="none" w:color="auto"/>
          <w:lang w:val="en-US" w:eastAsia="zh-CN" w:bidi="ar-SA"/>
        </w:rPr>
      </w:pPr>
      <w:bookmarkStart w:id="96" w:name="_Hlk96440297"/>
      <w:bookmarkEnd w:id="96"/>
      <w:bookmarkStart w:id="97" w:name="_Toc23184"/>
      <w:bookmarkStart w:id="98" w:name="_Toc16591"/>
      <w:bookmarkStart w:id="99" w:name="_Toc12767"/>
      <w:r>
        <w:rPr>
          <w:rFonts w:hint="default" w:ascii="Times New Roman" w:hAnsi="Times New Roman" w:eastAsia="宋体" w:cs="Times New Roman"/>
          <w:b/>
          <w:bCs/>
          <w:kern w:val="44"/>
          <w:sz w:val="21"/>
          <w:szCs w:val="21"/>
          <w:highlight w:val="none"/>
          <w:u w:val="none" w:color="auto"/>
          <w:lang w:val="en-US" w:eastAsia="zh-CN" w:bidi="ar-SA"/>
        </w:rPr>
        <w:t>总论</w:t>
      </w:r>
      <w:bookmarkEnd w:id="97"/>
      <w:bookmarkEnd w:id="98"/>
      <w:bookmarkEnd w:id="99"/>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评价任务由来</w:t>
      </w:r>
    </w:p>
    <w:p>
      <w:pPr>
        <w:pageBreakBefore w:val="0"/>
        <w:kinsoku/>
        <w:wordWrap/>
        <w:overflowPunct/>
        <w:topLinePunct w:val="0"/>
        <w:bidi w:val="0"/>
        <w:adjustRightInd w:val="0"/>
        <w:snapToGrid w:val="0"/>
        <w:spacing w:line="360" w:lineRule="auto"/>
        <w:ind w:firstLine="420" w:firstLineChars="200"/>
        <w:rPr>
          <w:rFonts w:hint="eastAsia" w:cs="Times New Roman"/>
          <w:kern w:val="2"/>
          <w:sz w:val="21"/>
          <w:szCs w:val="21"/>
          <w:highlight w:val="none"/>
          <w:u w:val="none" w:color="auto"/>
          <w:lang w:eastAsia="zh-CN"/>
        </w:rPr>
      </w:pPr>
      <w:r>
        <w:rPr>
          <w:rFonts w:hint="default" w:ascii="Times New Roman" w:hAnsi="Times New Roman" w:eastAsia="宋体" w:cs="Times New Roman"/>
          <w:kern w:val="2"/>
          <w:sz w:val="21"/>
          <w:szCs w:val="21"/>
          <w:highlight w:val="none"/>
          <w:u w:val="none" w:color="auto"/>
          <w:lang w:eastAsia="zh-CN"/>
        </w:rPr>
        <w:t>萍阳北路延伸段及萍洲大桥西岸匝道建设项目位于湖南省永州市零陵区萍阳北路，路线起点接现状萍阳北路南侧，连接至萍阳北路北至萍州大桥西匝道，与其相交的道路有：石渠路、广丰路、萍州大桥西匝道；萍洲大桥西岸匝道起终点均与萍阳北路相交，中部与萍州路相交</w:t>
      </w:r>
      <w:r>
        <w:rPr>
          <w:rFonts w:hint="eastAsia" w:cs="Times New Roman"/>
          <w:kern w:val="2"/>
          <w:sz w:val="21"/>
          <w:szCs w:val="21"/>
          <w:highlight w:val="none"/>
          <w:u w:val="none" w:color="auto"/>
          <w:lang w:eastAsia="zh-CN"/>
        </w:rPr>
        <w:t>，萍阳北路延伸段为城市主干道，道路全长1.56km，设计时速50km/h，采用沥青路面，设计为双向4车道，道路宽度为36m，具体为5米（人行道）+4米（辅道）+1.5米（分隔绿化带）+15米（车行道）+1.5米（分隔绿化带）+4米（辅道）+5米（人行道）=36米。</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eastAsia="宋体" w:cs="Times New Roman"/>
          <w:kern w:val="2"/>
          <w:sz w:val="21"/>
          <w:szCs w:val="21"/>
          <w:highlight w:val="none"/>
          <w:u w:val="none" w:color="auto"/>
          <w:lang w:eastAsia="zh-CN"/>
        </w:rPr>
      </w:pPr>
      <w:r>
        <w:rPr>
          <w:rFonts w:hint="eastAsia" w:cs="Times New Roman"/>
          <w:kern w:val="2"/>
          <w:sz w:val="21"/>
          <w:szCs w:val="21"/>
          <w:highlight w:val="none"/>
          <w:u w:val="none" w:color="auto"/>
          <w:lang w:eastAsia="zh-CN"/>
        </w:rPr>
        <w:t>萍州大桥西匝道为城市支路，道路全长506m，设计时速20km/h，采用沥青路面，设计为双向2车道，道路宽度为18m</w:t>
      </w:r>
      <w:r>
        <w:rPr>
          <w:rFonts w:hint="default" w:ascii="Times New Roman" w:hAnsi="Times New Roman" w:eastAsia="宋体" w:cs="Times New Roman"/>
          <w:kern w:val="2"/>
          <w:sz w:val="21"/>
          <w:szCs w:val="21"/>
          <w:highlight w:val="none"/>
          <w:u w:val="none" w:color="auto"/>
          <w:lang w:eastAsia="zh-CN"/>
        </w:rPr>
        <w:t>。</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w:t>
      </w:r>
      <w:r>
        <w:rPr>
          <w:rFonts w:hint="eastAsia"/>
          <w:color w:val="000000"/>
          <w:sz w:val="21"/>
          <w:szCs w:val="21"/>
          <w:highlight w:val="none"/>
        </w:rPr>
        <w:t>《建设项目环境影响报告表编制技术指南（</w:t>
      </w:r>
      <w:r>
        <w:rPr>
          <w:rFonts w:hint="eastAsia"/>
          <w:color w:val="000000"/>
          <w:sz w:val="21"/>
          <w:szCs w:val="21"/>
          <w:highlight w:val="none"/>
          <w:lang w:val="en-US" w:eastAsia="zh-CN"/>
        </w:rPr>
        <w:t>生态影响类</w:t>
      </w:r>
      <w:r>
        <w:rPr>
          <w:rFonts w:hint="eastAsia"/>
          <w:color w:val="000000"/>
          <w:sz w:val="21"/>
          <w:szCs w:val="21"/>
          <w:highlight w:val="none"/>
        </w:rPr>
        <w:t>）（</w:t>
      </w:r>
      <w:bookmarkStart w:id="133" w:name="_GoBack"/>
      <w:bookmarkEnd w:id="133"/>
      <w:r>
        <w:rPr>
          <w:rFonts w:hint="eastAsia"/>
          <w:color w:val="000000"/>
          <w:sz w:val="21"/>
          <w:szCs w:val="21"/>
          <w:highlight w:val="none"/>
        </w:rPr>
        <w:t>试行）》</w:t>
      </w:r>
      <w:r>
        <w:rPr>
          <w:rFonts w:hint="default" w:ascii="Times New Roman" w:hAnsi="Times New Roman" w:cs="Times New Roman"/>
          <w:color w:val="auto"/>
          <w:kern w:val="2"/>
          <w:sz w:val="21"/>
          <w:szCs w:val="21"/>
          <w:highlight w:val="none"/>
          <w:u w:val="none" w:color="auto"/>
        </w:rPr>
        <w:t>，“</w:t>
      </w:r>
      <w:r>
        <w:rPr>
          <w:rFonts w:hint="default" w:ascii="Times New Roman" w:hAnsi="Times New Roman" w:cs="Times New Roman"/>
          <w:color w:val="auto"/>
          <w:kern w:val="2"/>
          <w:sz w:val="21"/>
          <w:szCs w:val="21"/>
          <w:highlight w:val="none"/>
          <w:u w:val="none" w:color="auto"/>
          <w:lang w:val="en-US" w:eastAsia="zh-CN"/>
        </w:rPr>
        <w:t>城市道路</w:t>
      </w:r>
      <w:r>
        <w:rPr>
          <w:rFonts w:hint="default" w:ascii="Times New Roman" w:hAnsi="Times New Roman" w:cs="Times New Roman"/>
          <w:color w:val="auto"/>
          <w:kern w:val="2"/>
          <w:sz w:val="21"/>
          <w:szCs w:val="21"/>
          <w:highlight w:val="none"/>
          <w:u w:val="none" w:color="auto"/>
        </w:rPr>
        <w:t>的项目”需设置噪声专项评价。为此，我公司通过现场踏勘调查、资料收集，并依据《环境影响评价技术导则 声环境》（HJ2.4-2021）编制了本项目的“声环境影响专项评价”。</w:t>
      </w:r>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编制依据</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国家法律法规</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（1）《中华人民共和国环境保护法（修订）》，2015年1月1日起施行；</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（2）《中华人民共和国环境影响评价法（修订</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》，2018年12月29日起施行</w:t>
      </w:r>
      <w:r>
        <w:rPr>
          <w:rFonts w:hint="default" w:ascii="Times New Roman" w:hAnsi="Times New Roman" w:cs="Times New Roman"/>
          <w:color w:val="auto"/>
          <w:kern w:val="2"/>
          <w:sz w:val="21"/>
          <w:szCs w:val="21"/>
          <w:highlight w:val="none"/>
          <w:u w:val="none" w:color="auto"/>
          <w:lang w:eastAsia="zh-CN"/>
        </w:rPr>
        <w:t>；</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（3）《中华人民共和国环境噪声污染防治法（修订）》，2022年6月5日起施行；</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（4）《中华人民共和国道路交通安全法实施条例》国务院令第405号，2004.5.1；</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（5）《中华人民共和国道路运输条例》国务院令第406号，2004.7.1；</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（6）《中华人民共和国公路管理条例》国务院令第543号，2009.1.1；</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（7）《公路安全保护条例》国务院令第593号，2011.7.1；</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（8）《国务院关于修改</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建设项目环境保护管理条例</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的决定》（国务院令第682号，2017年10月1日起施行）。</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规章及规范性文件</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（1）《交通建设项目环境保护管理办法》[交通部</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2003)5号令]；</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（2）《建设项目环境影响评价分类管理名录》</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2021版）；</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（3）《关于公路、铁路（轻轨）等建设项目环境影响评价中环境噪声有关问题的通知》环发〔2003〕94号。</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（4）环境保护部《关于发布</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地面交通噪声污染防治技术政策</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的通知》（环发〔2010〕7号）。</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技术依据</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（1）《建设项目环境影响评价技术导则 总纲》（HJ2.1-2016）；</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（2）《环境影</w:t>
      </w:r>
      <w:r>
        <w:rPr>
          <w:rFonts w:hint="default" w:ascii="Times New Roman" w:hAnsi="Times New Roman" w:eastAsia="宋体" w:cs="Times New Roman"/>
          <w:color w:val="auto"/>
          <w:kern w:val="2"/>
          <w:sz w:val="21"/>
          <w:szCs w:val="21"/>
          <w:highlight w:val="none"/>
          <w:u w:val="none" w:color="auto"/>
        </w:rPr>
        <w:t>响评价技术导则 声环境》（HJ2.4-2021）；</w:t>
      </w:r>
    </w:p>
    <w:p>
      <w:pPr>
        <w:pageBreakBefore w:val="0"/>
        <w:kinsoku/>
        <w:wordWrap/>
        <w:overflowPunct/>
        <w:topLinePunct w:val="0"/>
        <w:bidi w:val="0"/>
        <w:adjustRightInd w:val="0"/>
        <w:snapToGrid w:val="0"/>
        <w:spacing w:line="360" w:lineRule="auto"/>
        <w:ind w:firstLine="420" w:firstLineChars="200"/>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eastAsia="宋体" w:cs="Times New Roman"/>
          <w:color w:val="auto"/>
          <w:kern w:val="2"/>
          <w:sz w:val="21"/>
          <w:szCs w:val="21"/>
          <w:highlight w:val="none"/>
          <w:u w:val="none" w:color="auto"/>
        </w:rPr>
        <w:t>（3）《环境噪声与振动控制工程技术导则》（HJ2034-2013）</w:t>
      </w:r>
      <w:r>
        <w:rPr>
          <w:rFonts w:hint="eastAsia" w:ascii="Times New Roman" w:hAnsi="Times New Roman" w:eastAsia="宋体" w:cs="Times New Roman"/>
          <w:color w:val="auto"/>
          <w:kern w:val="2"/>
          <w:sz w:val="21"/>
          <w:szCs w:val="21"/>
          <w:highlight w:val="none"/>
          <w:u w:val="none" w:color="auto"/>
          <w:lang w:eastAsia="zh-CN"/>
        </w:rPr>
        <w:t>；</w:t>
      </w:r>
    </w:p>
    <w:p>
      <w:pPr>
        <w:pageBreakBefore w:val="0"/>
        <w:kinsoku/>
        <w:wordWrap/>
        <w:overflowPunct/>
        <w:topLinePunct w:val="0"/>
        <w:bidi w:val="0"/>
        <w:adjustRightInd w:val="0"/>
        <w:snapToGrid w:val="0"/>
        <w:spacing w:line="360" w:lineRule="auto"/>
        <w:ind w:firstLine="420" w:firstLineChars="200"/>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eastAsia="宋体" w:cs="Times New Roman"/>
          <w:color w:val="auto"/>
          <w:kern w:val="2"/>
          <w:sz w:val="21"/>
          <w:szCs w:val="21"/>
          <w:highlight w:val="none"/>
          <w:u w:val="none" w:color="auto"/>
        </w:rPr>
        <w:t>（4）《公路环境保护设计规范》（JTGB04-2010）</w:t>
      </w:r>
      <w:r>
        <w:rPr>
          <w:rFonts w:hint="eastAsia" w:ascii="Times New Roman" w:hAnsi="Times New Roman" w:eastAsia="宋体" w:cs="Times New Roman"/>
          <w:color w:val="auto"/>
          <w:kern w:val="2"/>
          <w:sz w:val="21"/>
          <w:szCs w:val="21"/>
          <w:highlight w:val="none"/>
          <w:u w:val="none" w:color="auto"/>
          <w:lang w:eastAsia="zh-CN"/>
        </w:rPr>
        <w:t>；</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eastAsia="宋体" w:cs="Times New Roman"/>
          <w:color w:val="auto"/>
          <w:kern w:val="2"/>
          <w:sz w:val="21"/>
          <w:szCs w:val="21"/>
          <w:highlight w:val="none"/>
          <w:u w:val="none" w:color="auto"/>
          <w:lang w:val="en-US" w:eastAsia="zh-CN"/>
        </w:rPr>
      </w:pPr>
      <w:r>
        <w:rPr>
          <w:rFonts w:hint="eastAsia" w:ascii="Times New Roman" w:hAnsi="Times New Roman" w:eastAsia="宋体" w:cs="Times New Roman"/>
          <w:color w:val="auto"/>
          <w:kern w:val="2"/>
          <w:sz w:val="21"/>
          <w:szCs w:val="21"/>
          <w:highlight w:val="none"/>
          <w:u w:val="none" w:color="auto"/>
          <w:lang w:eastAsia="zh-CN"/>
        </w:rPr>
        <w:t>（</w:t>
      </w:r>
      <w:r>
        <w:rPr>
          <w:rFonts w:hint="eastAsia" w:ascii="Times New Roman" w:hAnsi="Times New Roman" w:eastAsia="宋体" w:cs="Times New Roman"/>
          <w:color w:val="auto"/>
          <w:kern w:val="2"/>
          <w:sz w:val="21"/>
          <w:szCs w:val="21"/>
          <w:highlight w:val="none"/>
          <w:u w:val="none" w:color="auto"/>
          <w:lang w:val="en-US" w:eastAsia="zh-CN"/>
        </w:rPr>
        <w:t>5</w:t>
      </w:r>
      <w:r>
        <w:rPr>
          <w:rFonts w:hint="eastAsia" w:ascii="Times New Roman" w:hAnsi="Times New Roman" w:eastAsia="宋体" w:cs="Times New Roman"/>
          <w:color w:val="auto"/>
          <w:kern w:val="2"/>
          <w:sz w:val="21"/>
          <w:szCs w:val="21"/>
          <w:highlight w:val="none"/>
          <w:u w:val="none" w:color="auto"/>
          <w:lang w:eastAsia="zh-CN"/>
        </w:rPr>
        <w:t>）</w:t>
      </w:r>
      <w:r>
        <w:rPr>
          <w:rFonts w:hint="eastAsia" w:ascii="Times New Roman" w:hAnsi="Times New Roman" w:eastAsia="宋体" w:cs="Times New Roman"/>
          <w:color w:val="auto"/>
          <w:kern w:val="2"/>
          <w:sz w:val="21"/>
          <w:szCs w:val="21"/>
          <w:highlight w:val="none"/>
          <w:u w:val="none" w:color="auto"/>
          <w:lang w:val="en-US" w:eastAsia="zh-CN"/>
        </w:rPr>
        <w:t>《环境影响评价技术导则 公路建设项目》（HJ1358-2024）</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其他</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（1）萍阳北路延伸段及萍洲大桥西岸匝道建设项目可行性研究报告；</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（2）萍阳北路延伸段及萍洲大桥西岸匝道建设项目</w:t>
      </w:r>
      <w:r>
        <w:rPr>
          <w:rFonts w:hint="default" w:ascii="Times New Roman" w:hAnsi="Times New Roman" w:cs="Times New Roman"/>
          <w:color w:val="auto"/>
          <w:kern w:val="2"/>
          <w:sz w:val="21"/>
          <w:szCs w:val="21"/>
          <w:highlight w:val="none"/>
          <w:u w:val="none" w:color="auto"/>
          <w:lang w:val="en-US" w:eastAsia="zh-CN"/>
        </w:rPr>
        <w:t>初步</w:t>
      </w:r>
      <w:r>
        <w:rPr>
          <w:rFonts w:hint="default" w:ascii="Times New Roman" w:hAnsi="Times New Roman" w:cs="Times New Roman"/>
          <w:color w:val="auto"/>
          <w:kern w:val="2"/>
          <w:sz w:val="21"/>
          <w:szCs w:val="21"/>
          <w:highlight w:val="none"/>
          <w:u w:val="none" w:color="auto"/>
        </w:rPr>
        <w:t>设计；</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（3）项目建设单位提供的其他相关资料。</w:t>
      </w:r>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评价重点</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本次评价工作的重点是运营期交通噪声对沿线敏感目标的声环境影响以及需采取的环境保护措施。</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评价因子与评价标准</w:t>
      </w:r>
    </w:p>
    <w:p>
      <w:pPr>
        <w:keepNext/>
        <w:keepLines/>
        <w:pageBreakBefore w:val="0"/>
        <w:widowControl w:val="0"/>
        <w:numPr>
          <w:ilvl w:val="3"/>
          <w:numId w:val="3"/>
        </w:numPr>
        <w:tabs>
          <w:tab w:val="left" w:pos="0"/>
        </w:tabs>
        <w:kinsoku/>
        <w:wordWrap/>
        <w:overflowPunct/>
        <w:topLinePunct w:val="0"/>
        <w:bidi w:val="0"/>
        <w:adjustRightInd w:val="0"/>
        <w:snapToGrid w:val="0"/>
        <w:spacing w:beforeLines="0" w:beforeAutospacing="0" w:afterLines="0" w:afterAutospacing="0" w:line="360" w:lineRule="auto"/>
        <w:ind w:left="0" w:firstLine="420" w:firstLineChars="200"/>
        <w:jc w:val="both"/>
        <w:outlineLvl w:val="3"/>
        <w:rPr>
          <w:rFonts w:hint="default" w:ascii="Times New Roman" w:hAnsi="Times New Roman" w:eastAsia="宋体" w:cs="Times New Roman"/>
          <w:kern w:val="0"/>
          <w:sz w:val="21"/>
          <w:szCs w:val="21"/>
          <w:highlight w:val="none"/>
          <w:u w:val="none" w:color="auto"/>
          <w:lang w:val="en-US" w:eastAsia="zh-CN" w:bidi="ar-SA"/>
        </w:rPr>
      </w:pPr>
      <w:r>
        <w:rPr>
          <w:rFonts w:hint="default" w:ascii="Times New Roman" w:hAnsi="Times New Roman" w:eastAsia="宋体" w:cs="Times New Roman"/>
          <w:kern w:val="0"/>
          <w:sz w:val="21"/>
          <w:szCs w:val="21"/>
          <w:highlight w:val="none"/>
          <w:u w:val="none" w:color="auto"/>
          <w:lang w:val="en-US" w:eastAsia="zh-CN" w:bidi="ar-SA"/>
        </w:rPr>
        <w:t>评价因子</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根据本项目的建设性质及其工程特点，确定本次评价的评价因子。本次评价的评价因子见下表。</w:t>
      </w:r>
    </w:p>
    <w:p>
      <w:pPr>
        <w:pageBreakBefore w:val="0"/>
        <w:widowControl w:val="0"/>
        <w:kinsoku/>
        <w:wordWrap/>
        <w:overflowPunct/>
        <w:topLinePunct w:val="0"/>
        <w:autoSpaceDE w:val="0"/>
        <w:autoSpaceDN w:val="0"/>
        <w:bidi w:val="0"/>
        <w:adjustRightInd w:val="0"/>
        <w:snapToGrid w:val="0"/>
        <w:spacing w:before="50" w:beforeLines="50" w:line="36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default" w:ascii="Times New Roman" w:hAnsi="Times New Roman" w:eastAsia="宋体" w:cs="Times New Roman"/>
          <w:b/>
          <w:color w:val="000000"/>
          <w:kern w:val="21"/>
          <w:sz w:val="21"/>
          <w:szCs w:val="21"/>
          <w:highlight w:val="none"/>
          <w:u w:val="none" w:color="auto"/>
          <w:lang w:val="en-US" w:eastAsia="zh-CN" w:bidi="ar-SA"/>
        </w:rPr>
        <w:t>表</w:t>
      </w:r>
      <w:r>
        <w:rPr>
          <w:rFonts w:hint="eastAsia" w:ascii="Times New Roman" w:hAnsi="Times New Roman" w:eastAsia="宋体" w:cs="Times New Roman"/>
          <w:b/>
          <w:color w:val="000000"/>
          <w:kern w:val="21"/>
          <w:sz w:val="21"/>
          <w:szCs w:val="21"/>
          <w:highlight w:val="none"/>
          <w:u w:val="none" w:color="auto"/>
          <w:lang w:val="en-US" w:eastAsia="zh-CN" w:bidi="ar-SA"/>
        </w:rPr>
        <w:t>1-1</w:t>
      </w:r>
      <w:r>
        <w:rPr>
          <w:rFonts w:hint="default" w:ascii="Times New Roman" w:hAnsi="Times New Roman" w:eastAsia="宋体" w:cs="Times New Roman"/>
          <w:b/>
          <w:color w:val="000000"/>
          <w:kern w:val="21"/>
          <w:sz w:val="21"/>
          <w:szCs w:val="21"/>
          <w:highlight w:val="none"/>
          <w:u w:val="none" w:color="auto"/>
          <w:lang w:val="en-US" w:eastAsia="zh-CN" w:bidi="ar-SA"/>
        </w:rPr>
        <w:t xml:space="preserve"> 项目评价因子一览表</w:t>
      </w:r>
    </w:p>
    <w:tbl>
      <w:tblPr>
        <w:tblStyle w:val="4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841"/>
        <w:gridCol w:w="3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3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环境要素</w:t>
            </w:r>
          </w:p>
        </w:tc>
        <w:tc>
          <w:tcPr>
            <w:tcW w:w="2841"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现状评价因子</w:t>
            </w:r>
          </w:p>
        </w:tc>
        <w:tc>
          <w:tcPr>
            <w:tcW w:w="364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影响预测评价因子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03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声环境</w:t>
            </w:r>
          </w:p>
        </w:tc>
        <w:tc>
          <w:tcPr>
            <w:tcW w:w="2841"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Leq（A）</w:t>
            </w:r>
          </w:p>
        </w:tc>
        <w:tc>
          <w:tcPr>
            <w:tcW w:w="364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Leq（A）</w:t>
            </w:r>
          </w:p>
        </w:tc>
      </w:tr>
    </w:tbl>
    <w:p>
      <w:pPr>
        <w:keepNext/>
        <w:keepLines/>
        <w:pageBreakBefore w:val="0"/>
        <w:widowControl w:val="0"/>
        <w:numPr>
          <w:ilvl w:val="3"/>
          <w:numId w:val="3"/>
        </w:numPr>
        <w:tabs>
          <w:tab w:val="left" w:pos="0"/>
        </w:tabs>
        <w:kinsoku/>
        <w:wordWrap/>
        <w:overflowPunct/>
        <w:topLinePunct w:val="0"/>
        <w:bidi w:val="0"/>
        <w:adjustRightInd w:val="0"/>
        <w:snapToGrid w:val="0"/>
        <w:spacing w:beforeLines="0" w:beforeAutospacing="0" w:afterLines="0" w:afterAutospacing="0" w:line="360" w:lineRule="auto"/>
        <w:ind w:left="0" w:firstLine="420" w:firstLineChars="200"/>
        <w:jc w:val="both"/>
        <w:outlineLvl w:val="3"/>
        <w:rPr>
          <w:rFonts w:hint="default" w:ascii="Times New Roman" w:hAnsi="Times New Roman" w:eastAsia="宋体" w:cs="Times New Roman"/>
          <w:kern w:val="0"/>
          <w:sz w:val="21"/>
          <w:szCs w:val="21"/>
          <w:highlight w:val="none"/>
          <w:u w:val="none" w:color="auto"/>
          <w:lang w:val="en-US" w:eastAsia="zh-CN" w:bidi="ar-SA"/>
        </w:rPr>
      </w:pPr>
      <w:r>
        <w:rPr>
          <w:rFonts w:hint="default" w:ascii="Times New Roman" w:hAnsi="Times New Roman" w:eastAsia="宋体" w:cs="Times New Roman"/>
          <w:kern w:val="0"/>
          <w:sz w:val="21"/>
          <w:szCs w:val="21"/>
          <w:highlight w:val="none"/>
          <w:u w:val="none" w:color="auto"/>
          <w:lang w:val="en-US" w:eastAsia="zh-CN" w:bidi="ar-SA"/>
        </w:rPr>
        <w:t>评价标准</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（1）环境质量标准</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根据永州市人民政府办公室关于印发《永州市中心城区声环境功能区划分方案》的通知（永政办发</w:t>
      </w:r>
      <w:r>
        <w:rPr>
          <w:rFonts w:hint="eastAsia" w:cs="Times New Roman"/>
          <w:color w:val="auto"/>
          <w:kern w:val="2"/>
          <w:sz w:val="21"/>
          <w:szCs w:val="21"/>
          <w:highlight w:val="none"/>
          <w:u w:val="none" w:color="auto"/>
          <w:lang w:eastAsia="zh-CN"/>
        </w:rPr>
        <w:t>【</w:t>
      </w:r>
      <w:r>
        <w:rPr>
          <w:rFonts w:hint="eastAsia" w:cs="Times New Roman"/>
          <w:color w:val="auto"/>
          <w:kern w:val="2"/>
          <w:sz w:val="21"/>
          <w:szCs w:val="21"/>
          <w:highlight w:val="none"/>
          <w:u w:val="none" w:color="auto"/>
          <w:lang w:val="en-US" w:eastAsia="zh-CN"/>
        </w:rPr>
        <w:t>2020</w:t>
      </w:r>
      <w:r>
        <w:rPr>
          <w:rFonts w:hint="eastAsia" w:cs="Times New Roman"/>
          <w:color w:val="auto"/>
          <w:kern w:val="2"/>
          <w:sz w:val="21"/>
          <w:szCs w:val="21"/>
          <w:highlight w:val="none"/>
          <w:u w:val="none" w:color="auto"/>
          <w:lang w:eastAsia="zh-CN"/>
        </w:rPr>
        <w:t>】</w:t>
      </w:r>
      <w:r>
        <w:rPr>
          <w:rFonts w:hint="eastAsia" w:cs="Times New Roman"/>
          <w:color w:val="auto"/>
          <w:kern w:val="2"/>
          <w:sz w:val="21"/>
          <w:szCs w:val="21"/>
          <w:highlight w:val="none"/>
          <w:u w:val="none" w:color="auto"/>
          <w:lang w:val="en-US" w:eastAsia="zh-CN"/>
        </w:rPr>
        <w:t>25</w:t>
      </w:r>
      <w:r>
        <w:rPr>
          <w:rFonts w:hint="default" w:ascii="Times New Roman" w:hAnsi="Times New Roman" w:cs="Times New Roman"/>
          <w:color w:val="auto"/>
          <w:kern w:val="2"/>
          <w:sz w:val="21"/>
          <w:szCs w:val="21"/>
          <w:highlight w:val="none"/>
          <w:u w:val="none" w:color="auto"/>
        </w:rPr>
        <w:t>号）道路两侧</w:t>
      </w:r>
      <w:r>
        <w:rPr>
          <w:rFonts w:hint="eastAsia" w:cs="Times New Roman"/>
          <w:color w:val="auto"/>
          <w:kern w:val="2"/>
          <w:sz w:val="21"/>
          <w:szCs w:val="21"/>
          <w:highlight w:val="none"/>
          <w:u w:val="none" w:color="auto"/>
          <w:lang w:val="en-US" w:eastAsia="zh-CN"/>
        </w:rPr>
        <w:t>35</w:t>
      </w:r>
      <w:r>
        <w:rPr>
          <w:rFonts w:hint="default" w:ascii="Times New Roman" w:hAnsi="Times New Roman" w:cs="Times New Roman"/>
          <w:color w:val="auto"/>
          <w:kern w:val="2"/>
          <w:sz w:val="21"/>
          <w:szCs w:val="21"/>
          <w:highlight w:val="none"/>
          <w:u w:val="none" w:color="auto"/>
        </w:rPr>
        <w:t>m内的区域中①当临街建筑高于三层楼房以上（含三层）时，将临街建筑面向交通干线一侧至交通干线边界线的区域定为4a类声环境功能区；</w:t>
      </w:r>
      <w:r>
        <w:rPr>
          <w:rFonts w:hint="eastAsia" w:cs="Times New Roman"/>
          <w:color w:val="auto"/>
          <w:kern w:val="2"/>
          <w:sz w:val="21"/>
          <w:szCs w:val="21"/>
          <w:highlight w:val="none"/>
          <w:u w:val="none" w:color="auto"/>
          <w:lang w:val="en-US" w:eastAsia="zh-CN"/>
        </w:rPr>
        <w:t>②</w:t>
      </w:r>
      <w:r>
        <w:rPr>
          <w:rFonts w:hint="default" w:ascii="Times New Roman" w:hAnsi="Times New Roman" w:cs="Times New Roman"/>
          <w:color w:val="auto"/>
          <w:kern w:val="2"/>
          <w:sz w:val="21"/>
          <w:szCs w:val="21"/>
          <w:highlight w:val="none"/>
          <w:u w:val="none" w:color="auto"/>
        </w:rPr>
        <w:t>道路两侧</w:t>
      </w:r>
      <w:r>
        <w:rPr>
          <w:rFonts w:hint="eastAsia" w:cs="Times New Roman"/>
          <w:color w:val="auto"/>
          <w:kern w:val="2"/>
          <w:sz w:val="21"/>
          <w:szCs w:val="21"/>
          <w:highlight w:val="none"/>
          <w:u w:val="none" w:color="auto"/>
          <w:lang w:val="en-US" w:eastAsia="zh-CN"/>
        </w:rPr>
        <w:t>35</w:t>
      </w:r>
      <w:r>
        <w:rPr>
          <w:rFonts w:hint="default" w:ascii="Times New Roman" w:hAnsi="Times New Roman" w:cs="Times New Roman"/>
          <w:color w:val="auto"/>
          <w:kern w:val="2"/>
          <w:sz w:val="21"/>
          <w:szCs w:val="21"/>
          <w:highlight w:val="none"/>
          <w:u w:val="none" w:color="auto"/>
        </w:rPr>
        <w:t>m以外区域执行《声环境质量标准》(GB3096-2008)中的2类标准。</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（2）污染物排放标准</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施工期噪声执行《建筑施工厂界环境噪声排放标准》（GB12523-2011）。</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评价等级</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本工程建成运营期间对环境的影响主要是交通噪声的影响。</w:t>
      </w:r>
      <w:r>
        <w:rPr>
          <w:rFonts w:hint="default"/>
          <w:kern w:val="2"/>
          <w:sz w:val="21"/>
          <w:szCs w:val="21"/>
          <w:highlight w:val="none"/>
          <w:u w:val="none" w:color="auto"/>
        </w:rPr>
        <w:t>采用</w:t>
      </w:r>
      <w:r>
        <w:rPr>
          <w:rFonts w:hint="eastAsia" w:ascii="Times New Roman" w:eastAsia="宋体"/>
          <w:kern w:val="2"/>
          <w:sz w:val="21"/>
          <w:szCs w:val="21"/>
          <w:highlight w:val="none"/>
          <w:u w:val="none" w:color="auto"/>
          <w:lang w:val="en-US" w:eastAsia="zh-CN"/>
        </w:rPr>
        <w:t>城市快速路（</w:t>
      </w:r>
      <w:r>
        <w:rPr>
          <w:rFonts w:hint="default"/>
          <w:kern w:val="2"/>
          <w:sz w:val="21"/>
          <w:szCs w:val="21"/>
          <w:highlight w:val="none"/>
          <w:u w:val="none" w:color="auto"/>
        </w:rPr>
        <w:t>城市主干道</w:t>
      </w:r>
      <w:r>
        <w:rPr>
          <w:rFonts w:hint="eastAsia" w:ascii="Times New Roman" w:eastAsia="宋体"/>
          <w:kern w:val="2"/>
          <w:sz w:val="21"/>
          <w:szCs w:val="21"/>
          <w:highlight w:val="none"/>
          <w:u w:val="none" w:color="auto"/>
          <w:lang w:val="en-US" w:eastAsia="zh-CN"/>
        </w:rPr>
        <w:t>）</w:t>
      </w:r>
      <w:r>
        <w:rPr>
          <w:rFonts w:hint="default"/>
          <w:kern w:val="2"/>
          <w:sz w:val="21"/>
          <w:szCs w:val="21"/>
          <w:highlight w:val="none"/>
          <w:u w:val="none" w:color="auto"/>
        </w:rPr>
        <w:t>设计标准</w:t>
      </w:r>
      <w:r>
        <w:rPr>
          <w:rFonts w:hint="eastAsia"/>
          <w:kern w:val="2"/>
          <w:sz w:val="21"/>
          <w:szCs w:val="21"/>
          <w:highlight w:val="none"/>
          <w:u w:val="none" w:color="auto"/>
        </w:rPr>
        <w:t>，萍阳北路延伸段标准段规划红线宽</w:t>
      </w:r>
      <w:r>
        <w:rPr>
          <w:rFonts w:hint="eastAsia" w:ascii="Times New Roman" w:eastAsia="宋体"/>
          <w:kern w:val="2"/>
          <w:sz w:val="21"/>
          <w:szCs w:val="21"/>
          <w:highlight w:val="none"/>
          <w:u w:val="none" w:color="auto"/>
          <w:lang w:val="en-US" w:eastAsia="zh-CN"/>
        </w:rPr>
        <w:t>36</w:t>
      </w:r>
      <w:r>
        <w:rPr>
          <w:rFonts w:hint="eastAsia"/>
          <w:kern w:val="2"/>
          <w:sz w:val="21"/>
          <w:szCs w:val="21"/>
          <w:highlight w:val="none"/>
          <w:u w:val="none" w:color="auto"/>
        </w:rPr>
        <w:t>m，</w:t>
      </w:r>
      <w:r>
        <w:rPr>
          <w:rFonts w:hint="eastAsia" w:ascii="Times New Roman" w:eastAsia="宋体"/>
          <w:kern w:val="2"/>
          <w:sz w:val="21"/>
          <w:szCs w:val="21"/>
          <w:highlight w:val="none"/>
          <w:u w:val="none" w:color="auto"/>
          <w:lang w:val="en-US" w:eastAsia="zh-CN"/>
        </w:rPr>
        <w:t>为城市主干道，</w:t>
      </w:r>
      <w:r>
        <w:rPr>
          <w:rFonts w:hint="eastAsia"/>
          <w:kern w:val="2"/>
          <w:sz w:val="21"/>
          <w:szCs w:val="21"/>
          <w:highlight w:val="none"/>
          <w:u w:val="none" w:color="auto"/>
        </w:rPr>
        <w:t>标准段车道规模为主路双向</w:t>
      </w:r>
      <w:r>
        <w:rPr>
          <w:rFonts w:hint="eastAsia" w:ascii="Times New Roman" w:eastAsia="宋体"/>
          <w:kern w:val="2"/>
          <w:sz w:val="21"/>
          <w:szCs w:val="21"/>
          <w:highlight w:val="none"/>
          <w:u w:val="none" w:color="auto"/>
          <w:lang w:val="en-US" w:eastAsia="zh-CN"/>
        </w:rPr>
        <w:t>4</w:t>
      </w:r>
      <w:r>
        <w:rPr>
          <w:rFonts w:hint="eastAsia"/>
          <w:kern w:val="2"/>
          <w:sz w:val="21"/>
          <w:szCs w:val="21"/>
          <w:highlight w:val="none"/>
          <w:u w:val="none" w:color="auto"/>
        </w:rPr>
        <w:t>车道，设计车速</w:t>
      </w:r>
      <w:r>
        <w:rPr>
          <w:rFonts w:hint="eastAsia" w:ascii="Times New Roman" w:eastAsia="宋体"/>
          <w:kern w:val="2"/>
          <w:sz w:val="21"/>
          <w:szCs w:val="21"/>
          <w:highlight w:val="none"/>
          <w:u w:val="none" w:color="auto"/>
          <w:lang w:val="en-US" w:eastAsia="zh-CN"/>
        </w:rPr>
        <w:t>50</w:t>
      </w:r>
      <w:r>
        <w:rPr>
          <w:rFonts w:hint="eastAsia"/>
          <w:kern w:val="2"/>
          <w:sz w:val="21"/>
          <w:szCs w:val="21"/>
          <w:highlight w:val="none"/>
          <w:u w:val="none" w:color="auto"/>
        </w:rPr>
        <w:t>km/h；萍州大桥西匝道双向</w:t>
      </w:r>
      <w:r>
        <w:rPr>
          <w:rFonts w:hint="eastAsia" w:ascii="Times New Roman" w:eastAsia="宋体"/>
          <w:kern w:val="2"/>
          <w:sz w:val="21"/>
          <w:szCs w:val="21"/>
          <w:highlight w:val="none"/>
          <w:u w:val="none" w:color="auto"/>
          <w:lang w:val="en-US" w:eastAsia="zh-CN"/>
        </w:rPr>
        <w:t>2</w:t>
      </w:r>
      <w:r>
        <w:rPr>
          <w:rFonts w:hint="eastAsia"/>
          <w:kern w:val="2"/>
          <w:sz w:val="21"/>
          <w:szCs w:val="21"/>
          <w:highlight w:val="none"/>
          <w:u w:val="none" w:color="auto"/>
        </w:rPr>
        <w:t>车道，</w:t>
      </w:r>
      <w:r>
        <w:rPr>
          <w:rFonts w:hint="eastAsia" w:ascii="Times New Roman" w:eastAsia="宋体"/>
          <w:kern w:val="2"/>
          <w:sz w:val="21"/>
          <w:szCs w:val="21"/>
          <w:highlight w:val="none"/>
          <w:u w:val="none" w:color="auto"/>
          <w:lang w:val="en-US" w:eastAsia="zh-CN"/>
        </w:rPr>
        <w:t>为</w:t>
      </w:r>
      <w:r>
        <w:rPr>
          <w:rFonts w:hint="eastAsia" w:cs="Times New Roman"/>
          <w:kern w:val="2"/>
          <w:sz w:val="21"/>
          <w:szCs w:val="21"/>
          <w:highlight w:val="none"/>
          <w:u w:val="none" w:color="auto"/>
          <w:lang w:eastAsia="zh-CN"/>
        </w:rPr>
        <w:t>城市支路，</w:t>
      </w:r>
      <w:r>
        <w:rPr>
          <w:rFonts w:hint="eastAsia"/>
          <w:kern w:val="2"/>
          <w:sz w:val="21"/>
          <w:szCs w:val="21"/>
          <w:highlight w:val="none"/>
          <w:u w:val="none" w:color="auto"/>
        </w:rPr>
        <w:t>设计速度</w:t>
      </w:r>
      <w:r>
        <w:rPr>
          <w:rFonts w:hint="eastAsia" w:ascii="Times New Roman" w:eastAsia="宋体"/>
          <w:kern w:val="2"/>
          <w:sz w:val="21"/>
          <w:szCs w:val="21"/>
          <w:highlight w:val="none"/>
          <w:u w:val="none" w:color="auto"/>
          <w:lang w:val="en-US" w:eastAsia="zh-CN"/>
        </w:rPr>
        <w:t>20</w:t>
      </w:r>
      <w:r>
        <w:rPr>
          <w:rFonts w:hint="eastAsia"/>
          <w:kern w:val="2"/>
          <w:sz w:val="21"/>
          <w:szCs w:val="21"/>
          <w:highlight w:val="none"/>
          <w:u w:val="none" w:color="auto"/>
        </w:rPr>
        <w:t>km/h</w:t>
      </w:r>
      <w:r>
        <w:rPr>
          <w:rFonts w:hint="default" w:ascii="Times New Roman" w:hAnsi="Times New Roman" w:cs="Times New Roman"/>
          <w:color w:val="auto"/>
          <w:kern w:val="2"/>
          <w:sz w:val="21"/>
          <w:szCs w:val="21"/>
          <w:highlight w:val="none"/>
          <w:u w:val="none" w:color="auto"/>
        </w:rPr>
        <w:t>，全部采用沥青混凝土路面。项目所处的声环境功能区为《声环境质量标准》（GB3096-2008）规定的2类、4a类，项目建设前后受影响人口变化情况不明显，建设前后建设项目声环境保护目标处边界噪声级增量</w:t>
      </w:r>
      <w:r>
        <w:rPr>
          <w:rFonts w:hint="eastAsia" w:cs="Times New Roman"/>
          <w:color w:val="auto"/>
          <w:kern w:val="2"/>
          <w:sz w:val="21"/>
          <w:szCs w:val="21"/>
          <w:highlight w:val="none"/>
          <w:u w:val="none" w:color="auto"/>
          <w:lang w:val="en-US" w:eastAsia="zh-CN"/>
        </w:rPr>
        <w:t>大于5</w:t>
      </w:r>
      <w:r>
        <w:rPr>
          <w:rFonts w:hint="default" w:ascii="Times New Roman" w:hAnsi="Times New Roman" w:cs="Times New Roman"/>
          <w:color w:val="auto"/>
          <w:kern w:val="2"/>
          <w:sz w:val="21"/>
          <w:szCs w:val="21"/>
          <w:highlight w:val="none"/>
          <w:u w:val="none" w:color="auto"/>
        </w:rPr>
        <w:t>dB（A）。根据《环境影响评价技术导则 声环境》（HJ2.4-2021）中评价工作分级的规定，确定本次声环境影响评价工作等级为</w:t>
      </w:r>
      <w:r>
        <w:rPr>
          <w:rFonts w:hint="eastAsia" w:cs="Times New Roman"/>
          <w:color w:val="auto"/>
          <w:kern w:val="2"/>
          <w:sz w:val="21"/>
          <w:szCs w:val="21"/>
          <w:highlight w:val="none"/>
          <w:u w:val="none" w:color="auto"/>
          <w:lang w:val="en-US" w:eastAsia="zh-CN"/>
        </w:rPr>
        <w:t>一</w:t>
      </w:r>
      <w:r>
        <w:rPr>
          <w:rFonts w:hint="default" w:ascii="Times New Roman" w:hAnsi="Times New Roman" w:cs="Times New Roman"/>
          <w:color w:val="auto"/>
          <w:kern w:val="2"/>
          <w:sz w:val="21"/>
          <w:szCs w:val="21"/>
          <w:highlight w:val="none"/>
          <w:u w:val="none" w:color="auto"/>
        </w:rPr>
        <w:t>级。</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eastAsia" w:ascii="Times New Roman" w:hAnsi="Times New Roman" w:eastAsia="宋体" w:cs="Times New Roman"/>
          <w:b/>
          <w:color w:val="000000"/>
          <w:kern w:val="21"/>
          <w:sz w:val="21"/>
          <w:szCs w:val="21"/>
          <w:highlight w:val="none"/>
          <w:u w:val="none" w:color="auto"/>
          <w:lang w:val="en-US" w:eastAsia="zh-CN" w:bidi="ar-SA"/>
        </w:rPr>
        <w:t>表1-2</w:t>
      </w:r>
      <w:r>
        <w:rPr>
          <w:rFonts w:hint="default" w:ascii="Times New Roman" w:hAnsi="Times New Roman" w:eastAsia="宋体" w:cs="Times New Roman"/>
          <w:b/>
          <w:color w:val="000000"/>
          <w:kern w:val="21"/>
          <w:sz w:val="21"/>
          <w:szCs w:val="21"/>
          <w:highlight w:val="none"/>
          <w:u w:val="none" w:color="auto"/>
          <w:lang w:val="en-US" w:eastAsia="zh-CN" w:bidi="ar-SA"/>
        </w:rPr>
        <w:t>评价等级划分一览表</w:t>
      </w:r>
    </w:p>
    <w:tbl>
      <w:tblPr>
        <w:tblStyle w:val="4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6264"/>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环境要素</w:t>
            </w:r>
          </w:p>
        </w:tc>
        <w:tc>
          <w:tcPr>
            <w:tcW w:w="626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划分依据</w:t>
            </w:r>
          </w:p>
        </w:tc>
        <w:tc>
          <w:tcPr>
            <w:tcW w:w="109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5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声环境</w:t>
            </w:r>
          </w:p>
        </w:tc>
        <w:tc>
          <w:tcPr>
            <w:tcW w:w="626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根据HJ2.4-2021中要求，拟建工程所处的声环境功能区为《声环境质量标准》（GB3096-2008）规定的2类、4a类地区，项目建设前后噪声级的增加量以及受影响人口变化情况均不明显，建设前后建设项目声环境保护目标处噪声级增量</w:t>
            </w:r>
            <w:r>
              <w:rPr>
                <w:rFonts w:hint="eastAsia" w:ascii="Times New Roman" w:hAnsi="Times New Roman" w:eastAsia="宋体" w:cs="Times New Roman"/>
                <w:kern w:val="2"/>
                <w:sz w:val="21"/>
                <w:szCs w:val="21"/>
                <w:highlight w:val="none"/>
                <w:u w:val="none" w:color="auto"/>
                <w:lang w:val="en-US" w:eastAsia="zh-CN" w:bidi="ar-SA"/>
              </w:rPr>
              <w:t>大于5</w:t>
            </w:r>
            <w:r>
              <w:rPr>
                <w:rFonts w:hint="default" w:ascii="Times New Roman" w:hAnsi="Times New Roman" w:eastAsia="宋体" w:cs="Times New Roman"/>
                <w:kern w:val="2"/>
                <w:sz w:val="21"/>
                <w:szCs w:val="21"/>
                <w:highlight w:val="none"/>
                <w:u w:val="none" w:color="auto"/>
                <w:lang w:val="en-US" w:eastAsia="zh-CN" w:bidi="ar-SA"/>
              </w:rPr>
              <w:t>dB（A）。</w:t>
            </w:r>
          </w:p>
        </w:tc>
        <w:tc>
          <w:tcPr>
            <w:tcW w:w="109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一</w:t>
            </w:r>
            <w:r>
              <w:rPr>
                <w:rFonts w:hint="default" w:ascii="Times New Roman" w:hAnsi="Times New Roman" w:eastAsia="宋体" w:cs="Times New Roman"/>
                <w:kern w:val="2"/>
                <w:sz w:val="21"/>
                <w:szCs w:val="21"/>
                <w:highlight w:val="none"/>
                <w:u w:val="none" w:color="auto"/>
                <w:lang w:val="en-US" w:eastAsia="zh-CN" w:bidi="ar-SA"/>
              </w:rPr>
              <w:t>级</w:t>
            </w:r>
          </w:p>
        </w:tc>
      </w:tr>
    </w:tbl>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评价时段</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本项目评价时段包括施工期和运营期。根据可研，项目总建设周期预计为</w:t>
      </w:r>
      <w:r>
        <w:rPr>
          <w:rFonts w:hint="eastAsia" w:cs="Times New Roman"/>
          <w:color w:val="auto"/>
          <w:kern w:val="2"/>
          <w:sz w:val="21"/>
          <w:szCs w:val="21"/>
          <w:highlight w:val="none"/>
          <w:u w:val="none" w:color="auto"/>
          <w:lang w:val="en-US" w:eastAsia="zh-CN"/>
        </w:rPr>
        <w:t>16</w:t>
      </w:r>
      <w:r>
        <w:rPr>
          <w:rFonts w:hint="default" w:ascii="Times New Roman" w:hAnsi="Times New Roman" w:cs="Times New Roman"/>
          <w:color w:val="auto"/>
          <w:kern w:val="2"/>
          <w:sz w:val="21"/>
          <w:szCs w:val="21"/>
          <w:highlight w:val="none"/>
          <w:u w:val="none" w:color="auto"/>
        </w:rPr>
        <w:t>个月，计划于202</w:t>
      </w:r>
      <w:r>
        <w:rPr>
          <w:rFonts w:hint="eastAsia" w:cs="Times New Roman"/>
          <w:color w:val="auto"/>
          <w:kern w:val="2"/>
          <w:sz w:val="21"/>
          <w:szCs w:val="21"/>
          <w:highlight w:val="none"/>
          <w:u w:val="none" w:color="auto"/>
          <w:lang w:val="en-US" w:eastAsia="zh-CN"/>
        </w:rPr>
        <w:t>5</w:t>
      </w:r>
      <w:r>
        <w:rPr>
          <w:rFonts w:hint="default" w:ascii="Times New Roman" w:hAnsi="Times New Roman" w:cs="Times New Roman"/>
          <w:color w:val="auto"/>
          <w:kern w:val="2"/>
          <w:sz w:val="21"/>
          <w:szCs w:val="21"/>
          <w:highlight w:val="none"/>
          <w:u w:val="none" w:color="auto"/>
        </w:rPr>
        <w:t>年</w:t>
      </w:r>
      <w:r>
        <w:rPr>
          <w:rFonts w:hint="eastAsia" w:cs="Times New Roman"/>
          <w:color w:val="auto"/>
          <w:kern w:val="2"/>
          <w:sz w:val="21"/>
          <w:szCs w:val="21"/>
          <w:highlight w:val="none"/>
          <w:u w:val="none" w:color="auto"/>
          <w:lang w:val="en-US" w:eastAsia="zh-CN"/>
        </w:rPr>
        <w:t>1</w:t>
      </w:r>
      <w:r>
        <w:rPr>
          <w:rFonts w:hint="default" w:ascii="Times New Roman" w:hAnsi="Times New Roman" w:cs="Times New Roman"/>
          <w:color w:val="auto"/>
          <w:kern w:val="2"/>
          <w:sz w:val="21"/>
          <w:szCs w:val="21"/>
          <w:highlight w:val="none"/>
          <w:u w:val="none" w:color="auto"/>
        </w:rPr>
        <w:t>月开始动工，202</w:t>
      </w:r>
      <w:r>
        <w:rPr>
          <w:rFonts w:hint="eastAsia" w:cs="Times New Roman"/>
          <w:color w:val="auto"/>
          <w:kern w:val="2"/>
          <w:sz w:val="21"/>
          <w:szCs w:val="21"/>
          <w:highlight w:val="none"/>
          <w:u w:val="none" w:color="auto"/>
          <w:lang w:val="en-US" w:eastAsia="zh-CN"/>
        </w:rPr>
        <w:t>6</w:t>
      </w:r>
      <w:r>
        <w:rPr>
          <w:rFonts w:hint="default" w:ascii="Times New Roman" w:hAnsi="Times New Roman" w:cs="Times New Roman"/>
          <w:color w:val="auto"/>
          <w:kern w:val="2"/>
          <w:sz w:val="21"/>
          <w:szCs w:val="21"/>
          <w:highlight w:val="none"/>
          <w:u w:val="none" w:color="auto"/>
        </w:rPr>
        <w:t>年</w:t>
      </w:r>
      <w:r>
        <w:rPr>
          <w:rFonts w:hint="eastAsia" w:cs="Times New Roman"/>
          <w:color w:val="auto"/>
          <w:kern w:val="2"/>
          <w:sz w:val="21"/>
          <w:szCs w:val="21"/>
          <w:highlight w:val="none"/>
          <w:u w:val="none" w:color="auto"/>
          <w:lang w:val="en-US" w:eastAsia="zh-CN"/>
        </w:rPr>
        <w:t>6</w:t>
      </w:r>
      <w:r>
        <w:rPr>
          <w:rFonts w:hint="default" w:ascii="Times New Roman" w:hAnsi="Times New Roman" w:cs="Times New Roman"/>
          <w:color w:val="auto"/>
          <w:kern w:val="2"/>
          <w:sz w:val="21"/>
          <w:szCs w:val="21"/>
          <w:highlight w:val="none"/>
          <w:u w:val="none" w:color="auto"/>
        </w:rPr>
        <w:t>月建成投入使用。运营期评价年份按工程竣工后近期、中期和远期划分，分别为202</w:t>
      </w:r>
      <w:r>
        <w:rPr>
          <w:rFonts w:hint="eastAsia" w:cs="Times New Roman"/>
          <w:color w:val="auto"/>
          <w:kern w:val="2"/>
          <w:sz w:val="21"/>
          <w:szCs w:val="21"/>
          <w:highlight w:val="none"/>
          <w:u w:val="none" w:color="auto"/>
          <w:lang w:val="en-US" w:eastAsia="zh-CN"/>
        </w:rPr>
        <w:t>7</w:t>
      </w:r>
      <w:r>
        <w:rPr>
          <w:rFonts w:hint="default" w:ascii="Times New Roman" w:hAnsi="Times New Roman" w:cs="Times New Roman"/>
          <w:color w:val="auto"/>
          <w:kern w:val="2"/>
          <w:sz w:val="21"/>
          <w:szCs w:val="21"/>
          <w:highlight w:val="none"/>
          <w:u w:val="none" w:color="auto"/>
        </w:rPr>
        <w:t>年、203</w:t>
      </w:r>
      <w:r>
        <w:rPr>
          <w:rFonts w:hint="eastAsia" w:cs="Times New Roman"/>
          <w:color w:val="auto"/>
          <w:kern w:val="2"/>
          <w:sz w:val="21"/>
          <w:szCs w:val="21"/>
          <w:highlight w:val="none"/>
          <w:u w:val="none" w:color="auto"/>
          <w:lang w:val="en-US" w:eastAsia="zh-CN"/>
        </w:rPr>
        <w:t>3</w:t>
      </w:r>
      <w:r>
        <w:rPr>
          <w:rFonts w:hint="default" w:ascii="Times New Roman" w:hAnsi="Times New Roman" w:cs="Times New Roman"/>
          <w:color w:val="auto"/>
          <w:kern w:val="2"/>
          <w:sz w:val="21"/>
          <w:szCs w:val="21"/>
          <w:highlight w:val="none"/>
          <w:u w:val="none" w:color="auto"/>
        </w:rPr>
        <w:t>年和20</w:t>
      </w:r>
      <w:r>
        <w:rPr>
          <w:rFonts w:hint="eastAsia" w:cs="Times New Roman"/>
          <w:color w:val="auto"/>
          <w:kern w:val="2"/>
          <w:sz w:val="21"/>
          <w:szCs w:val="21"/>
          <w:highlight w:val="none"/>
          <w:u w:val="none" w:color="auto"/>
          <w:lang w:val="en-US" w:eastAsia="zh-CN"/>
        </w:rPr>
        <w:t>41</w:t>
      </w:r>
      <w:r>
        <w:rPr>
          <w:rFonts w:hint="default" w:ascii="Times New Roman" w:hAnsi="Times New Roman" w:cs="Times New Roman"/>
          <w:color w:val="auto"/>
          <w:kern w:val="2"/>
          <w:sz w:val="21"/>
          <w:szCs w:val="21"/>
          <w:highlight w:val="none"/>
          <w:u w:val="none" w:color="auto"/>
        </w:rPr>
        <w:t>年。</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评价范围</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施工期评价范围为各类施工场界外200m范围内。</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运营期评价范围为道路中心线两侧200m范围内区域。</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评价方法</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根据《建设项目环境影响评价技术导则 总纲》（HJ2.1-2016）</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《环境影响评价技术导则 声环境》（HJ2.4-2021）等要求，本次评价主要采用现场调查与监测法、模型法等方法开展环评工作。</w:t>
      </w:r>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声环境敏感目标</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经现场勘查、调查统计，本项目的工程段沿线评价范围内声环境保护目标的情况具体见下表</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保护目标图见附图。</w:t>
      </w:r>
    </w:p>
    <w:p>
      <w:pPr>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auto"/>
          <w:sz w:val="21"/>
          <w:szCs w:val="21"/>
          <w:highlight w:val="none"/>
          <w:u w:val="none" w:color="auto"/>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val="0"/>
          <w:color w:val="auto"/>
          <w:kern w:val="21"/>
          <w:sz w:val="21"/>
          <w:szCs w:val="21"/>
          <w:highlight w:val="none"/>
          <w:u w:val="none" w:color="auto"/>
          <w:lang w:val="en-US" w:eastAsia="zh-CN" w:bidi="ar-SA"/>
        </w:rPr>
      </w:pPr>
      <w:bookmarkStart w:id="100" w:name="_Toc855"/>
      <w:r>
        <w:rPr>
          <w:rFonts w:hint="eastAsia" w:ascii="Times New Roman" w:hAnsi="Times New Roman" w:eastAsia="宋体" w:cs="Times New Roman"/>
          <w:b/>
          <w:color w:val="000000"/>
          <w:kern w:val="21"/>
          <w:sz w:val="21"/>
          <w:szCs w:val="21"/>
          <w:highlight w:val="none"/>
          <w:u w:val="none" w:color="auto"/>
          <w:lang w:val="en-US" w:eastAsia="zh-CN" w:bidi="ar-SA"/>
        </w:rPr>
        <w:t>表1-3</w:t>
      </w:r>
      <w:r>
        <w:rPr>
          <w:rFonts w:hint="default" w:ascii="Times New Roman" w:hAnsi="Times New Roman" w:eastAsia="宋体" w:cs="Times New Roman"/>
          <w:b/>
          <w:color w:val="000000"/>
          <w:kern w:val="21"/>
          <w:sz w:val="21"/>
          <w:szCs w:val="21"/>
          <w:highlight w:val="none"/>
          <w:u w:val="none" w:color="auto"/>
          <w:lang w:val="en-US" w:eastAsia="zh-CN" w:bidi="ar-SA"/>
        </w:rPr>
        <w:t>声环境保护目标一览表</w:t>
      </w:r>
      <w:bookmarkEnd w:id="100"/>
    </w:p>
    <w:tbl>
      <w:tblPr>
        <w:tblStyle w:val="4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336"/>
        <w:gridCol w:w="988"/>
        <w:gridCol w:w="674"/>
        <w:gridCol w:w="737"/>
        <w:gridCol w:w="1124"/>
        <w:gridCol w:w="1075"/>
        <w:gridCol w:w="788"/>
        <w:gridCol w:w="762"/>
        <w:gridCol w:w="625"/>
        <w:gridCol w:w="1974"/>
        <w:gridCol w:w="3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516"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bookmarkStart w:id="101" w:name="_Ref104195213"/>
            <w:bookmarkStart w:id="102" w:name="_Ref104215756"/>
            <w:r>
              <w:rPr>
                <w:rFonts w:hint="default" w:ascii="Times New Roman" w:hAnsi="Times New Roman" w:eastAsia="宋体" w:cs="Times New Roman"/>
                <w:kern w:val="2"/>
                <w:sz w:val="21"/>
                <w:szCs w:val="21"/>
                <w:highlight w:val="none"/>
                <w:u w:val="single"/>
                <w:lang w:val="en-US" w:eastAsia="zh-CN" w:bidi="ar-SA"/>
              </w:rPr>
              <w:t>序号</w:t>
            </w:r>
          </w:p>
        </w:tc>
        <w:tc>
          <w:tcPr>
            <w:tcW w:w="1336"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敏感点名称</w:t>
            </w:r>
          </w:p>
        </w:tc>
        <w:tc>
          <w:tcPr>
            <w:tcW w:w="988"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里程范围</w:t>
            </w:r>
          </w:p>
        </w:tc>
        <w:tc>
          <w:tcPr>
            <w:tcW w:w="674"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线路形式</w:t>
            </w:r>
          </w:p>
        </w:tc>
        <w:tc>
          <w:tcPr>
            <w:tcW w:w="737"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方位</w:t>
            </w:r>
          </w:p>
        </w:tc>
        <w:tc>
          <w:tcPr>
            <w:tcW w:w="1124"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声环境保护目标预测点与路面高差/m</w:t>
            </w:r>
          </w:p>
        </w:tc>
        <w:tc>
          <w:tcPr>
            <w:tcW w:w="1075"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距道路边界（红线）距离/m</w:t>
            </w:r>
          </w:p>
        </w:tc>
        <w:tc>
          <w:tcPr>
            <w:tcW w:w="788"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距道路中心线距离/m</w:t>
            </w:r>
          </w:p>
        </w:tc>
        <w:tc>
          <w:tcPr>
            <w:tcW w:w="1387" w:type="dxa"/>
            <w:gridSpan w:val="2"/>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不同功能区户数/户</w:t>
            </w:r>
          </w:p>
        </w:tc>
        <w:tc>
          <w:tcPr>
            <w:tcW w:w="1974"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声环境保护目标情况说明</w:t>
            </w:r>
          </w:p>
        </w:tc>
        <w:tc>
          <w:tcPr>
            <w:tcW w:w="3575" w:type="dxa"/>
            <w:vMerge w:val="restart"/>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现状照片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516" w:type="dxa"/>
            <w:vMerge w:val="continue"/>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p>
        </w:tc>
        <w:tc>
          <w:tcPr>
            <w:tcW w:w="1336" w:type="dxa"/>
            <w:vMerge w:val="continue"/>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p>
        </w:tc>
        <w:tc>
          <w:tcPr>
            <w:tcW w:w="988" w:type="dxa"/>
            <w:vMerge w:val="continue"/>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p>
        </w:tc>
        <w:tc>
          <w:tcPr>
            <w:tcW w:w="674" w:type="dxa"/>
            <w:vMerge w:val="continue"/>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p>
        </w:tc>
        <w:tc>
          <w:tcPr>
            <w:tcW w:w="737" w:type="dxa"/>
            <w:vMerge w:val="continue"/>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p>
        </w:tc>
        <w:tc>
          <w:tcPr>
            <w:tcW w:w="1124" w:type="dxa"/>
            <w:vMerge w:val="continue"/>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p>
        </w:tc>
        <w:tc>
          <w:tcPr>
            <w:tcW w:w="1075" w:type="dxa"/>
            <w:vMerge w:val="continue"/>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p>
        </w:tc>
        <w:tc>
          <w:tcPr>
            <w:tcW w:w="788" w:type="dxa"/>
            <w:vMerge w:val="continue"/>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p>
        </w:tc>
        <w:tc>
          <w:tcPr>
            <w:tcW w:w="762" w:type="dxa"/>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2类</w:t>
            </w:r>
          </w:p>
        </w:tc>
        <w:tc>
          <w:tcPr>
            <w:tcW w:w="625" w:type="dxa"/>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4a类</w:t>
            </w:r>
          </w:p>
        </w:tc>
        <w:tc>
          <w:tcPr>
            <w:tcW w:w="1974" w:type="dxa"/>
            <w:vMerge w:val="continue"/>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p>
        </w:tc>
        <w:tc>
          <w:tcPr>
            <w:tcW w:w="3575" w:type="dxa"/>
            <w:vMerge w:val="continue"/>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1</w:t>
            </w:r>
          </w:p>
        </w:tc>
        <w:tc>
          <w:tcPr>
            <w:tcW w:w="133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老渡口社区居民委员会及居民委员会旁居民</w:t>
            </w:r>
          </w:p>
        </w:tc>
        <w:tc>
          <w:tcPr>
            <w:tcW w:w="988" w:type="dxa"/>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K0+000</w:t>
            </w:r>
          </w:p>
        </w:tc>
        <w:tc>
          <w:tcPr>
            <w:tcW w:w="67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路堤</w:t>
            </w:r>
          </w:p>
        </w:tc>
        <w:tc>
          <w:tcPr>
            <w:tcW w:w="737"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左侧</w:t>
            </w:r>
          </w:p>
        </w:tc>
        <w:tc>
          <w:tcPr>
            <w:tcW w:w="112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+0.3</w:t>
            </w:r>
          </w:p>
        </w:tc>
        <w:tc>
          <w:tcPr>
            <w:tcW w:w="10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9</w:t>
            </w:r>
          </w:p>
        </w:tc>
        <w:tc>
          <w:tcPr>
            <w:tcW w:w="78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34</w:t>
            </w:r>
          </w:p>
        </w:tc>
        <w:tc>
          <w:tcPr>
            <w:tcW w:w="762"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约70人</w:t>
            </w:r>
          </w:p>
        </w:tc>
        <w:tc>
          <w:tcPr>
            <w:tcW w:w="62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约130人</w:t>
            </w:r>
          </w:p>
        </w:tc>
        <w:tc>
          <w:tcPr>
            <w:tcW w:w="197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办公楼，共3栋，6层，居民楼共18栋，2层，</w:t>
            </w:r>
            <w:r>
              <w:rPr>
                <w:rFonts w:hint="default" w:ascii="Times New Roman" w:hAnsi="Times New Roman" w:eastAsia="宋体" w:cs="Times New Roman"/>
                <w:kern w:val="2"/>
                <w:sz w:val="21"/>
                <w:szCs w:val="21"/>
                <w:highlight w:val="none"/>
                <w:u w:val="single"/>
                <w:lang w:val="en-US" w:eastAsia="zh-CN" w:bidi="ar-SA"/>
              </w:rPr>
              <w:t>砖混</w:t>
            </w:r>
            <w:r>
              <w:rPr>
                <w:rFonts w:hint="eastAsia" w:ascii="Times New Roman" w:hAnsi="Times New Roman" w:eastAsia="宋体" w:cs="Times New Roman"/>
                <w:kern w:val="2"/>
                <w:sz w:val="21"/>
                <w:szCs w:val="21"/>
                <w:highlight w:val="none"/>
                <w:u w:val="single"/>
                <w:lang w:val="en-US" w:eastAsia="zh-CN" w:bidi="ar-SA"/>
              </w:rPr>
              <w:t>，</w:t>
            </w:r>
            <w:r>
              <w:rPr>
                <w:rFonts w:hint="eastAsia" w:ascii="Times New Roman" w:hAnsi="Times New Roman" w:eastAsia="宋体" w:cs="Times New Roman"/>
                <w:color w:val="auto"/>
                <w:kern w:val="2"/>
                <w:sz w:val="21"/>
                <w:szCs w:val="21"/>
                <w:highlight w:val="none"/>
                <w:u w:val="single" w:color="auto"/>
                <w:lang w:val="en-US" w:eastAsia="zh-CN" w:bidi="ar-SA"/>
              </w:rPr>
              <w:t>背对</w:t>
            </w:r>
            <w:r>
              <w:rPr>
                <w:rFonts w:hint="eastAsia" w:ascii="Times New Roman" w:hAnsi="Times New Roman" w:eastAsia="宋体" w:cs="Times New Roman"/>
                <w:kern w:val="2"/>
                <w:sz w:val="21"/>
                <w:szCs w:val="21"/>
                <w:highlight w:val="none"/>
                <w:u w:val="single"/>
                <w:lang w:val="en-US" w:eastAsia="zh-CN" w:bidi="ar-SA"/>
              </w:rPr>
              <w:t>，</w:t>
            </w:r>
            <w:r>
              <w:rPr>
                <w:rFonts w:hint="default" w:ascii="Times New Roman" w:hAnsi="Times New Roman" w:eastAsia="宋体" w:cs="Times New Roman"/>
                <w:kern w:val="2"/>
                <w:sz w:val="21"/>
                <w:szCs w:val="21"/>
                <w:highlight w:val="none"/>
                <w:u w:val="single"/>
                <w:lang w:val="en-US" w:eastAsia="zh-CN" w:bidi="ar-SA"/>
              </w:rPr>
              <w:t>砖混</w:t>
            </w:r>
            <w:r>
              <w:rPr>
                <w:rFonts w:hint="eastAsia" w:ascii="Times New Roman" w:hAnsi="Times New Roman" w:eastAsia="宋体" w:cs="Times New Roman"/>
                <w:kern w:val="2"/>
                <w:sz w:val="21"/>
                <w:szCs w:val="21"/>
                <w:highlight w:val="none"/>
                <w:u w:val="single"/>
                <w:lang w:val="en-US" w:eastAsia="zh-CN" w:bidi="ar-SA"/>
              </w:rPr>
              <w:t>，</w:t>
            </w:r>
            <w:r>
              <w:rPr>
                <w:rFonts w:hint="eastAsia" w:ascii="Times New Roman" w:hAnsi="Times New Roman" w:eastAsia="宋体" w:cs="Times New Roman"/>
                <w:color w:val="auto"/>
                <w:kern w:val="2"/>
                <w:sz w:val="21"/>
                <w:szCs w:val="21"/>
                <w:highlight w:val="none"/>
                <w:u w:val="single" w:color="auto"/>
                <w:lang w:val="en-US" w:eastAsia="zh-CN" w:bidi="ar-SA"/>
              </w:rPr>
              <w:t>背对</w:t>
            </w:r>
          </w:p>
        </w:tc>
        <w:tc>
          <w:tcPr>
            <w:tcW w:w="3575" w:type="dxa"/>
            <w:tcBorders>
              <w:top w:val="single" w:color="auto" w:sz="4" w:space="0"/>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u w:val="single"/>
              </w:rPr>
              <w:drawing>
                <wp:inline distT="0" distB="0" distL="114300" distR="114300">
                  <wp:extent cx="2093595" cy="1670050"/>
                  <wp:effectExtent l="0" t="0" r="1905" b="635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39"/>
                          <a:stretch>
                            <a:fillRect/>
                          </a:stretch>
                        </pic:blipFill>
                        <pic:spPr>
                          <a:xfrm>
                            <a:off x="0" y="0"/>
                            <a:ext cx="2093595" cy="1670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2</w:t>
            </w:r>
          </w:p>
        </w:tc>
        <w:tc>
          <w:tcPr>
            <w:tcW w:w="133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原化工集团宿舍</w:t>
            </w:r>
          </w:p>
        </w:tc>
        <w:tc>
          <w:tcPr>
            <w:tcW w:w="988" w:type="dxa"/>
            <w:tcBorders>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u w:val="single" w:color="auto"/>
                <w:lang w:val="en-US" w:eastAsia="zh-CN" w:bidi="ar-SA"/>
              </w:rPr>
              <w:t>K0+560-K0+640</w:t>
            </w:r>
          </w:p>
        </w:tc>
        <w:tc>
          <w:tcPr>
            <w:tcW w:w="67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路堤</w:t>
            </w:r>
          </w:p>
        </w:tc>
        <w:tc>
          <w:tcPr>
            <w:tcW w:w="737"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左侧</w:t>
            </w:r>
          </w:p>
        </w:tc>
        <w:tc>
          <w:tcPr>
            <w:tcW w:w="112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+0.5</w:t>
            </w:r>
          </w:p>
        </w:tc>
        <w:tc>
          <w:tcPr>
            <w:tcW w:w="10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u w:val="single" w:color="auto"/>
                <w:lang w:val="en-US" w:eastAsia="zh-CN" w:bidi="ar-SA"/>
              </w:rPr>
              <w:t>62</w:t>
            </w:r>
          </w:p>
        </w:tc>
        <w:tc>
          <w:tcPr>
            <w:tcW w:w="78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83</w:t>
            </w:r>
          </w:p>
        </w:tc>
        <w:tc>
          <w:tcPr>
            <w:tcW w:w="762"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约45人</w:t>
            </w:r>
          </w:p>
        </w:tc>
        <w:tc>
          <w:tcPr>
            <w:tcW w:w="62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w:t>
            </w:r>
          </w:p>
        </w:tc>
        <w:tc>
          <w:tcPr>
            <w:tcW w:w="197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为原化工集团宿舍，大部分空置，仅有少量居民，</w:t>
            </w:r>
            <w:r>
              <w:rPr>
                <w:rFonts w:hint="default" w:ascii="Times New Roman" w:hAnsi="Times New Roman" w:eastAsia="宋体" w:cs="Times New Roman"/>
                <w:kern w:val="2"/>
                <w:sz w:val="21"/>
                <w:szCs w:val="21"/>
                <w:highlight w:val="none"/>
                <w:u w:val="single"/>
                <w:lang w:val="en-US" w:eastAsia="zh-CN" w:bidi="ar-SA"/>
              </w:rPr>
              <w:t>砖混</w:t>
            </w:r>
            <w:r>
              <w:rPr>
                <w:rFonts w:hint="eastAsia" w:ascii="Times New Roman" w:hAnsi="Times New Roman" w:eastAsia="宋体" w:cs="Times New Roman"/>
                <w:kern w:val="2"/>
                <w:sz w:val="21"/>
                <w:szCs w:val="21"/>
                <w:highlight w:val="none"/>
                <w:u w:val="single"/>
                <w:lang w:val="en-US" w:eastAsia="zh-CN" w:bidi="ar-SA"/>
              </w:rPr>
              <w:t>，</w:t>
            </w:r>
            <w:r>
              <w:rPr>
                <w:rFonts w:hint="eastAsia" w:ascii="Times New Roman" w:hAnsi="Times New Roman" w:eastAsia="宋体" w:cs="Times New Roman"/>
                <w:color w:val="auto"/>
                <w:kern w:val="2"/>
                <w:sz w:val="21"/>
                <w:szCs w:val="21"/>
                <w:highlight w:val="none"/>
                <w:u w:val="single" w:color="auto"/>
                <w:lang w:val="en-US" w:eastAsia="zh-CN" w:bidi="ar-SA"/>
              </w:rPr>
              <w:t>背对</w:t>
            </w:r>
          </w:p>
        </w:tc>
        <w:tc>
          <w:tcPr>
            <w:tcW w:w="3575" w:type="dxa"/>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drawing>
                <wp:inline distT="0" distB="0" distL="114300" distR="114300">
                  <wp:extent cx="2127250" cy="1595755"/>
                  <wp:effectExtent l="0" t="0" r="6350" b="4445"/>
                  <wp:docPr id="64" name="图片 64" descr="c7f14301d887e157ab08d71838f5b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7f14301d887e157ab08d71838f5b66"/>
                          <pic:cNvPicPr>
                            <a:picLocks noChangeAspect="1"/>
                          </pic:cNvPicPr>
                        </pic:nvPicPr>
                        <pic:blipFill>
                          <a:blip r:embed="rId40"/>
                          <a:stretch>
                            <a:fillRect/>
                          </a:stretch>
                        </pic:blipFill>
                        <pic:spPr>
                          <a:xfrm>
                            <a:off x="0" y="0"/>
                            <a:ext cx="2127250" cy="15957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3</w:t>
            </w:r>
          </w:p>
        </w:tc>
        <w:tc>
          <w:tcPr>
            <w:tcW w:w="133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君诚学校</w:t>
            </w:r>
          </w:p>
        </w:tc>
        <w:tc>
          <w:tcPr>
            <w:tcW w:w="98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u w:val="single" w:color="auto"/>
                <w:lang w:val="en-US" w:eastAsia="zh-CN" w:bidi="ar-SA"/>
              </w:rPr>
              <w:t>K0+640</w:t>
            </w:r>
          </w:p>
        </w:tc>
        <w:tc>
          <w:tcPr>
            <w:tcW w:w="67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路堤</w:t>
            </w:r>
          </w:p>
        </w:tc>
        <w:tc>
          <w:tcPr>
            <w:tcW w:w="737"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左侧</w:t>
            </w:r>
          </w:p>
        </w:tc>
        <w:tc>
          <w:tcPr>
            <w:tcW w:w="112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+0.5</w:t>
            </w:r>
          </w:p>
        </w:tc>
        <w:tc>
          <w:tcPr>
            <w:tcW w:w="10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144</w:t>
            </w:r>
          </w:p>
        </w:tc>
        <w:tc>
          <w:tcPr>
            <w:tcW w:w="78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168</w:t>
            </w:r>
          </w:p>
        </w:tc>
        <w:tc>
          <w:tcPr>
            <w:tcW w:w="762"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约600人</w:t>
            </w:r>
          </w:p>
        </w:tc>
        <w:tc>
          <w:tcPr>
            <w:tcW w:w="62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w:t>
            </w:r>
          </w:p>
        </w:tc>
        <w:tc>
          <w:tcPr>
            <w:tcW w:w="197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砖混</w:t>
            </w:r>
            <w:r>
              <w:rPr>
                <w:rFonts w:hint="eastAsia" w:ascii="Times New Roman" w:hAnsi="Times New Roman" w:eastAsia="宋体" w:cs="Times New Roman"/>
                <w:kern w:val="2"/>
                <w:sz w:val="21"/>
                <w:szCs w:val="21"/>
                <w:highlight w:val="none"/>
                <w:u w:val="single"/>
                <w:lang w:val="en-US" w:eastAsia="zh-CN" w:bidi="ar-SA"/>
              </w:rPr>
              <w:t>，</w:t>
            </w:r>
            <w:r>
              <w:rPr>
                <w:rFonts w:hint="eastAsia" w:ascii="Times New Roman" w:hAnsi="Times New Roman" w:eastAsia="宋体" w:cs="Times New Roman"/>
                <w:color w:val="auto"/>
                <w:kern w:val="2"/>
                <w:sz w:val="21"/>
                <w:szCs w:val="21"/>
                <w:highlight w:val="none"/>
                <w:u w:val="single" w:color="auto"/>
                <w:lang w:val="en-US" w:eastAsia="zh-CN" w:bidi="ar-SA"/>
              </w:rPr>
              <w:t>背对</w:t>
            </w:r>
          </w:p>
        </w:tc>
        <w:tc>
          <w:tcPr>
            <w:tcW w:w="3575" w:type="dxa"/>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u w:val="single"/>
              </w:rPr>
              <w:drawing>
                <wp:inline distT="0" distB="0" distL="114300" distR="114300">
                  <wp:extent cx="2071370" cy="1802130"/>
                  <wp:effectExtent l="0" t="0" r="5080" b="762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41"/>
                          <a:stretch>
                            <a:fillRect/>
                          </a:stretch>
                        </pic:blipFill>
                        <pic:spPr>
                          <a:xfrm>
                            <a:off x="0" y="0"/>
                            <a:ext cx="2071370" cy="18021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4</w:t>
            </w:r>
          </w:p>
        </w:tc>
        <w:tc>
          <w:tcPr>
            <w:tcW w:w="133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萍阳北路居民点</w:t>
            </w:r>
          </w:p>
        </w:tc>
        <w:tc>
          <w:tcPr>
            <w:tcW w:w="98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b w:val="0"/>
                <w:bCs w:val="0"/>
                <w:kern w:val="2"/>
                <w:sz w:val="21"/>
                <w:szCs w:val="21"/>
                <w:u w:val="single" w:color="auto"/>
                <w:lang w:val="en-US" w:eastAsia="zh-CN" w:bidi="ar-SA"/>
              </w:rPr>
              <w:t>K1+480</w:t>
            </w:r>
          </w:p>
        </w:tc>
        <w:tc>
          <w:tcPr>
            <w:tcW w:w="67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路堤</w:t>
            </w:r>
          </w:p>
        </w:tc>
        <w:tc>
          <w:tcPr>
            <w:tcW w:w="737"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左侧</w:t>
            </w:r>
          </w:p>
        </w:tc>
        <w:tc>
          <w:tcPr>
            <w:tcW w:w="112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+0.2</w:t>
            </w:r>
          </w:p>
        </w:tc>
        <w:tc>
          <w:tcPr>
            <w:tcW w:w="10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82</w:t>
            </w:r>
          </w:p>
        </w:tc>
        <w:tc>
          <w:tcPr>
            <w:tcW w:w="78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110</w:t>
            </w:r>
          </w:p>
        </w:tc>
        <w:tc>
          <w:tcPr>
            <w:tcW w:w="762"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约100人</w:t>
            </w:r>
          </w:p>
        </w:tc>
        <w:tc>
          <w:tcPr>
            <w:tcW w:w="62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w:t>
            </w:r>
          </w:p>
        </w:tc>
        <w:tc>
          <w:tcPr>
            <w:tcW w:w="197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砖混</w:t>
            </w:r>
            <w:r>
              <w:rPr>
                <w:rFonts w:hint="eastAsia" w:ascii="Times New Roman" w:hAnsi="Times New Roman" w:eastAsia="宋体" w:cs="Times New Roman"/>
                <w:kern w:val="2"/>
                <w:sz w:val="21"/>
                <w:szCs w:val="21"/>
                <w:highlight w:val="none"/>
                <w:u w:val="single"/>
                <w:lang w:val="en-US" w:eastAsia="zh-CN" w:bidi="ar-SA"/>
              </w:rPr>
              <w:t>，</w:t>
            </w:r>
            <w:r>
              <w:rPr>
                <w:rFonts w:hint="eastAsia" w:ascii="Times New Roman" w:hAnsi="Times New Roman" w:eastAsia="宋体" w:cs="Times New Roman"/>
                <w:color w:val="auto"/>
                <w:kern w:val="2"/>
                <w:sz w:val="21"/>
                <w:szCs w:val="21"/>
                <w:highlight w:val="none"/>
                <w:u w:val="single" w:color="auto"/>
                <w:lang w:val="en-US" w:eastAsia="zh-CN" w:bidi="ar-SA"/>
              </w:rPr>
              <w:t>背对</w:t>
            </w:r>
          </w:p>
        </w:tc>
        <w:tc>
          <w:tcPr>
            <w:tcW w:w="3575" w:type="dxa"/>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highlight w:val="none"/>
                <w:u w:val="single"/>
                <w:lang w:val="en-US" w:eastAsia="zh-CN" w:bidi="ar-SA"/>
              </w:rPr>
            </w:pPr>
            <w:r>
              <w:rPr>
                <w:u w:val="single"/>
              </w:rPr>
              <w:drawing>
                <wp:inline distT="0" distB="0" distL="114300" distR="114300">
                  <wp:extent cx="2166620" cy="1597025"/>
                  <wp:effectExtent l="0" t="0" r="5080" b="317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42"/>
                          <a:stretch>
                            <a:fillRect/>
                          </a:stretch>
                        </pic:blipFill>
                        <pic:spPr>
                          <a:xfrm>
                            <a:off x="0" y="0"/>
                            <a:ext cx="2166620" cy="1597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5</w:t>
            </w:r>
          </w:p>
        </w:tc>
        <w:tc>
          <w:tcPr>
            <w:tcW w:w="133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梨头尖居民点</w:t>
            </w:r>
          </w:p>
        </w:tc>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pageBreakBefore w:val="0"/>
              <w:widowControl/>
              <w:kinsoku/>
              <w:wordWrap/>
              <w:overflowPunct/>
              <w:topLinePunct w:val="0"/>
              <w:bidi w:val="0"/>
              <w:adjustRightInd w:val="0"/>
              <w:snapToGrid w:val="0"/>
              <w:spacing w:line="240" w:lineRule="auto"/>
              <w:ind w:left="0" w:leftChars="0" w:firstLine="0" w:firstLineChars="0"/>
              <w:jc w:val="both"/>
              <w:rPr>
                <w:rFonts w:hint="eastAsia" w:ascii="Times New Roman" w:hAnsi="Times New Roman" w:eastAsia="宋体" w:cs="Times New Roman"/>
                <w:b w:val="0"/>
                <w:bCs w:val="0"/>
                <w:kern w:val="2"/>
                <w:sz w:val="21"/>
                <w:szCs w:val="21"/>
                <w:u w:val="single" w:color="auto"/>
                <w:lang w:val="en-US" w:eastAsia="zh-CN" w:bidi="ar-SA"/>
              </w:rPr>
            </w:pPr>
            <w:r>
              <w:rPr>
                <w:rFonts w:hint="eastAsia" w:ascii="Times New Roman" w:eastAsia="宋体"/>
                <w:b w:val="0"/>
                <w:bCs w:val="0"/>
                <w:kern w:val="2"/>
                <w:sz w:val="21"/>
                <w:szCs w:val="21"/>
                <w:u w:val="single" w:color="auto"/>
                <w:lang w:val="en-US" w:eastAsia="zh-CN"/>
              </w:rPr>
              <w:t>K1+840</w:t>
            </w:r>
          </w:p>
        </w:tc>
        <w:tc>
          <w:tcPr>
            <w:tcW w:w="67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路堤</w:t>
            </w:r>
          </w:p>
        </w:tc>
        <w:tc>
          <w:tcPr>
            <w:tcW w:w="737"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北侧</w:t>
            </w:r>
          </w:p>
        </w:tc>
        <w:tc>
          <w:tcPr>
            <w:tcW w:w="112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+5</w:t>
            </w:r>
          </w:p>
        </w:tc>
        <w:tc>
          <w:tcPr>
            <w:tcW w:w="10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4</w:t>
            </w:r>
          </w:p>
        </w:tc>
        <w:tc>
          <w:tcPr>
            <w:tcW w:w="78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20</w:t>
            </w:r>
          </w:p>
        </w:tc>
        <w:tc>
          <w:tcPr>
            <w:tcW w:w="762"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约10人</w:t>
            </w:r>
          </w:p>
        </w:tc>
        <w:tc>
          <w:tcPr>
            <w:tcW w:w="62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eastAsia" w:ascii="Times New Roman" w:hAnsi="Times New Roman" w:eastAsia="宋体" w:cs="Times New Roman"/>
                <w:kern w:val="2"/>
                <w:sz w:val="21"/>
                <w:szCs w:val="21"/>
                <w:highlight w:val="none"/>
                <w:u w:val="single"/>
                <w:lang w:val="en-US" w:eastAsia="zh-CN" w:bidi="ar-SA"/>
              </w:rPr>
              <w:t>/</w:t>
            </w:r>
          </w:p>
        </w:tc>
        <w:tc>
          <w:tcPr>
            <w:tcW w:w="197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lang w:val="en-US" w:eastAsia="zh-CN" w:bidi="ar-SA"/>
              </w:rPr>
            </w:pPr>
            <w:r>
              <w:rPr>
                <w:rFonts w:hint="default" w:ascii="Times New Roman" w:hAnsi="Times New Roman" w:eastAsia="宋体" w:cs="Times New Roman"/>
                <w:kern w:val="2"/>
                <w:sz w:val="21"/>
                <w:szCs w:val="21"/>
                <w:highlight w:val="none"/>
                <w:u w:val="single"/>
                <w:lang w:val="en-US" w:eastAsia="zh-CN" w:bidi="ar-SA"/>
              </w:rPr>
              <w:t>砖混</w:t>
            </w:r>
            <w:r>
              <w:rPr>
                <w:rFonts w:hint="eastAsia" w:ascii="Times New Roman" w:hAnsi="Times New Roman" w:eastAsia="宋体" w:cs="Times New Roman"/>
                <w:kern w:val="2"/>
                <w:sz w:val="21"/>
                <w:szCs w:val="21"/>
                <w:highlight w:val="none"/>
                <w:u w:val="single"/>
                <w:lang w:val="en-US" w:eastAsia="zh-CN" w:bidi="ar-SA"/>
              </w:rPr>
              <w:t>，背对</w:t>
            </w:r>
          </w:p>
        </w:tc>
        <w:tc>
          <w:tcPr>
            <w:tcW w:w="3575" w:type="dxa"/>
            <w:tcBorders>
              <w:left w:val="single" w:color="auto" w:sz="4" w:space="0"/>
              <w:right w:val="single" w:color="auto" w:sz="4" w:space="0"/>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highlight w:val="none"/>
                <w:u w:val="single"/>
                <w:lang w:val="en-US" w:eastAsia="zh-CN" w:bidi="ar-SA"/>
              </w:rPr>
            </w:pPr>
            <w:r>
              <w:rPr>
                <w:rFonts w:ascii="Times New Roman" w:hAnsi="Times New Roman" w:eastAsia="宋体" w:cs="Times New Roman"/>
                <w:kern w:val="2"/>
                <w:sz w:val="21"/>
                <w:szCs w:val="21"/>
                <w:highlight w:val="none"/>
                <w:u w:val="single"/>
                <w:lang w:val="en-US" w:eastAsia="zh-CN" w:bidi="ar-SA"/>
              </w:rPr>
              <w:drawing>
                <wp:inline distT="0" distB="0" distL="114300" distR="114300">
                  <wp:extent cx="2172335" cy="1481455"/>
                  <wp:effectExtent l="0" t="0" r="18415" b="4445"/>
                  <wp:docPr id="65" name="图片 65" descr="076a86c568bb1f8c17d0a02586d8c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76a86c568bb1f8c17d0a02586d8c5f"/>
                          <pic:cNvPicPr>
                            <a:picLocks noChangeAspect="1"/>
                          </pic:cNvPicPr>
                        </pic:nvPicPr>
                        <pic:blipFill>
                          <a:blip r:embed="rId43"/>
                          <a:srcRect l="24131" t="42206" r="29436" b="15588"/>
                          <a:stretch>
                            <a:fillRect/>
                          </a:stretch>
                        </pic:blipFill>
                        <pic:spPr>
                          <a:xfrm>
                            <a:off x="0" y="0"/>
                            <a:ext cx="2172335" cy="1481455"/>
                          </a:xfrm>
                          <a:prstGeom prst="rect">
                            <a:avLst/>
                          </a:prstGeom>
                        </pic:spPr>
                      </pic:pic>
                    </a:graphicData>
                  </a:graphic>
                </wp:inline>
              </w:drawing>
            </w:r>
          </w:p>
        </w:tc>
      </w:tr>
    </w:tbl>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p>
    <w:bookmarkEnd w:id="101"/>
    <w:bookmarkEnd w:id="102"/>
    <w:p>
      <w:pPr>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auto"/>
          <w:sz w:val="21"/>
          <w:szCs w:val="21"/>
          <w:highlight w:val="none"/>
          <w:u w:val="none" w:color="auto"/>
        </w:rPr>
        <w:sectPr>
          <w:pgSz w:w="16838" w:h="11906" w:orient="landscape"/>
          <w:pgMar w:top="1418" w:right="1440" w:bottom="1800" w:left="144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keepNext/>
        <w:keepLines/>
        <w:pageBreakBefore w:val="0"/>
        <w:widowControl w:val="0"/>
        <w:numPr>
          <w:ilvl w:val="0"/>
          <w:numId w:val="3"/>
        </w:numPr>
        <w:kinsoku/>
        <w:wordWrap/>
        <w:overflowPunct/>
        <w:topLinePunct w:val="0"/>
        <w:bidi w:val="0"/>
        <w:adjustRightInd w:val="0"/>
        <w:snapToGrid w:val="0"/>
        <w:spacing w:line="360" w:lineRule="auto"/>
        <w:ind w:left="0" w:firstLine="0" w:firstLineChars="0"/>
        <w:jc w:val="both"/>
        <w:outlineLvl w:val="0"/>
        <w:rPr>
          <w:rFonts w:hint="default" w:ascii="Times New Roman" w:hAnsi="Times New Roman" w:eastAsia="宋体" w:cs="Times New Roman"/>
          <w:b/>
          <w:bCs/>
          <w:kern w:val="44"/>
          <w:sz w:val="21"/>
          <w:szCs w:val="21"/>
          <w:highlight w:val="none"/>
          <w:u w:val="none" w:color="auto"/>
          <w:lang w:val="en-US" w:eastAsia="zh-CN" w:bidi="ar-SA"/>
        </w:rPr>
      </w:pPr>
      <w:bookmarkStart w:id="103" w:name="_Toc14336"/>
      <w:bookmarkStart w:id="104" w:name="_Toc3732"/>
      <w:bookmarkStart w:id="105" w:name="_Toc21721"/>
      <w:r>
        <w:rPr>
          <w:rFonts w:hint="default" w:ascii="Times New Roman" w:hAnsi="Times New Roman" w:eastAsia="宋体" w:cs="Times New Roman"/>
          <w:b/>
          <w:bCs/>
          <w:kern w:val="44"/>
          <w:sz w:val="21"/>
          <w:szCs w:val="21"/>
          <w:highlight w:val="none"/>
          <w:u w:val="none" w:color="auto"/>
          <w:lang w:val="en-US" w:eastAsia="zh-CN" w:bidi="ar-SA"/>
        </w:rPr>
        <w:t>工程分析</w:t>
      </w:r>
      <w:bookmarkEnd w:id="103"/>
      <w:bookmarkEnd w:id="104"/>
      <w:bookmarkEnd w:id="105"/>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工程概况</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项目名称：萍阳北路延伸段及萍洲大桥西岸匝道建设项目</w:t>
      </w:r>
    </w:p>
    <w:p>
      <w:pPr>
        <w:pageBreakBefore w:val="0"/>
        <w:kinsoku/>
        <w:wordWrap/>
        <w:overflowPunct/>
        <w:topLinePunct w:val="0"/>
        <w:bidi w:val="0"/>
        <w:adjustRightInd w:val="0"/>
        <w:snapToGrid w:val="0"/>
        <w:spacing w:line="360" w:lineRule="auto"/>
        <w:ind w:firstLine="420" w:firstLineChars="200"/>
        <w:rPr>
          <w:rFonts w:hint="eastAsia" w:ascii="Times New Roman" w:hAnsi="Times New Roman" w:eastAsia="宋体" w:cs="Times New Roman"/>
          <w:color w:val="auto"/>
          <w:kern w:val="2"/>
          <w:sz w:val="21"/>
          <w:szCs w:val="21"/>
          <w:highlight w:val="none"/>
          <w:u w:val="none" w:color="auto"/>
          <w:lang w:val="en-US" w:eastAsia="zh-CN"/>
        </w:rPr>
      </w:pPr>
      <w:r>
        <w:rPr>
          <w:rFonts w:hint="default" w:ascii="Times New Roman" w:hAnsi="Times New Roman" w:cs="Times New Roman"/>
          <w:color w:val="auto"/>
          <w:kern w:val="2"/>
          <w:sz w:val="21"/>
          <w:szCs w:val="21"/>
          <w:highlight w:val="none"/>
          <w:u w:val="none" w:color="auto"/>
        </w:rPr>
        <w:t>建设性质：</w:t>
      </w:r>
      <w:r>
        <w:rPr>
          <w:rFonts w:hint="eastAsia" w:cs="Times New Roman"/>
          <w:color w:val="auto"/>
          <w:kern w:val="2"/>
          <w:sz w:val="21"/>
          <w:szCs w:val="21"/>
          <w:highlight w:val="none"/>
          <w:u w:val="none" w:color="auto"/>
          <w:lang w:val="en-US" w:eastAsia="zh-CN"/>
        </w:rPr>
        <w:t>新建</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建设单位：永州市零陵区住房和城乡建设局</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建设内容：本建设项目萍阳北路延伸段为城市主干道，道路全长1.56km，设计时速50km/h，采用沥青路面，设计为双向4车道，道路宽度为36m，具体为5米（人行道）+4米（辅道）+1.5米（分隔绿化带）+15米（车行道）+1.5米（分隔绿化带）+4米（辅道）+5米（人行道）=36米。</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萍州大桥西匝道为城市支路，道路全长506m，设计时速20km/h，采用沥青路面，设计为双向2车道，道路宽度为18m。</w:t>
      </w:r>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交通量预测</w:t>
      </w:r>
    </w:p>
    <w:p>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none" w:color="auto"/>
          <w:lang w:val="en-US" w:eastAsia="zh-CN" w:bidi="ar-SA"/>
        </w:rPr>
        <w:t>参照湖南省城市出行方式划分比例</w:t>
      </w:r>
      <w:r>
        <w:rPr>
          <w:rFonts w:hint="eastAsia" w:cs="Times New Roman"/>
          <w:color w:val="auto"/>
          <w:kern w:val="0"/>
          <w:sz w:val="21"/>
          <w:szCs w:val="21"/>
          <w:highlight w:val="none"/>
          <w:u w:val="none" w:color="auto"/>
          <w:lang w:val="en-US" w:eastAsia="zh-CN" w:bidi="ar-SA"/>
        </w:rPr>
        <w:t>，以</w:t>
      </w:r>
      <w:r>
        <w:rPr>
          <w:rFonts w:hint="default" w:ascii="Times New Roman" w:hAnsi="Times New Roman" w:eastAsia="宋体" w:cs="Times New Roman"/>
          <w:color w:val="auto"/>
          <w:kern w:val="0"/>
          <w:sz w:val="21"/>
          <w:szCs w:val="21"/>
          <w:highlight w:val="none"/>
          <w:u w:val="none" w:color="auto"/>
          <w:lang w:val="en-US" w:eastAsia="zh-CN" w:bidi="ar-SA"/>
        </w:rPr>
        <w:t>预测得出的各年OD数据为基础，结合路段设计通行能力、以行驶时间为阻抗因素，采用容量限制法分别将各预测特征年的OD矩阵分配至道路网中，得出各特殊年项目道路交通流量。</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eastAsia" w:ascii="Times New Roman" w:hAnsi="Times New Roman" w:eastAsia="宋体" w:cs="Times New Roman"/>
          <w:b/>
          <w:color w:val="000000"/>
          <w:kern w:val="21"/>
          <w:sz w:val="21"/>
          <w:szCs w:val="21"/>
          <w:highlight w:val="none"/>
          <w:u w:val="none" w:color="auto"/>
          <w:lang w:val="en-US" w:eastAsia="zh-CN" w:bidi="ar-SA"/>
        </w:rPr>
        <w:t xml:space="preserve">表2-1 </w:t>
      </w:r>
      <w:r>
        <w:rPr>
          <w:rFonts w:hint="default" w:ascii="Times New Roman" w:hAnsi="Times New Roman" w:eastAsia="宋体" w:cs="Times New Roman"/>
          <w:b/>
          <w:color w:val="000000"/>
          <w:kern w:val="21"/>
          <w:sz w:val="21"/>
          <w:szCs w:val="21"/>
          <w:highlight w:val="none"/>
          <w:u w:val="none" w:color="auto"/>
          <w:lang w:val="en-US" w:eastAsia="zh-CN" w:bidi="ar-SA"/>
        </w:rPr>
        <w:t>项目近、中、远期日平均交通量预测结果</w:t>
      </w:r>
    </w:p>
    <w:tbl>
      <w:tblPr>
        <w:tblStyle w:val="40"/>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9"/>
        <w:gridCol w:w="2160"/>
        <w:gridCol w:w="216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20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特征年路段</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202</w:t>
            </w:r>
            <w:r>
              <w:rPr>
                <w:rFonts w:hint="eastAsia" w:cs="Times New Roman"/>
                <w:color w:val="000000"/>
                <w:sz w:val="21"/>
                <w:szCs w:val="21"/>
                <w:highlight w:val="none"/>
                <w:vertAlign w:val="baseline"/>
                <w:lang w:val="en-US" w:eastAsia="zh-CN"/>
              </w:rPr>
              <w:t>7</w:t>
            </w:r>
            <w:r>
              <w:rPr>
                <w:rFonts w:hint="default" w:eastAsia="宋体" w:cs="Times New Roman"/>
                <w:color w:val="000000"/>
                <w:sz w:val="21"/>
                <w:szCs w:val="21"/>
                <w:highlight w:val="none"/>
                <w:vertAlign w:val="baseline"/>
                <w:lang w:val="en-US" w:eastAsia="zh-CN"/>
              </w:rPr>
              <w:t>年（pcu/h）</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203</w:t>
            </w:r>
            <w:r>
              <w:rPr>
                <w:rFonts w:hint="eastAsia" w:cs="Times New Roman"/>
                <w:color w:val="000000"/>
                <w:sz w:val="21"/>
                <w:szCs w:val="21"/>
                <w:highlight w:val="none"/>
                <w:vertAlign w:val="baseline"/>
                <w:lang w:val="en-US" w:eastAsia="zh-CN"/>
              </w:rPr>
              <w:t>3</w:t>
            </w:r>
            <w:r>
              <w:rPr>
                <w:rFonts w:hint="default" w:eastAsia="宋体" w:cs="Times New Roman"/>
                <w:color w:val="000000"/>
                <w:sz w:val="21"/>
                <w:szCs w:val="21"/>
                <w:highlight w:val="none"/>
                <w:vertAlign w:val="baseline"/>
                <w:lang w:val="en-US" w:eastAsia="zh-CN"/>
              </w:rPr>
              <w:t>年（pcu/h）</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204</w:t>
            </w:r>
            <w:r>
              <w:rPr>
                <w:rFonts w:hint="eastAsia" w:cs="Times New Roman"/>
                <w:color w:val="000000"/>
                <w:sz w:val="21"/>
                <w:szCs w:val="21"/>
                <w:highlight w:val="none"/>
                <w:vertAlign w:val="baseline"/>
                <w:lang w:val="en-US" w:eastAsia="zh-CN"/>
              </w:rPr>
              <w:t>1</w:t>
            </w:r>
            <w:r>
              <w:rPr>
                <w:rFonts w:hint="default" w:eastAsia="宋体" w:cs="Times New Roman"/>
                <w:color w:val="000000"/>
                <w:sz w:val="21"/>
                <w:szCs w:val="21"/>
                <w:highlight w:val="none"/>
                <w:vertAlign w:val="baseline"/>
                <w:lang w:val="en-US" w:eastAsia="zh-CN"/>
              </w:rPr>
              <w:t>年（pcu/h）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20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萍阳北路延伸段</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861</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1222</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eastAsia" w:cs="Times New Roman"/>
                <w:color w:val="000000"/>
                <w:sz w:val="21"/>
                <w:szCs w:val="21"/>
                <w:highlight w:val="none"/>
                <w:vertAlign w:val="baseline"/>
                <w:lang w:val="en-US" w:eastAsia="zh-CN"/>
              </w:rPr>
              <w:t>1929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20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萍州大桥西匝道</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431</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611</w:t>
            </w:r>
          </w:p>
        </w:tc>
        <w:tc>
          <w:tcPr>
            <w:tcW w:w="216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eastAsia="宋体" w:cs="Times New Roman"/>
                <w:color w:val="000000"/>
                <w:sz w:val="21"/>
                <w:szCs w:val="21"/>
                <w:highlight w:val="none"/>
                <w:vertAlign w:val="baseline"/>
                <w:lang w:val="en-US" w:eastAsia="zh-CN"/>
              </w:rPr>
            </w:pPr>
            <w:r>
              <w:rPr>
                <w:rFonts w:hint="default" w:eastAsia="宋体" w:cs="Times New Roman"/>
                <w:color w:val="000000"/>
                <w:sz w:val="21"/>
                <w:szCs w:val="21"/>
                <w:highlight w:val="none"/>
                <w:vertAlign w:val="baseline"/>
                <w:lang w:val="en-US" w:eastAsia="zh-CN"/>
              </w:rPr>
              <w:t>964</w:t>
            </w:r>
          </w:p>
        </w:tc>
      </w:tr>
    </w:tbl>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rPr>
          <w:rFonts w:ascii="Times New Roman" w:hAnsi="Times New Roman" w:eastAsia="宋体" w:cs="Times New Roman"/>
          <w:kern w:val="0"/>
          <w:sz w:val="21"/>
          <w:szCs w:val="21"/>
          <w:u w:val="none" w:color="auto"/>
          <w:lang w:val="en-US" w:eastAsia="zh-CN" w:bidi="ar"/>
        </w:rPr>
      </w:pPr>
      <w:r>
        <w:rPr>
          <w:rFonts w:ascii="Times New Roman" w:hAnsi="Times New Roman" w:eastAsia="宋体" w:cs="Times New Roman"/>
          <w:kern w:val="0"/>
          <w:sz w:val="21"/>
          <w:szCs w:val="21"/>
          <w:u w:val="none" w:color="auto"/>
          <w:lang w:val="en-US" w:eastAsia="zh-CN" w:bidi="ar"/>
        </w:rPr>
        <w:t>根据</w:t>
      </w:r>
      <w:r>
        <w:rPr>
          <w:rFonts w:hint="eastAsia" w:ascii="Times New Roman" w:hAnsi="Times New Roman" w:eastAsia="宋体" w:cs="Times New Roman"/>
          <w:kern w:val="0"/>
          <w:sz w:val="21"/>
          <w:szCs w:val="21"/>
          <w:u w:val="none" w:color="auto"/>
          <w:lang w:val="en-US" w:eastAsia="zh-CN" w:bidi="ar"/>
        </w:rPr>
        <w:t>初步设计和可研报告</w:t>
      </w:r>
      <w:r>
        <w:rPr>
          <w:rFonts w:ascii="Times New Roman" w:hAnsi="Times New Roman" w:eastAsia="宋体" w:cs="Times New Roman"/>
          <w:kern w:val="0"/>
          <w:sz w:val="21"/>
          <w:szCs w:val="21"/>
          <w:u w:val="none" w:color="auto"/>
          <w:lang w:val="en-US" w:eastAsia="zh-CN" w:bidi="ar"/>
        </w:rPr>
        <w:t>提供的对项目区域现有道路的调查结果，参考附近区域道路得出</w:t>
      </w:r>
      <w:r>
        <w:rPr>
          <w:rFonts w:hint="eastAsia" w:ascii="Times New Roman" w:hAnsi="Times New Roman" w:eastAsia="宋体" w:cs="Times New Roman"/>
          <w:kern w:val="0"/>
          <w:sz w:val="21"/>
          <w:szCs w:val="21"/>
          <w:u w:val="none" w:color="auto"/>
          <w:lang w:val="en-US" w:eastAsia="zh-CN" w:bidi="ar"/>
        </w:rPr>
        <w:t>项目</w:t>
      </w:r>
      <w:r>
        <w:rPr>
          <w:rFonts w:ascii="Times New Roman" w:hAnsi="Times New Roman" w:eastAsia="宋体" w:cs="Times New Roman"/>
          <w:kern w:val="0"/>
          <w:sz w:val="21"/>
          <w:szCs w:val="21"/>
          <w:u w:val="none" w:color="auto"/>
          <w:lang w:val="en-US" w:eastAsia="zh-CN" w:bidi="ar"/>
        </w:rPr>
        <w:t>特征年车型构成比例见表</w:t>
      </w:r>
      <w:r>
        <w:rPr>
          <w:rFonts w:hint="eastAsia" w:ascii="Times New Roman" w:hAnsi="Times New Roman" w:eastAsia="宋体" w:cs="Times New Roman"/>
          <w:kern w:val="0"/>
          <w:sz w:val="21"/>
          <w:szCs w:val="21"/>
          <w:u w:val="none" w:color="auto"/>
          <w:lang w:val="en-US" w:eastAsia="zh-CN" w:bidi="ar"/>
        </w:rPr>
        <w:t>2-2，</w:t>
      </w:r>
      <w:r>
        <w:rPr>
          <w:rFonts w:ascii="Times New Roman" w:hAnsi="Times New Roman" w:eastAsia="宋体" w:cs="Times New Roman"/>
          <w:kern w:val="0"/>
          <w:sz w:val="21"/>
          <w:szCs w:val="21"/>
          <w:u w:val="none" w:color="auto"/>
          <w:lang w:val="en-US" w:eastAsia="zh-CN" w:bidi="ar"/>
        </w:rPr>
        <w:t>由于</w:t>
      </w:r>
      <w:r>
        <w:rPr>
          <w:rFonts w:hint="default" w:ascii="Times New Roman" w:hAnsi="Times New Roman" w:eastAsia="宋体" w:cs="Times New Roman"/>
          <w:color w:val="auto"/>
          <w:kern w:val="0"/>
          <w:sz w:val="21"/>
          <w:szCs w:val="21"/>
          <w:highlight w:val="none"/>
          <w:u w:val="none" w:color="auto"/>
          <w:lang w:val="en-US" w:eastAsia="zh-CN" w:bidi="ar"/>
        </w:rPr>
        <w:t>萍阳北路及萍洲大桥西岸匝道</w:t>
      </w:r>
      <w:r>
        <w:rPr>
          <w:rFonts w:ascii="Times New Roman" w:hAnsi="Times New Roman" w:eastAsia="宋体" w:cs="Times New Roman"/>
          <w:kern w:val="0"/>
          <w:sz w:val="21"/>
          <w:szCs w:val="21"/>
          <w:u w:val="none" w:color="auto"/>
          <w:lang w:val="en-US" w:eastAsia="zh-CN" w:bidi="ar"/>
        </w:rPr>
        <w:t>白天不禁止货车通行，故昼间和夜间车型比一致。</w:t>
      </w:r>
    </w:p>
    <w:p>
      <w:pPr>
        <w:keepNext w:val="0"/>
        <w:keepLines w:val="0"/>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textAlignment w:val="auto"/>
        <w:rPr>
          <w:rFonts w:hint="eastAsia" w:ascii="Times New Roman" w:hAnsi="Times New Roman" w:eastAsia="宋体" w:cs="Times New Roman"/>
          <w:b/>
          <w:color w:val="000000"/>
          <w:kern w:val="21"/>
          <w:sz w:val="21"/>
          <w:szCs w:val="21"/>
          <w:u w:val="none" w:color="auto"/>
          <w:lang w:val="en-US" w:eastAsia="zh-CN" w:bidi="ar-SA"/>
        </w:rPr>
      </w:pPr>
      <w:r>
        <w:rPr>
          <w:rFonts w:hint="eastAsia" w:ascii="Times New Roman" w:hAnsi="Times New Roman" w:eastAsia="宋体" w:cs="Times New Roman"/>
          <w:b/>
          <w:color w:val="000000"/>
          <w:kern w:val="21"/>
          <w:sz w:val="21"/>
          <w:szCs w:val="21"/>
          <w:u w:val="none" w:color="auto"/>
          <w:lang w:val="en-US" w:eastAsia="zh-CN" w:bidi="ar-SA"/>
        </w:rPr>
        <w:t>表2-2 项目车型比例预测（折算数比例）</w:t>
      </w:r>
    </w:p>
    <w:tbl>
      <w:tblPr>
        <w:tblStyle w:val="40"/>
        <w:tblW w:w="8522"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130"/>
        <w:gridCol w:w="2226"/>
        <w:gridCol w:w="2226"/>
        <w:gridCol w:w="194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82" w:hRule="atLeast"/>
          <w:jc w:val="center"/>
        </w:trPr>
        <w:tc>
          <w:tcPr>
            <w:tcW w:w="213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车型</w:t>
            </w:r>
          </w:p>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年份</w:t>
            </w:r>
          </w:p>
        </w:tc>
        <w:tc>
          <w:tcPr>
            <w:tcW w:w="222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小型</w:t>
            </w:r>
          </w:p>
        </w:tc>
        <w:tc>
          <w:tcPr>
            <w:tcW w:w="222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中型</w:t>
            </w:r>
          </w:p>
        </w:tc>
        <w:tc>
          <w:tcPr>
            <w:tcW w:w="194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大型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jc w:val="center"/>
        </w:trPr>
        <w:tc>
          <w:tcPr>
            <w:tcW w:w="213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202</w:t>
            </w:r>
            <w:r>
              <w:rPr>
                <w:rFonts w:hint="eastAsia" w:cs="Times New Roman"/>
                <w:kern w:val="2"/>
                <w:sz w:val="21"/>
                <w:szCs w:val="21"/>
                <w:u w:val="none" w:color="auto"/>
                <w:lang w:val="en-US" w:eastAsia="zh-CN" w:bidi="ar-SA"/>
              </w:rPr>
              <w:t>7</w:t>
            </w:r>
            <w:r>
              <w:rPr>
                <w:rFonts w:hint="default" w:ascii="Times New Roman" w:hAnsi="Times New Roman" w:eastAsia="宋体" w:cs="Times New Roman"/>
                <w:kern w:val="2"/>
                <w:sz w:val="21"/>
                <w:szCs w:val="21"/>
                <w:u w:val="none" w:color="auto"/>
                <w:lang w:val="en-US" w:eastAsia="zh-CN" w:bidi="ar-SA"/>
              </w:rPr>
              <w:t>年</w:t>
            </w:r>
          </w:p>
        </w:tc>
        <w:tc>
          <w:tcPr>
            <w:tcW w:w="222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83.46%</w:t>
            </w:r>
          </w:p>
        </w:tc>
        <w:tc>
          <w:tcPr>
            <w:tcW w:w="222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14.78%</w:t>
            </w:r>
          </w:p>
        </w:tc>
        <w:tc>
          <w:tcPr>
            <w:tcW w:w="194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1.76%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jc w:val="center"/>
        </w:trPr>
        <w:tc>
          <w:tcPr>
            <w:tcW w:w="213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203</w:t>
            </w:r>
            <w:r>
              <w:rPr>
                <w:rFonts w:hint="eastAsia" w:cs="Times New Roman"/>
                <w:kern w:val="2"/>
                <w:sz w:val="21"/>
                <w:szCs w:val="21"/>
                <w:u w:val="none" w:color="auto"/>
                <w:lang w:val="en-US" w:eastAsia="zh-CN" w:bidi="ar-SA"/>
              </w:rPr>
              <w:t>3</w:t>
            </w:r>
            <w:r>
              <w:rPr>
                <w:rFonts w:hint="default" w:ascii="Times New Roman" w:hAnsi="Times New Roman" w:eastAsia="宋体" w:cs="Times New Roman"/>
                <w:kern w:val="2"/>
                <w:sz w:val="21"/>
                <w:szCs w:val="21"/>
                <w:u w:val="none" w:color="auto"/>
                <w:lang w:val="en-US" w:eastAsia="zh-CN" w:bidi="ar-SA"/>
              </w:rPr>
              <w:t>年</w:t>
            </w:r>
          </w:p>
        </w:tc>
        <w:tc>
          <w:tcPr>
            <w:tcW w:w="222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83.64%</w:t>
            </w:r>
          </w:p>
        </w:tc>
        <w:tc>
          <w:tcPr>
            <w:tcW w:w="222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14.87%</w:t>
            </w:r>
          </w:p>
        </w:tc>
        <w:tc>
          <w:tcPr>
            <w:tcW w:w="194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1.49%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jc w:val="center"/>
        </w:trPr>
        <w:tc>
          <w:tcPr>
            <w:tcW w:w="213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204</w:t>
            </w:r>
            <w:r>
              <w:rPr>
                <w:rFonts w:hint="eastAsia" w:cs="Times New Roman"/>
                <w:kern w:val="2"/>
                <w:sz w:val="21"/>
                <w:szCs w:val="21"/>
                <w:u w:val="none" w:color="auto"/>
                <w:lang w:val="en-US" w:eastAsia="zh-CN" w:bidi="ar-SA"/>
              </w:rPr>
              <w:t>1</w:t>
            </w:r>
            <w:r>
              <w:rPr>
                <w:rFonts w:hint="default" w:ascii="Times New Roman" w:hAnsi="Times New Roman" w:eastAsia="宋体" w:cs="Times New Roman"/>
                <w:kern w:val="2"/>
                <w:sz w:val="21"/>
                <w:szCs w:val="21"/>
                <w:u w:val="none" w:color="auto"/>
                <w:lang w:val="en-US" w:eastAsia="zh-CN" w:bidi="ar-SA"/>
              </w:rPr>
              <w:t>年</w:t>
            </w:r>
          </w:p>
        </w:tc>
        <w:tc>
          <w:tcPr>
            <w:tcW w:w="222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83.41%</w:t>
            </w:r>
          </w:p>
        </w:tc>
        <w:tc>
          <w:tcPr>
            <w:tcW w:w="222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15.60%</w:t>
            </w:r>
          </w:p>
        </w:tc>
        <w:tc>
          <w:tcPr>
            <w:tcW w:w="194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0.99%</w:t>
            </w:r>
          </w:p>
        </w:tc>
      </w:tr>
    </w:tbl>
    <w:p>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kern w:val="2"/>
          <w:sz w:val="21"/>
          <w:szCs w:val="21"/>
          <w:highlight w:val="none"/>
          <w:u w:val="none" w:color="auto"/>
          <w:lang w:eastAsia="zh-CN"/>
        </w:rPr>
      </w:pPr>
      <w:r>
        <w:rPr>
          <w:rFonts w:hint="eastAsia" w:ascii="宋体" w:hAnsi="宋体" w:eastAsia="宋体" w:cs="宋体"/>
          <w:color w:val="000000"/>
          <w:kern w:val="0"/>
          <w:sz w:val="21"/>
          <w:szCs w:val="21"/>
          <w:u w:val="none" w:color="auto"/>
          <w:lang w:val="en-US" w:eastAsia="zh-CN" w:bidi="ar"/>
        </w:rPr>
        <w:t>根据各特征年的车流量和车型比，按</w:t>
      </w:r>
      <w:r>
        <w:rPr>
          <w:rFonts w:hint="default" w:ascii="Times New Roman" w:hAnsi="Times New Roman" w:eastAsia="宋体" w:cs="Times New Roman"/>
          <w:color w:val="000000"/>
          <w:kern w:val="0"/>
          <w:sz w:val="21"/>
          <w:szCs w:val="21"/>
          <w:u w:val="none" w:color="auto"/>
          <w:lang w:val="en-US" w:eastAsia="zh-CN" w:bidi="ar"/>
        </w:rPr>
        <w:t>9:1</w:t>
      </w:r>
      <w:r>
        <w:rPr>
          <w:rFonts w:hint="eastAsia" w:ascii="宋体" w:hAnsi="宋体" w:eastAsia="宋体" w:cs="宋体"/>
          <w:color w:val="000000"/>
          <w:kern w:val="0"/>
          <w:sz w:val="21"/>
          <w:szCs w:val="21"/>
          <w:u w:val="none" w:color="auto"/>
          <w:lang w:val="en-US" w:eastAsia="zh-CN" w:bidi="ar"/>
        </w:rPr>
        <w:t>的昼夜系数比计算</w:t>
      </w:r>
      <w:r>
        <w:rPr>
          <w:rFonts w:hint="default" w:ascii="Times New Roman" w:hAnsi="Times New Roman" w:cs="Times New Roman"/>
          <w:color w:val="auto"/>
          <w:kern w:val="2"/>
          <w:sz w:val="21"/>
          <w:szCs w:val="21"/>
          <w:highlight w:val="none"/>
          <w:u w:val="none" w:color="auto"/>
        </w:rPr>
        <w:t>萍阳北路及萍洲大桥西岸匝道</w:t>
      </w:r>
      <w:r>
        <w:rPr>
          <w:rFonts w:hint="eastAsia" w:ascii="宋体" w:hAnsi="宋体" w:eastAsia="宋体" w:cs="宋体"/>
          <w:color w:val="000000"/>
          <w:kern w:val="0"/>
          <w:sz w:val="21"/>
          <w:szCs w:val="21"/>
          <w:u w:val="none" w:color="auto"/>
          <w:lang w:val="en-US" w:eastAsia="zh-CN" w:bidi="ar"/>
        </w:rPr>
        <w:t>昼夜车流量，</w:t>
      </w:r>
      <w:r>
        <w:rPr>
          <w:rFonts w:hint="default" w:ascii="Times New Roman" w:hAnsi="Times New Roman" w:cs="Times New Roman"/>
          <w:color w:val="auto"/>
          <w:kern w:val="2"/>
          <w:sz w:val="21"/>
          <w:szCs w:val="21"/>
          <w:highlight w:val="none"/>
          <w:u w:val="none" w:color="auto"/>
        </w:rPr>
        <w:t>车型折算系数按小型车：中型车：大型车=1:1.5:2</w:t>
      </w:r>
      <w:r>
        <w:rPr>
          <w:rFonts w:hint="default" w:ascii="Times New Roman" w:hAnsi="Times New Roman" w:cs="Times New Roman"/>
          <w:color w:val="auto"/>
          <w:kern w:val="2"/>
          <w:sz w:val="21"/>
          <w:szCs w:val="21"/>
          <w:highlight w:val="none"/>
          <w:u w:val="none" w:color="auto"/>
          <w:lang w:val="en-US" w:eastAsia="zh-CN"/>
        </w:rPr>
        <w:t>.5</w:t>
      </w:r>
      <w:r>
        <w:rPr>
          <w:rFonts w:hint="default" w:ascii="Times New Roman" w:hAnsi="Times New Roman" w:cs="Times New Roman"/>
          <w:color w:val="auto"/>
          <w:kern w:val="2"/>
          <w:sz w:val="21"/>
          <w:szCs w:val="21"/>
          <w:highlight w:val="none"/>
          <w:u w:val="none" w:color="auto"/>
        </w:rPr>
        <w:t>计，日均昼夜交通量比例约为</w:t>
      </w:r>
      <w:r>
        <w:rPr>
          <w:rFonts w:hint="eastAsia" w:cs="Times New Roman"/>
          <w:color w:val="auto"/>
          <w:kern w:val="2"/>
          <w:sz w:val="21"/>
          <w:szCs w:val="21"/>
          <w:highlight w:val="none"/>
          <w:u w:val="none" w:color="auto"/>
          <w:lang w:val="en-US" w:eastAsia="zh-CN"/>
        </w:rPr>
        <w:t>9:1</w:t>
      </w:r>
      <w:r>
        <w:rPr>
          <w:rFonts w:hint="default" w:ascii="Times New Roman" w:hAnsi="Times New Roman" w:cs="Times New Roman"/>
          <w:color w:val="auto"/>
          <w:kern w:val="2"/>
          <w:sz w:val="21"/>
          <w:szCs w:val="21"/>
          <w:highlight w:val="none"/>
          <w:u w:val="none" w:color="auto"/>
        </w:rPr>
        <w:t>，则项目各道路的实际交通量见下表。</w:t>
      </w:r>
    </w:p>
    <w:p>
      <w:pPr>
        <w:keepNext w:val="0"/>
        <w:keepLines w:val="0"/>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textAlignment w:val="auto"/>
        <w:rPr>
          <w:rFonts w:hint="default" w:ascii="Times New Roman" w:hAnsi="Times New Roman" w:eastAsia="宋体" w:cs="Times New Roman"/>
          <w:b/>
          <w:color w:val="000000"/>
          <w:kern w:val="21"/>
          <w:sz w:val="21"/>
          <w:szCs w:val="21"/>
          <w:highlight w:val="none"/>
          <w:u w:val="none" w:color="auto"/>
          <w:lang w:val="en-US" w:eastAsia="zh-CN" w:bidi="ar-SA"/>
        </w:rPr>
      </w:pPr>
      <w:r>
        <w:rPr>
          <w:rFonts w:hint="eastAsia" w:ascii="Times New Roman" w:hAnsi="Times New Roman" w:eastAsia="宋体" w:cs="Times New Roman"/>
          <w:b/>
          <w:color w:val="000000"/>
          <w:kern w:val="21"/>
          <w:sz w:val="21"/>
          <w:szCs w:val="21"/>
          <w:highlight w:val="none"/>
          <w:u w:val="none" w:color="auto"/>
          <w:lang w:val="en-US" w:eastAsia="zh-CN" w:bidi="ar-SA"/>
        </w:rPr>
        <w:t>表2-3</w:t>
      </w:r>
      <w:r>
        <w:rPr>
          <w:rFonts w:hint="default" w:ascii="Times New Roman" w:hAnsi="Times New Roman" w:eastAsia="宋体" w:cs="Times New Roman"/>
          <w:b/>
          <w:color w:val="000000"/>
          <w:kern w:val="21"/>
          <w:sz w:val="21"/>
          <w:szCs w:val="21"/>
          <w:highlight w:val="none"/>
          <w:u w:val="none" w:color="auto"/>
          <w:lang w:val="en-US" w:eastAsia="zh-CN" w:bidi="ar-SA"/>
        </w:rPr>
        <w:t>车型小时平均车流量一览表  单位：辆/h</w:t>
      </w:r>
    </w:p>
    <w:tbl>
      <w:tblPr>
        <w:tblStyle w:val="4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09"/>
        <w:gridCol w:w="1309"/>
        <w:gridCol w:w="1640"/>
        <w:gridCol w:w="1137"/>
        <w:gridCol w:w="1158"/>
        <w:gridCol w:w="1071"/>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PrEx>
        <w:trPr>
          <w:trHeight w:val="270" w:hRule="atLeast"/>
        </w:trPr>
        <w:tc>
          <w:tcPr>
            <w:tcW w:w="130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道路</w:t>
            </w:r>
          </w:p>
        </w:tc>
        <w:tc>
          <w:tcPr>
            <w:tcW w:w="1309"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运营年</w:t>
            </w: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指标</w:t>
            </w:r>
          </w:p>
        </w:tc>
        <w:tc>
          <w:tcPr>
            <w:tcW w:w="113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小型</w:t>
            </w:r>
          </w:p>
        </w:tc>
        <w:tc>
          <w:tcPr>
            <w:tcW w:w="1158"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中型</w:t>
            </w:r>
          </w:p>
        </w:tc>
        <w:tc>
          <w:tcPr>
            <w:tcW w:w="1071"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大型</w:t>
            </w:r>
          </w:p>
        </w:tc>
        <w:tc>
          <w:tcPr>
            <w:tcW w:w="8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萍阳北路延伸段</w:t>
            </w:r>
          </w:p>
        </w:tc>
        <w:tc>
          <w:tcPr>
            <w:tcW w:w="130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近期</w:t>
            </w: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367 </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65 </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 </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 </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 </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 </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日平均（辆/d</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6533 </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1157 </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138 </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7828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0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中期</w:t>
            </w: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524 </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 </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 </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116 </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 </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 </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日平均（辆/d</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9318 </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1657 </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166 </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09"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远期</w:t>
            </w: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828 </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155 </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eastAsia" w:ascii="宋体" w:hAnsi="宋体" w:eastAsia="宋体" w:cs="宋体"/>
                <w:i w:val="0"/>
                <w:iCs w:val="0"/>
                <w:color w:val="000000"/>
                <w:kern w:val="0"/>
                <w:sz w:val="21"/>
                <w:szCs w:val="21"/>
                <w:u w:val="none"/>
                <w:lang w:val="en-US" w:eastAsia="zh-CN" w:bidi="ar"/>
              </w:rPr>
              <w:t>辆</w:t>
            </w:r>
            <w:r>
              <w:rPr>
                <w:rFonts w:hint="default" w:ascii="Times New Roman" w:hAnsi="Times New Roman" w:eastAsia="宋体" w:cs="Times New Roman"/>
                <w:i w:val="0"/>
                <w:iCs w:val="0"/>
                <w:color w:val="000000"/>
                <w:kern w:val="0"/>
                <w:sz w:val="21"/>
                <w:szCs w:val="21"/>
                <w:u w:val="none"/>
                <w:lang w:val="en-US" w:eastAsia="zh-CN" w:bidi="ar"/>
              </w:rPr>
              <w:t>/h</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184 </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 </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 </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日平均（辆/d</w:t>
            </w:r>
            <w:r>
              <w:rPr>
                <w:rFonts w:hint="eastAsia" w:ascii="宋体" w:hAnsi="宋体" w:eastAsia="宋体" w:cs="宋体"/>
                <w:i w:val="0"/>
                <w:iCs w:val="0"/>
                <w:color w:val="000000"/>
                <w:kern w:val="0"/>
                <w:sz w:val="21"/>
                <w:szCs w:val="21"/>
                <w:u w:val="none"/>
                <w:lang w:val="en-US" w:eastAsia="zh-CN" w:bidi="ar"/>
              </w:rPr>
              <w:t>）</w:t>
            </w:r>
          </w:p>
        </w:tc>
        <w:tc>
          <w:tcPr>
            <w:tcW w:w="113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14724 </w:t>
            </w:r>
          </w:p>
        </w:tc>
        <w:tc>
          <w:tcPr>
            <w:tcW w:w="1158"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2754 </w:t>
            </w:r>
          </w:p>
        </w:tc>
        <w:tc>
          <w:tcPr>
            <w:tcW w:w="107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175 </w:t>
            </w:r>
          </w:p>
        </w:tc>
        <w:tc>
          <w:tcPr>
            <w:tcW w:w="89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17652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restart"/>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auto"/>
                <w:kern w:val="2"/>
                <w:sz w:val="21"/>
                <w:szCs w:val="21"/>
                <w:highlight w:val="none"/>
                <w:u w:val="none" w:color="auto"/>
              </w:rPr>
              <w:t>萍洲大桥西岸匝道</w:t>
            </w:r>
          </w:p>
        </w:tc>
        <w:tc>
          <w:tcPr>
            <w:tcW w:w="1309" w:type="dxa"/>
            <w:vMerge w:val="restart"/>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近期</w:t>
            </w: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184 </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 </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 </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 </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 </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 </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w:t>
            </w:r>
            <w:r>
              <w:rPr>
                <w:rFonts w:hint="default" w:eastAsia="宋体"/>
                <w:color w:val="000000"/>
                <w:kern w:val="2"/>
                <w:sz w:val="21"/>
                <w:szCs w:val="21"/>
                <w:u w:val="none"/>
                <w:lang w:val="en-US" w:eastAsia="zh-CN" w:bidi="ar"/>
              </w:rPr>
              <w:t>/d</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3269 </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579 </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69 </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3917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09" w:type="dxa"/>
            <w:vMerge w:val="restart"/>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中期</w:t>
            </w: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262 </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47 </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 </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58 </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10 </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 </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w:t>
            </w:r>
            <w:r>
              <w:rPr>
                <w:rFonts w:hint="default" w:eastAsia="宋体"/>
                <w:color w:val="000000"/>
                <w:kern w:val="2"/>
                <w:sz w:val="21"/>
                <w:szCs w:val="21"/>
                <w:u w:val="none"/>
                <w:lang w:val="en-US" w:eastAsia="zh-CN" w:bidi="ar"/>
              </w:rPr>
              <w:t>/d</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4660 </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828 </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83 </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5571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309" w:type="dxa"/>
            <w:vMerge w:val="restart"/>
            <w:shd w:val="clear" w:color="auto" w:fill="auto"/>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远期</w:t>
            </w: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昼平均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414 </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77 </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 </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夜平均</w:t>
            </w:r>
            <w:r>
              <w:rPr>
                <w:rFonts w:hint="default" w:eastAsia="宋体"/>
                <w:color w:val="000000"/>
                <w:kern w:val="2"/>
                <w:sz w:val="21"/>
                <w:szCs w:val="21"/>
                <w:u w:val="none"/>
                <w:lang w:val="en-US" w:eastAsia="zh-CN" w:bidi="ar"/>
              </w:rPr>
              <w:t>(</w:t>
            </w:r>
            <w:r>
              <w:rPr>
                <w:rFonts w:hint="eastAsia" w:ascii="宋体" w:hAnsi="宋体" w:cs="宋体"/>
                <w:color w:val="000000"/>
                <w:kern w:val="2"/>
                <w:sz w:val="21"/>
                <w:szCs w:val="21"/>
                <w:u w:val="none"/>
                <w:lang w:val="en-US" w:eastAsia="zh-CN" w:bidi="ar"/>
              </w:rPr>
              <w:t>辆</w:t>
            </w:r>
            <w:r>
              <w:rPr>
                <w:rFonts w:hint="default" w:eastAsia="宋体"/>
                <w:color w:val="000000"/>
                <w:kern w:val="2"/>
                <w:sz w:val="21"/>
                <w:szCs w:val="21"/>
                <w:u w:val="none"/>
                <w:lang w:val="en-US" w:eastAsia="zh-CN" w:bidi="ar"/>
              </w:rPr>
              <w:t>/h</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92 </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 </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 </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309" w:type="dxa"/>
            <w:vMerge w:val="continue"/>
            <w:shd w:val="clear" w:color="auto" w:fill="auto"/>
            <w:vAlign w:val="center"/>
          </w:tcPr>
          <w:p>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i w:val="0"/>
                <w:iCs w:val="0"/>
                <w:color w:val="000000"/>
                <w:kern w:val="2"/>
                <w:sz w:val="21"/>
                <w:szCs w:val="21"/>
                <w:u w:val="none"/>
              </w:rPr>
            </w:pPr>
          </w:p>
        </w:tc>
        <w:tc>
          <w:tcPr>
            <w:tcW w:w="1640"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日平均（辆</w:t>
            </w:r>
            <w:r>
              <w:rPr>
                <w:rFonts w:hint="default" w:eastAsia="宋体"/>
                <w:color w:val="000000"/>
                <w:kern w:val="2"/>
                <w:sz w:val="21"/>
                <w:szCs w:val="21"/>
                <w:u w:val="none"/>
                <w:lang w:val="en-US" w:eastAsia="zh-CN" w:bidi="ar"/>
              </w:rPr>
              <w:t>/d</w:t>
            </w:r>
            <w:r>
              <w:rPr>
                <w:rFonts w:hint="eastAsia" w:ascii="宋体" w:hAnsi="宋体" w:cs="宋体"/>
                <w:color w:val="000000"/>
                <w:kern w:val="2"/>
                <w:sz w:val="21"/>
                <w:szCs w:val="21"/>
                <w:u w:val="none"/>
                <w:lang w:val="en-US" w:eastAsia="zh-CN" w:bidi="ar"/>
              </w:rPr>
              <w:t>）</w:t>
            </w:r>
          </w:p>
        </w:tc>
        <w:tc>
          <w:tcPr>
            <w:tcW w:w="1137"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7358 </w:t>
            </w:r>
          </w:p>
        </w:tc>
        <w:tc>
          <w:tcPr>
            <w:tcW w:w="1158"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1376 </w:t>
            </w:r>
          </w:p>
        </w:tc>
        <w:tc>
          <w:tcPr>
            <w:tcW w:w="1071"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87 </w:t>
            </w:r>
          </w:p>
        </w:tc>
        <w:tc>
          <w:tcPr>
            <w:tcW w:w="895" w:type="dxa"/>
            <w:shd w:val="clear" w:color="auto" w:fill="auto"/>
            <w:noWrap/>
            <w:vAlign w:val="center"/>
          </w:tcPr>
          <w:p>
            <w:pPr>
              <w:keepNext w:val="0"/>
              <w:keepLines w:val="0"/>
              <w:pageBreakBefore w:val="0"/>
              <w:widowControl/>
              <w:suppressLineNumbers w:val="0"/>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kern w:val="2"/>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8821 </w:t>
            </w:r>
          </w:p>
        </w:tc>
      </w:tr>
    </w:tbl>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污染源强分析</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施工期污染源强分析</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lang w:eastAsia="zh-CN"/>
        </w:rPr>
        <w:t>城市道路</w:t>
      </w:r>
      <w:r>
        <w:rPr>
          <w:rFonts w:hint="default" w:ascii="Times New Roman" w:hAnsi="Times New Roman" w:cs="Times New Roman"/>
          <w:color w:val="auto"/>
          <w:kern w:val="2"/>
          <w:sz w:val="21"/>
          <w:szCs w:val="21"/>
          <w:highlight w:val="none"/>
          <w:u w:val="none" w:color="auto"/>
        </w:rPr>
        <w:t>建设施工阶段的主要噪声源来自施工机械的施工噪声和运输车辆的辐射噪声，这部分噪声虽然是暂时的，但由于本项目施工工期长，施工机械较多，这些施工机械一般都具有高噪声、无规则等特点，如不加以控制，往往会对附近的居民点等声环境敏感点产生较大的噪声污染。</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w:t>
      </w:r>
      <w:r>
        <w:rPr>
          <w:rFonts w:hint="default" w:ascii="Times New Roman" w:hAnsi="Times New Roman" w:cs="Times New Roman"/>
          <w:color w:val="auto"/>
          <w:kern w:val="2"/>
          <w:sz w:val="21"/>
          <w:szCs w:val="21"/>
          <w:highlight w:val="none"/>
          <w:u w:val="none" w:color="auto"/>
          <w:lang w:eastAsia="zh-CN"/>
        </w:rPr>
        <w:t>道路</w:t>
      </w:r>
      <w:r>
        <w:rPr>
          <w:rFonts w:hint="default" w:ascii="Times New Roman" w:hAnsi="Times New Roman" w:cs="Times New Roman"/>
          <w:color w:val="auto"/>
          <w:kern w:val="2"/>
          <w:sz w:val="21"/>
          <w:szCs w:val="21"/>
          <w:highlight w:val="none"/>
          <w:u w:val="none" w:color="auto"/>
        </w:rPr>
        <w:t>施工特点，施工过程可分为三个阶段，即基础施工、路面施工、交通工程施工，各施工阶段所采用的主要施工机械见</w:t>
      </w:r>
      <w:r>
        <w:rPr>
          <w:rFonts w:hint="eastAsia" w:cs="Times New Roman"/>
          <w:color w:val="auto"/>
          <w:kern w:val="2"/>
          <w:sz w:val="21"/>
          <w:szCs w:val="21"/>
          <w:highlight w:val="none"/>
          <w:u w:val="none" w:color="auto"/>
          <w:lang w:val="en-US" w:eastAsia="zh-CN"/>
        </w:rPr>
        <w:t>表2-4</w:t>
      </w:r>
      <w:r>
        <w:rPr>
          <w:rFonts w:hint="default" w:ascii="Times New Roman" w:hAnsi="Times New Roman" w:cs="Times New Roman"/>
          <w:color w:val="auto"/>
          <w:kern w:val="2"/>
          <w:sz w:val="21"/>
          <w:szCs w:val="21"/>
          <w:highlight w:val="none"/>
          <w:u w:val="none" w:color="auto"/>
        </w:rPr>
        <w:t>，各类机械运行噪声源强见表</w:t>
      </w:r>
      <w:r>
        <w:rPr>
          <w:rFonts w:hint="eastAsia" w:cs="Times New Roman"/>
          <w:color w:val="auto"/>
          <w:kern w:val="2"/>
          <w:sz w:val="21"/>
          <w:szCs w:val="21"/>
          <w:highlight w:val="none"/>
          <w:u w:val="none" w:color="auto"/>
          <w:lang w:val="en-US" w:eastAsia="zh-CN"/>
        </w:rPr>
        <w:t>2-5</w:t>
      </w:r>
      <w:r>
        <w:rPr>
          <w:rFonts w:hint="default" w:ascii="Times New Roman" w:hAnsi="Times New Roman" w:cs="Times New Roman"/>
          <w:color w:val="auto"/>
          <w:kern w:val="2"/>
          <w:sz w:val="21"/>
          <w:szCs w:val="21"/>
          <w:highlight w:val="none"/>
          <w:u w:val="none" w:color="auto"/>
        </w:rPr>
        <w:t>。</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eastAsia" w:ascii="Times New Roman" w:hAnsi="Times New Roman" w:eastAsia="宋体" w:cs="Times New Roman"/>
          <w:b/>
          <w:color w:val="000000"/>
          <w:kern w:val="21"/>
          <w:sz w:val="21"/>
          <w:szCs w:val="21"/>
          <w:highlight w:val="none"/>
          <w:u w:val="none" w:color="auto"/>
          <w:lang w:val="en-US" w:eastAsia="zh-CN" w:bidi="ar-SA"/>
        </w:rPr>
        <w:t>表2-4</w:t>
      </w:r>
      <w:r>
        <w:rPr>
          <w:rFonts w:hint="default" w:ascii="Times New Roman" w:hAnsi="Times New Roman" w:eastAsia="宋体" w:cs="Times New Roman"/>
          <w:b/>
          <w:color w:val="000000"/>
          <w:kern w:val="21"/>
          <w:sz w:val="21"/>
          <w:szCs w:val="21"/>
          <w:highlight w:val="none"/>
          <w:u w:val="none" w:color="auto"/>
          <w:lang w:val="en-US" w:eastAsia="zh-CN" w:bidi="ar-SA"/>
        </w:rPr>
        <w:t>不同施工阶段采用的施工机械</w:t>
      </w:r>
    </w:p>
    <w:tbl>
      <w:tblPr>
        <w:tblStyle w:val="40"/>
        <w:tblW w:w="8316"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1571"/>
        <w:gridCol w:w="1896"/>
        <w:gridCol w:w="4849"/>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blHeader/>
          <w:jc w:val="center"/>
        </w:trPr>
        <w:tc>
          <w:tcPr>
            <w:tcW w:w="157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施工阶段</w:t>
            </w:r>
          </w:p>
        </w:tc>
        <w:tc>
          <w:tcPr>
            <w:tcW w:w="189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主要路段</w:t>
            </w:r>
          </w:p>
        </w:tc>
        <w:tc>
          <w:tcPr>
            <w:tcW w:w="4849"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施工机械</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57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工程前期拆迁</w:t>
            </w:r>
          </w:p>
        </w:tc>
        <w:tc>
          <w:tcPr>
            <w:tcW w:w="189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涉及工程拆迁路段</w:t>
            </w:r>
          </w:p>
        </w:tc>
        <w:tc>
          <w:tcPr>
            <w:tcW w:w="4849"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挖掘机、推土机、平地机、运输车辆等</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57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软土路基处理</w:t>
            </w:r>
          </w:p>
        </w:tc>
        <w:tc>
          <w:tcPr>
            <w:tcW w:w="189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软基路段</w:t>
            </w:r>
          </w:p>
        </w:tc>
        <w:tc>
          <w:tcPr>
            <w:tcW w:w="4849"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挖掘机、打桩机、压桩机、钻孔机、空压机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57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路基填筑</w:t>
            </w:r>
          </w:p>
        </w:tc>
        <w:tc>
          <w:tcPr>
            <w:tcW w:w="189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全线路基路段</w:t>
            </w:r>
          </w:p>
        </w:tc>
        <w:tc>
          <w:tcPr>
            <w:tcW w:w="4849"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推土机、挖掘机、装载机、平地机、振动压路机、光轮压路机、振捣机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57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路面施工</w:t>
            </w:r>
          </w:p>
        </w:tc>
        <w:tc>
          <w:tcPr>
            <w:tcW w:w="189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全线</w:t>
            </w:r>
          </w:p>
        </w:tc>
        <w:tc>
          <w:tcPr>
            <w:tcW w:w="4849"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装载机、铲运机、平地机、振动式压路机、光轮压路机、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57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结构施工</w:t>
            </w:r>
          </w:p>
        </w:tc>
        <w:tc>
          <w:tcPr>
            <w:tcW w:w="189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附属设施</w:t>
            </w:r>
          </w:p>
        </w:tc>
        <w:tc>
          <w:tcPr>
            <w:tcW w:w="4849"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钻孔机、打桩机、起吊机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157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交通工程施工</w:t>
            </w:r>
          </w:p>
        </w:tc>
        <w:tc>
          <w:tcPr>
            <w:tcW w:w="189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全线</w:t>
            </w:r>
          </w:p>
        </w:tc>
        <w:tc>
          <w:tcPr>
            <w:tcW w:w="4849"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电钻、电锯、切割机</w:t>
            </w:r>
          </w:p>
        </w:tc>
      </w:tr>
    </w:tbl>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eastAsia" w:ascii="Times New Roman" w:hAnsi="Times New Roman" w:eastAsia="宋体" w:cs="Times New Roman"/>
          <w:b/>
          <w:color w:val="000000"/>
          <w:kern w:val="21"/>
          <w:sz w:val="21"/>
          <w:szCs w:val="21"/>
          <w:highlight w:val="none"/>
          <w:u w:val="none" w:color="auto"/>
          <w:lang w:val="en-US" w:eastAsia="zh-CN" w:bidi="ar-SA"/>
        </w:rPr>
        <w:t>表2-5</w:t>
      </w:r>
      <w:r>
        <w:rPr>
          <w:rFonts w:hint="default" w:ascii="Times New Roman" w:hAnsi="Times New Roman" w:eastAsia="宋体" w:cs="Times New Roman"/>
          <w:b/>
          <w:color w:val="000000"/>
          <w:kern w:val="21"/>
          <w:sz w:val="21"/>
          <w:szCs w:val="21"/>
          <w:highlight w:val="none"/>
          <w:u w:val="none" w:color="auto"/>
          <w:lang w:val="en-US" w:eastAsia="zh-CN" w:bidi="ar-SA"/>
        </w:rPr>
        <w:t>主要施工机械不同距离处的噪声级 单位：dB(A)</w:t>
      </w:r>
    </w:p>
    <w:tbl>
      <w:tblPr>
        <w:tblStyle w:val="40"/>
        <w:tblW w:w="8316"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904"/>
        <w:gridCol w:w="1331"/>
        <w:gridCol w:w="2184"/>
        <w:gridCol w:w="2076"/>
        <w:gridCol w:w="182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440" w:hRule="atLeast"/>
          <w:tblHeader/>
          <w:jc w:val="center"/>
        </w:trPr>
        <w:tc>
          <w:tcPr>
            <w:tcW w:w="90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施工阶段</w:t>
            </w: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名称</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测点与声源距离（m）</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A 声级值（dB(A)）</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平均值（dB(A)）</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04" w:type="dxa"/>
            <w:vMerge w:val="restart"/>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土石方</w:t>
            </w: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液压挖掘机</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78~86</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82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04" w:type="dxa"/>
            <w:vMerge w:val="continue"/>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电动挖掘机</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75~83</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79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04" w:type="dxa"/>
            <w:vMerge w:val="continue"/>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轮式装载机</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85~91</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88</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04" w:type="dxa"/>
            <w:vMerge w:val="continue"/>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推土机</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80~85</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83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904" w:type="dxa"/>
            <w:vMerge w:val="continue"/>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重型运输车</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78~86</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82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04" w:type="dxa"/>
            <w:vMerge w:val="restart"/>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结构</w:t>
            </w: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压路机</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76~86</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81</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04" w:type="dxa"/>
            <w:vMerge w:val="continue"/>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振动夯锤</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86~94</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04" w:type="dxa"/>
            <w:vMerge w:val="continue"/>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商砼搅拌车</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82~84</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83</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04" w:type="dxa"/>
            <w:vMerge w:val="continue"/>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移动式发电机</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90~98</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kern w:val="2"/>
                <w:sz w:val="21"/>
                <w:szCs w:val="21"/>
                <w:highlight w:val="none"/>
                <w:u w:val="none" w:color="auto"/>
                <w:lang w:val="en-US" w:eastAsia="zh-CN" w:bidi="ar-SA"/>
              </w:rPr>
            </w:pPr>
            <w:r>
              <w:rPr>
                <w:rFonts w:hint="default" w:ascii="Times New Roman" w:hAnsi="Times New Roman" w:eastAsia="宋体" w:cs="Times New Roman"/>
                <w:b w:val="0"/>
                <w:bCs w:val="0"/>
                <w:kern w:val="2"/>
                <w:sz w:val="21"/>
                <w:szCs w:val="21"/>
                <w:highlight w:val="none"/>
                <w:u w:val="none" w:color="auto"/>
                <w:lang w:val="en-US" w:eastAsia="zh-CN" w:bidi="ar-SA"/>
              </w:rPr>
              <w:t>94</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04" w:type="dxa"/>
            <w:vMerge w:val="continue"/>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空压机</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83~88</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86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904" w:type="dxa"/>
            <w:vMerge w:val="continue"/>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33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混凝土振捣器</w:t>
            </w:r>
          </w:p>
        </w:tc>
        <w:tc>
          <w:tcPr>
            <w:tcW w:w="2184"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10</w:t>
            </w:r>
          </w:p>
        </w:tc>
        <w:tc>
          <w:tcPr>
            <w:tcW w:w="2076"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75~84</w:t>
            </w:r>
          </w:p>
        </w:tc>
        <w:tc>
          <w:tcPr>
            <w:tcW w:w="1821" w:type="dxa"/>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80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8316" w:type="dxa"/>
            <w:gridSpan w:val="5"/>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注：主要施工机械噪声源强取值参考《环境噪声与振动控制工程技术导则》（HJ 2034-2013）。</w:t>
            </w:r>
          </w:p>
        </w:tc>
      </w:tr>
    </w:tbl>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营运期污染源强分析</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运营期噪声污染源主要为道路行驶汽车交通噪声。</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（1）各预测年车流量</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根据《公路建设项目环境影响评价规范》（JTGB03-2006）</w:t>
      </w:r>
      <w:r>
        <w:rPr>
          <w:rFonts w:hint="eastAsia" w:cs="Times New Roman"/>
          <w:color w:val="auto"/>
          <w:kern w:val="2"/>
          <w:sz w:val="21"/>
          <w:szCs w:val="21"/>
          <w:highlight w:val="none"/>
          <w:u w:val="none" w:color="auto"/>
          <w:lang w:val="en-US" w:eastAsia="zh-CN"/>
        </w:rPr>
        <w:t>以及《环境影响评价技术导则 公路建设项目》（HJ1358-2024）</w:t>
      </w:r>
      <w:r>
        <w:rPr>
          <w:rFonts w:hint="default" w:ascii="Times New Roman" w:hAnsi="Times New Roman" w:cs="Times New Roman"/>
          <w:color w:val="auto"/>
          <w:kern w:val="2"/>
          <w:sz w:val="21"/>
          <w:szCs w:val="21"/>
          <w:highlight w:val="none"/>
          <w:u w:val="none" w:color="auto"/>
        </w:rPr>
        <w:t>，结合车型比，得出各预测年车型构成比及车型小时车流量。</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（2）单车行驶速度</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eastAsia" w:cs="Times New Roman"/>
          <w:color w:val="auto"/>
          <w:kern w:val="2"/>
          <w:sz w:val="21"/>
          <w:szCs w:val="21"/>
          <w:highlight w:val="none"/>
          <w:u w:val="none" w:color="auto"/>
          <w:lang w:val="en-US" w:eastAsia="zh-CN"/>
        </w:rPr>
        <w:t>参照《环境影响评价技术导则 公路建设项目》（HJ1358-2024）</w:t>
      </w:r>
      <w:r>
        <w:rPr>
          <w:rFonts w:hint="default" w:ascii="Times New Roman" w:hAnsi="Times New Roman" w:cs="Times New Roman"/>
          <w:color w:val="auto"/>
          <w:kern w:val="2"/>
          <w:sz w:val="21"/>
          <w:szCs w:val="21"/>
          <w:highlight w:val="none"/>
          <w:u w:val="none" w:color="auto"/>
        </w:rPr>
        <w:t>，车速取值有公式计算和实际类比两种办法，本次采用公式计算法。车速计算公式如下：</w:t>
      </w:r>
    </w:p>
    <w:p>
      <w:pPr>
        <w:pageBreakBefore w:val="0"/>
        <w:kinsoku/>
        <w:wordWrap/>
        <w:overflowPunct/>
        <w:topLinePunct w:val="0"/>
        <w:bidi w:val="0"/>
        <w:adjustRightInd w:val="0"/>
        <w:snapToGrid w:val="0"/>
        <w:spacing w:line="360" w:lineRule="auto"/>
        <w:ind w:firstLine="420" w:firstLineChars="20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2449830" cy="1016635"/>
            <wp:effectExtent l="0" t="0" r="762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44"/>
                    <a:srcRect/>
                    <a:stretch>
                      <a:fillRect/>
                    </a:stretch>
                  </pic:blipFill>
                  <pic:spPr>
                    <a:xfrm>
                      <a:off x="0" y="0"/>
                      <a:ext cx="2449830" cy="1016635"/>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式中：V</w:t>
      </w:r>
      <w:r>
        <w:rPr>
          <w:rFonts w:hint="default" w:ascii="Times New Roman" w:hAnsi="Times New Roman" w:cs="Times New Roman"/>
          <w:i/>
          <w:iCs/>
          <w:color w:val="auto"/>
          <w:kern w:val="2"/>
          <w:sz w:val="21"/>
          <w:szCs w:val="21"/>
          <w:highlight w:val="none"/>
          <w:u w:val="none" w:color="auto"/>
          <w:vertAlign w:val="subscript"/>
        </w:rPr>
        <w:t>i</w:t>
      </w:r>
      <w:r>
        <w:rPr>
          <w:rFonts w:hint="default" w:ascii="Times New Roman" w:hAnsi="Times New Roman" w:cs="Times New Roman"/>
          <w:color w:val="auto"/>
          <w:kern w:val="2"/>
          <w:sz w:val="21"/>
          <w:szCs w:val="21"/>
          <w:highlight w:val="none"/>
          <w:u w:val="none" w:color="auto"/>
        </w:rPr>
        <w:t>-第i种车型车辆的预测车速，km/h；当</w:t>
      </w:r>
      <w:r>
        <w:rPr>
          <w:rFonts w:hint="eastAsia" w:cs="Times New Roman"/>
          <w:color w:val="auto"/>
          <w:kern w:val="2"/>
          <w:sz w:val="21"/>
          <w:szCs w:val="21"/>
          <w:highlight w:val="none"/>
          <w:u w:val="none" w:color="auto"/>
          <w:lang w:val="en-US" w:eastAsia="zh-CN"/>
        </w:rPr>
        <w:t>0.2＜V/C≤0.7时，计算公式</w:t>
      </w:r>
      <w:r>
        <w:rPr>
          <w:rFonts w:hint="default" w:ascii="Times New Roman" w:hAnsi="Times New Roman" w:cs="Times New Roman"/>
          <w:color w:val="auto"/>
          <w:kern w:val="2"/>
          <w:sz w:val="21"/>
          <w:szCs w:val="21"/>
          <w:highlight w:val="none"/>
          <w:u w:val="none" w:color="auto"/>
        </w:rPr>
        <w:t>时，该</w:t>
      </w:r>
      <w:r>
        <w:rPr>
          <w:rFonts w:hint="eastAsia" w:cs="Times New Roman"/>
          <w:color w:val="auto"/>
          <w:kern w:val="2"/>
          <w:sz w:val="21"/>
          <w:szCs w:val="21"/>
          <w:highlight w:val="none"/>
          <w:u w:val="none" w:color="auto"/>
          <w:lang w:eastAsia="zh-CN"/>
        </w:rPr>
        <w:t>车型</w:t>
      </w:r>
      <w:r>
        <w:rPr>
          <w:rFonts w:hint="default" w:ascii="Times New Roman" w:hAnsi="Times New Roman" w:cs="Times New Roman"/>
          <w:color w:val="auto"/>
          <w:kern w:val="2"/>
          <w:sz w:val="21"/>
          <w:szCs w:val="21"/>
          <w:highlight w:val="none"/>
          <w:u w:val="none" w:color="auto"/>
        </w:rPr>
        <w:t>预测车速按比例降低；</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i/>
          <w:iCs/>
          <w:color w:val="auto"/>
          <w:kern w:val="2"/>
          <w:sz w:val="21"/>
          <w:szCs w:val="21"/>
          <w:highlight w:val="none"/>
          <w:u w:val="none" w:color="auto"/>
        </w:rPr>
        <w:t>μ</w:t>
      </w:r>
      <w:r>
        <w:rPr>
          <w:rFonts w:hint="default" w:ascii="Times New Roman" w:hAnsi="Times New Roman" w:cs="Times New Roman"/>
          <w:i/>
          <w:iCs/>
          <w:color w:val="auto"/>
          <w:kern w:val="2"/>
          <w:sz w:val="21"/>
          <w:szCs w:val="21"/>
          <w:highlight w:val="none"/>
          <w:u w:val="none" w:color="auto"/>
          <w:vertAlign w:val="subscript"/>
        </w:rPr>
        <w:t>i</w:t>
      </w:r>
      <w:r>
        <w:rPr>
          <w:rFonts w:hint="default" w:ascii="Times New Roman" w:hAnsi="Times New Roman" w:cs="Times New Roman"/>
          <w:i/>
          <w:iCs/>
          <w:color w:val="auto"/>
          <w:kern w:val="2"/>
          <w:sz w:val="21"/>
          <w:szCs w:val="21"/>
          <w:highlight w:val="none"/>
          <w:u w:val="none" w:color="auto"/>
          <w:vertAlign w:val="subscript"/>
          <w:lang w:eastAsia="zh-CN"/>
        </w:rPr>
        <w:t>－</w:t>
      </w:r>
      <w:r>
        <w:rPr>
          <w:rFonts w:hint="default" w:ascii="Times New Roman" w:hAnsi="Times New Roman" w:cs="Times New Roman"/>
          <w:color w:val="auto"/>
          <w:kern w:val="2"/>
          <w:sz w:val="21"/>
          <w:szCs w:val="21"/>
          <w:highlight w:val="none"/>
          <w:u w:val="none" w:color="auto"/>
        </w:rPr>
        <w:t>该车型当量车数；</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i/>
          <w:iCs/>
          <w:color w:val="auto"/>
          <w:kern w:val="2"/>
          <w:sz w:val="21"/>
          <w:szCs w:val="21"/>
          <w:highlight w:val="none"/>
          <w:u w:val="none" w:color="auto"/>
        </w:rPr>
        <w:t>η</w:t>
      </w:r>
      <w:r>
        <w:rPr>
          <w:rFonts w:hint="default" w:ascii="Times New Roman" w:hAnsi="Times New Roman" w:cs="Times New Roman"/>
          <w:i/>
          <w:iCs/>
          <w:color w:val="auto"/>
          <w:kern w:val="2"/>
          <w:sz w:val="21"/>
          <w:szCs w:val="21"/>
          <w:highlight w:val="none"/>
          <w:u w:val="none" w:color="auto"/>
          <w:vertAlign w:val="subscript"/>
        </w:rPr>
        <w:t>i</w:t>
      </w:r>
      <w:r>
        <w:rPr>
          <w:rFonts w:hint="default" w:ascii="Times New Roman" w:hAnsi="Times New Roman" w:cs="Times New Roman"/>
          <w:i/>
          <w:iCs/>
          <w:color w:val="auto"/>
          <w:kern w:val="2"/>
          <w:sz w:val="21"/>
          <w:szCs w:val="21"/>
          <w:highlight w:val="none"/>
          <w:u w:val="none" w:color="auto"/>
          <w:vertAlign w:val="subscript"/>
          <w:lang w:eastAsia="zh-CN"/>
        </w:rPr>
        <w:t>－</w:t>
      </w:r>
      <w:r>
        <w:rPr>
          <w:rFonts w:hint="default" w:ascii="Times New Roman" w:hAnsi="Times New Roman" w:cs="Times New Roman"/>
          <w:color w:val="auto"/>
          <w:kern w:val="2"/>
          <w:sz w:val="21"/>
          <w:szCs w:val="21"/>
          <w:highlight w:val="none"/>
          <w:u w:val="none" w:color="auto"/>
        </w:rPr>
        <w:t>该车型的车型比；</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i/>
          <w:iCs/>
          <w:color w:val="auto"/>
          <w:kern w:val="2"/>
          <w:sz w:val="21"/>
          <w:szCs w:val="21"/>
          <w:highlight w:val="none"/>
          <w:u w:val="none" w:color="auto"/>
        </w:rPr>
        <w:t>vol</w:t>
      </w:r>
      <w:r>
        <w:rPr>
          <w:rFonts w:hint="default" w:ascii="Times New Roman" w:hAnsi="Times New Roman" w:cs="Times New Roman"/>
          <w:color w:val="auto"/>
          <w:kern w:val="2"/>
          <w:sz w:val="21"/>
          <w:szCs w:val="21"/>
          <w:highlight w:val="none"/>
          <w:u w:val="none" w:color="auto"/>
        </w:rPr>
        <w:t>-单车道车流量，辆/h；</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i/>
          <w:iCs/>
          <w:color w:val="auto"/>
          <w:kern w:val="2"/>
          <w:sz w:val="21"/>
          <w:szCs w:val="21"/>
          <w:highlight w:val="none"/>
          <w:u w:val="none" w:color="auto"/>
        </w:rPr>
        <w:t>m</w:t>
      </w:r>
      <w:r>
        <w:rPr>
          <w:rFonts w:hint="default" w:ascii="Times New Roman" w:hAnsi="Times New Roman" w:cs="Times New Roman"/>
          <w:color w:val="auto"/>
          <w:kern w:val="2"/>
          <w:sz w:val="21"/>
          <w:szCs w:val="21"/>
          <w:highlight w:val="none"/>
          <w:u w:val="none" w:color="auto"/>
          <w:vertAlign w:val="subscript"/>
        </w:rPr>
        <w:t>i</w:t>
      </w:r>
      <w:r>
        <w:rPr>
          <w:rFonts w:hint="default" w:ascii="Times New Roman" w:hAnsi="Times New Roman" w:cs="Times New Roman"/>
          <w:color w:val="auto"/>
          <w:kern w:val="2"/>
          <w:sz w:val="21"/>
          <w:szCs w:val="21"/>
          <w:highlight w:val="none"/>
          <w:u w:val="none" w:color="auto"/>
        </w:rPr>
        <w:t>-其他两种车型的加权系数。</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k</w:t>
      </w:r>
      <w:r>
        <w:rPr>
          <w:rFonts w:hint="default" w:ascii="Times New Roman" w:hAnsi="Times New Roman" w:cs="Times New Roman"/>
          <w:color w:val="auto"/>
          <w:kern w:val="2"/>
          <w:sz w:val="21"/>
          <w:szCs w:val="21"/>
          <w:highlight w:val="none"/>
          <w:u w:val="none" w:color="auto"/>
          <w:vertAlign w:val="subscript"/>
        </w:rPr>
        <w:t>1</w:t>
      </w:r>
      <w:r>
        <w:rPr>
          <w:rFonts w:hint="default" w:ascii="Times New Roman" w:hAnsi="Times New Roman" w:cs="Times New Roman"/>
          <w:color w:val="auto"/>
          <w:kern w:val="2"/>
          <w:sz w:val="21"/>
          <w:szCs w:val="21"/>
          <w:highlight w:val="none"/>
          <w:u w:val="none" w:color="auto"/>
        </w:rPr>
        <w:t>、k</w:t>
      </w:r>
      <w:r>
        <w:rPr>
          <w:rFonts w:hint="default" w:ascii="Times New Roman" w:hAnsi="Times New Roman" w:cs="Times New Roman"/>
          <w:color w:val="auto"/>
          <w:kern w:val="2"/>
          <w:sz w:val="21"/>
          <w:szCs w:val="21"/>
          <w:highlight w:val="none"/>
          <w:u w:val="none" w:color="auto"/>
          <w:vertAlign w:val="subscript"/>
        </w:rPr>
        <w:t>2</w:t>
      </w:r>
      <w:r>
        <w:rPr>
          <w:rFonts w:hint="default" w:ascii="Times New Roman" w:hAnsi="Times New Roman" w:cs="Times New Roman"/>
          <w:color w:val="auto"/>
          <w:kern w:val="2"/>
          <w:sz w:val="21"/>
          <w:szCs w:val="21"/>
          <w:highlight w:val="none"/>
          <w:u w:val="none" w:color="auto"/>
        </w:rPr>
        <w:t>、k</w:t>
      </w:r>
      <w:r>
        <w:rPr>
          <w:rFonts w:hint="default" w:ascii="Times New Roman" w:hAnsi="Times New Roman" w:cs="Times New Roman"/>
          <w:color w:val="auto"/>
          <w:kern w:val="2"/>
          <w:sz w:val="21"/>
          <w:szCs w:val="21"/>
          <w:highlight w:val="none"/>
          <w:u w:val="none" w:color="auto"/>
          <w:vertAlign w:val="subscript"/>
        </w:rPr>
        <w:t>3</w:t>
      </w:r>
      <w:r>
        <w:rPr>
          <w:rFonts w:hint="default" w:ascii="Times New Roman" w:hAnsi="Times New Roman" w:cs="Times New Roman"/>
          <w:color w:val="auto"/>
          <w:kern w:val="2"/>
          <w:sz w:val="21"/>
          <w:szCs w:val="21"/>
          <w:highlight w:val="none"/>
          <w:u w:val="none" w:color="auto"/>
        </w:rPr>
        <w:t>、k</w:t>
      </w:r>
      <w:r>
        <w:rPr>
          <w:rFonts w:hint="default" w:ascii="Times New Roman" w:hAnsi="Times New Roman" w:cs="Times New Roman"/>
          <w:color w:val="auto"/>
          <w:kern w:val="2"/>
          <w:sz w:val="21"/>
          <w:szCs w:val="21"/>
          <w:highlight w:val="none"/>
          <w:u w:val="none" w:color="auto"/>
          <w:vertAlign w:val="subscript"/>
        </w:rPr>
        <w:t>4</w:t>
      </w:r>
      <w:r>
        <w:rPr>
          <w:rFonts w:hint="default" w:ascii="Times New Roman" w:hAnsi="Times New Roman" w:cs="Times New Roman"/>
          <w:color w:val="auto"/>
          <w:kern w:val="2"/>
          <w:sz w:val="21"/>
          <w:szCs w:val="21"/>
          <w:highlight w:val="none"/>
          <w:u w:val="none" w:color="auto"/>
        </w:rPr>
        <w:t>分别为系数。</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default" w:ascii="Times New Roman" w:hAnsi="Times New Roman" w:eastAsia="宋体" w:cs="Times New Roman"/>
          <w:b/>
          <w:color w:val="000000"/>
          <w:kern w:val="21"/>
          <w:sz w:val="21"/>
          <w:szCs w:val="21"/>
          <w:highlight w:val="none"/>
          <w:u w:val="none" w:color="auto"/>
          <w:lang w:val="en-US" w:eastAsia="zh-CN" w:bidi="ar-SA"/>
        </w:rPr>
        <w:t>表</w:t>
      </w:r>
      <w:r>
        <w:rPr>
          <w:rFonts w:hint="eastAsia" w:ascii="Times New Roman" w:hAnsi="Times New Roman" w:eastAsia="宋体" w:cs="Times New Roman"/>
          <w:b/>
          <w:color w:val="000000"/>
          <w:kern w:val="21"/>
          <w:sz w:val="21"/>
          <w:szCs w:val="21"/>
          <w:highlight w:val="none"/>
          <w:u w:val="none" w:color="auto"/>
          <w:lang w:val="en-US" w:eastAsia="zh-CN" w:bidi="ar-SA"/>
        </w:rPr>
        <w:t>2-5</w:t>
      </w:r>
      <w:r>
        <w:rPr>
          <w:rFonts w:hint="default" w:ascii="Times New Roman" w:hAnsi="Times New Roman" w:eastAsia="宋体" w:cs="Times New Roman"/>
          <w:b/>
          <w:color w:val="000000"/>
          <w:kern w:val="21"/>
          <w:sz w:val="21"/>
          <w:szCs w:val="21"/>
          <w:highlight w:val="none"/>
          <w:u w:val="none" w:color="auto"/>
          <w:lang w:val="en-US" w:eastAsia="zh-CN" w:bidi="ar-SA"/>
        </w:rPr>
        <w:t>车速计算公式系数一览表</w:t>
      </w:r>
    </w:p>
    <w:tbl>
      <w:tblPr>
        <w:tblStyle w:val="40"/>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427"/>
        <w:gridCol w:w="1413"/>
        <w:gridCol w:w="1450"/>
        <w:gridCol w:w="1421"/>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车型</w:t>
            </w:r>
          </w:p>
        </w:tc>
        <w:tc>
          <w:tcPr>
            <w:tcW w:w="1427"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k1</w:t>
            </w:r>
          </w:p>
        </w:tc>
        <w:tc>
          <w:tcPr>
            <w:tcW w:w="1413"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k2</w:t>
            </w:r>
          </w:p>
        </w:tc>
        <w:tc>
          <w:tcPr>
            <w:tcW w:w="1450"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k3</w:t>
            </w:r>
          </w:p>
        </w:tc>
        <w:tc>
          <w:tcPr>
            <w:tcW w:w="1421"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k4</w:t>
            </w:r>
          </w:p>
        </w:tc>
        <w:tc>
          <w:tcPr>
            <w:tcW w:w="1422"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小型车</w:t>
            </w:r>
          </w:p>
        </w:tc>
        <w:tc>
          <w:tcPr>
            <w:tcW w:w="1427"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-0.061748</w:t>
            </w:r>
          </w:p>
        </w:tc>
        <w:tc>
          <w:tcPr>
            <w:tcW w:w="1413"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149.65</w:t>
            </w:r>
          </w:p>
        </w:tc>
        <w:tc>
          <w:tcPr>
            <w:tcW w:w="1450"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-0.000023696</w:t>
            </w:r>
          </w:p>
        </w:tc>
        <w:tc>
          <w:tcPr>
            <w:tcW w:w="1421"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-0.02099</w:t>
            </w:r>
          </w:p>
        </w:tc>
        <w:tc>
          <w:tcPr>
            <w:tcW w:w="1422"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中型车</w:t>
            </w:r>
          </w:p>
        </w:tc>
        <w:tc>
          <w:tcPr>
            <w:tcW w:w="142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en-US" w:bidi="ar-SA"/>
              </w:rPr>
              <w:t>-0.057537</w:t>
            </w:r>
          </w:p>
        </w:tc>
        <w:tc>
          <w:tcPr>
            <w:tcW w:w="141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en-US" w:bidi="ar-SA"/>
              </w:rPr>
              <w:t>149.38</w:t>
            </w:r>
          </w:p>
        </w:tc>
        <w:tc>
          <w:tcPr>
            <w:tcW w:w="145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en-US" w:bidi="ar-SA"/>
              </w:rPr>
              <w:t>-0.000016390</w:t>
            </w:r>
          </w:p>
        </w:tc>
        <w:tc>
          <w:tcPr>
            <w:tcW w:w="1421"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en-US" w:bidi="ar-SA"/>
              </w:rPr>
              <w:t>-0.01245</w:t>
            </w:r>
          </w:p>
        </w:tc>
        <w:tc>
          <w:tcPr>
            <w:tcW w:w="142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en-US" w:bidi="ar-SA"/>
              </w:rPr>
              <w:t>0.8044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大型车</w:t>
            </w:r>
          </w:p>
        </w:tc>
        <w:tc>
          <w:tcPr>
            <w:tcW w:w="142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en-US" w:bidi="ar-SA"/>
              </w:rPr>
              <w:t>-0.051900</w:t>
            </w:r>
          </w:p>
        </w:tc>
        <w:tc>
          <w:tcPr>
            <w:tcW w:w="141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en-US" w:bidi="ar-SA"/>
              </w:rPr>
              <w:t>149.39</w:t>
            </w:r>
          </w:p>
        </w:tc>
        <w:tc>
          <w:tcPr>
            <w:tcW w:w="145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en-US" w:bidi="ar-SA"/>
              </w:rPr>
              <w:t>-0.000014202</w:t>
            </w:r>
          </w:p>
        </w:tc>
        <w:tc>
          <w:tcPr>
            <w:tcW w:w="1421"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en-US" w:bidi="ar-SA"/>
              </w:rPr>
              <w:t>-0.01254</w:t>
            </w:r>
          </w:p>
        </w:tc>
        <w:tc>
          <w:tcPr>
            <w:tcW w:w="142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36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en-US" w:bidi="ar-SA"/>
              </w:rPr>
              <w:t>0.70957</w:t>
            </w:r>
          </w:p>
        </w:tc>
      </w:tr>
    </w:tbl>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根据上述公式计算各预测年车型车昼、夜间小时平均车速，计算结果见下表。</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bookmarkStart w:id="106" w:name="_Ref102642067"/>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default" w:ascii="Times New Roman" w:hAnsi="Times New Roman" w:eastAsia="宋体" w:cs="Times New Roman"/>
          <w:b/>
          <w:color w:val="000000"/>
          <w:kern w:val="21"/>
          <w:sz w:val="21"/>
          <w:szCs w:val="21"/>
          <w:highlight w:val="none"/>
          <w:u w:val="none" w:color="auto"/>
          <w:lang w:val="en-US" w:eastAsia="zh-CN" w:bidi="ar-SA"/>
        </w:rPr>
        <w:t>表</w:t>
      </w:r>
      <w:bookmarkEnd w:id="106"/>
      <w:r>
        <w:rPr>
          <w:rFonts w:hint="eastAsia" w:ascii="Times New Roman" w:hAnsi="Times New Roman" w:eastAsia="宋体" w:cs="Times New Roman"/>
          <w:b/>
          <w:color w:val="000000"/>
          <w:kern w:val="21"/>
          <w:sz w:val="21"/>
          <w:szCs w:val="21"/>
          <w:highlight w:val="none"/>
          <w:u w:val="none" w:color="auto"/>
          <w:lang w:val="en-US" w:eastAsia="zh-CN" w:bidi="ar-SA"/>
        </w:rPr>
        <w:t>2-6</w:t>
      </w:r>
      <w:r>
        <w:rPr>
          <w:rFonts w:hint="default" w:ascii="Times New Roman" w:hAnsi="Times New Roman" w:eastAsia="宋体" w:cs="Times New Roman"/>
          <w:b/>
          <w:color w:val="000000"/>
          <w:kern w:val="21"/>
          <w:sz w:val="21"/>
          <w:szCs w:val="21"/>
          <w:highlight w:val="none"/>
          <w:u w:val="none" w:color="auto"/>
          <w:lang w:val="en-US" w:eastAsia="zh-CN" w:bidi="ar-SA"/>
        </w:rPr>
        <w:t>本工程各类机动车辆的平均行驶速度估算结果 单位：km/h</w:t>
      </w:r>
    </w:p>
    <w:tbl>
      <w:tblPr>
        <w:tblStyle w:val="4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1040"/>
        <w:gridCol w:w="1049"/>
        <w:gridCol w:w="1388"/>
        <w:gridCol w:w="1388"/>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路段名称</w:t>
            </w:r>
          </w:p>
        </w:tc>
        <w:tc>
          <w:tcPr>
            <w:tcW w:w="2089"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时段</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小型车</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中型车</w:t>
            </w:r>
          </w:p>
        </w:tc>
        <w:tc>
          <w:tcPr>
            <w:tcW w:w="138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大型车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0" w:type="dxa"/>
            <w:vMerge w:val="restart"/>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萍阳北路延伸段</w:t>
            </w: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近期</w:t>
            </w: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42.01 </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29.27 </w:t>
            </w:r>
          </w:p>
        </w:tc>
        <w:tc>
          <w:tcPr>
            <w:tcW w:w="13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42.43 </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29.08 </w:t>
            </w:r>
          </w:p>
        </w:tc>
        <w:tc>
          <w:tcPr>
            <w:tcW w:w="13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中期</w:t>
            </w: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41.69 </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29.37 </w:t>
            </w:r>
          </w:p>
        </w:tc>
        <w:tc>
          <w:tcPr>
            <w:tcW w:w="13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42.39 </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29.10 </w:t>
            </w:r>
          </w:p>
        </w:tc>
        <w:tc>
          <w:tcPr>
            <w:tcW w:w="13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远期</w:t>
            </w: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40.94 </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29.58 </w:t>
            </w:r>
          </w:p>
        </w:tc>
        <w:tc>
          <w:tcPr>
            <w:tcW w:w="13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42.30 </w:t>
            </w:r>
          </w:p>
        </w:tc>
        <w:tc>
          <w:tcPr>
            <w:tcW w:w="138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29.15 </w:t>
            </w:r>
          </w:p>
        </w:tc>
        <w:tc>
          <w:tcPr>
            <w:tcW w:w="13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29.03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0" w:type="dxa"/>
            <w:vMerge w:val="restart"/>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萍州大桥西匝道</w:t>
            </w: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近期</w:t>
            </w: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16.80 </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11.71 </w:t>
            </w:r>
          </w:p>
        </w:tc>
        <w:tc>
          <w:tcPr>
            <w:tcW w:w="138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16.97 </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11.63 </w:t>
            </w:r>
          </w:p>
        </w:tc>
        <w:tc>
          <w:tcPr>
            <w:tcW w:w="138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中期</w:t>
            </w: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16.68 </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11.75 </w:t>
            </w:r>
          </w:p>
        </w:tc>
        <w:tc>
          <w:tcPr>
            <w:tcW w:w="138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16.95 </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11.64 </w:t>
            </w:r>
          </w:p>
        </w:tc>
        <w:tc>
          <w:tcPr>
            <w:tcW w:w="138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远期</w:t>
            </w: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16.38 </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11.83 </w:t>
            </w:r>
          </w:p>
        </w:tc>
        <w:tc>
          <w:tcPr>
            <w:tcW w:w="138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16.92 </w:t>
            </w:r>
          </w:p>
        </w:tc>
        <w:tc>
          <w:tcPr>
            <w:tcW w:w="1388"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11.66 </w:t>
            </w:r>
          </w:p>
        </w:tc>
        <w:tc>
          <w:tcPr>
            <w:tcW w:w="138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11.61 </w:t>
            </w:r>
          </w:p>
        </w:tc>
      </w:tr>
    </w:tbl>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（2）单车行驶辐射噪声级（Loi）计算</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第i种车型车辆在参照点（7.5m处）的平均辐射噪声级Loi按下式计算：</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小型车：Lo</w:t>
      </w:r>
      <w:r>
        <w:rPr>
          <w:rFonts w:hint="default" w:ascii="Times New Roman" w:hAnsi="Times New Roman" w:cs="Times New Roman"/>
          <w:color w:val="auto"/>
          <w:kern w:val="2"/>
          <w:sz w:val="21"/>
          <w:szCs w:val="21"/>
          <w:highlight w:val="none"/>
          <w:u w:val="none" w:color="auto"/>
          <w:vertAlign w:val="subscript"/>
        </w:rPr>
        <w:t>S</w:t>
      </w:r>
      <w:r>
        <w:rPr>
          <w:rFonts w:hint="default" w:ascii="Times New Roman" w:hAnsi="Times New Roman" w:cs="Times New Roman"/>
          <w:color w:val="auto"/>
          <w:kern w:val="2"/>
          <w:sz w:val="21"/>
          <w:szCs w:val="21"/>
          <w:highlight w:val="none"/>
          <w:u w:val="none" w:color="auto"/>
        </w:rPr>
        <w:t>=12.6+34.73lgV</w:t>
      </w:r>
      <w:r>
        <w:rPr>
          <w:rFonts w:hint="default" w:ascii="Times New Roman" w:hAnsi="Times New Roman" w:cs="Times New Roman"/>
          <w:color w:val="auto"/>
          <w:kern w:val="2"/>
          <w:sz w:val="21"/>
          <w:szCs w:val="21"/>
          <w:highlight w:val="none"/>
          <w:u w:val="none" w:color="auto"/>
          <w:vertAlign w:val="subscript"/>
        </w:rPr>
        <w:t>S</w:t>
      </w:r>
      <w:r>
        <w:rPr>
          <w:rFonts w:hint="default" w:ascii="Times New Roman" w:hAnsi="Times New Roman" w:cs="Times New Roman"/>
          <w:color w:val="auto"/>
          <w:kern w:val="2"/>
          <w:sz w:val="21"/>
          <w:szCs w:val="21"/>
          <w:highlight w:val="none"/>
          <w:u w:val="none" w:color="auto"/>
        </w:rPr>
        <w:t>+△L</w:t>
      </w:r>
      <w:r>
        <w:rPr>
          <w:rFonts w:hint="default" w:ascii="Times New Roman" w:hAnsi="Times New Roman" w:cs="Times New Roman"/>
          <w:color w:val="auto"/>
          <w:kern w:val="2"/>
          <w:sz w:val="21"/>
          <w:szCs w:val="21"/>
          <w:highlight w:val="none"/>
          <w:u w:val="none" w:color="auto"/>
          <w:vertAlign w:val="subscript"/>
        </w:rPr>
        <w:t>路面</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中型车：Lo</w:t>
      </w:r>
      <w:r>
        <w:rPr>
          <w:rFonts w:hint="default" w:ascii="Times New Roman" w:hAnsi="Times New Roman" w:cs="Times New Roman"/>
          <w:color w:val="auto"/>
          <w:kern w:val="2"/>
          <w:sz w:val="21"/>
          <w:szCs w:val="21"/>
          <w:highlight w:val="none"/>
          <w:u w:val="none" w:color="auto"/>
          <w:vertAlign w:val="subscript"/>
        </w:rPr>
        <w:t>M</w:t>
      </w:r>
      <w:r>
        <w:rPr>
          <w:rFonts w:hint="default" w:ascii="Times New Roman" w:hAnsi="Times New Roman" w:cs="Times New Roman"/>
          <w:color w:val="auto"/>
          <w:kern w:val="2"/>
          <w:sz w:val="21"/>
          <w:szCs w:val="21"/>
          <w:highlight w:val="none"/>
          <w:u w:val="none" w:color="auto"/>
        </w:rPr>
        <w:t>=8.8+40.481lgV</w:t>
      </w:r>
      <w:r>
        <w:rPr>
          <w:rFonts w:hint="default" w:ascii="Times New Roman" w:hAnsi="Times New Roman" w:cs="Times New Roman"/>
          <w:color w:val="auto"/>
          <w:kern w:val="2"/>
          <w:sz w:val="21"/>
          <w:szCs w:val="21"/>
          <w:highlight w:val="none"/>
          <w:u w:val="none" w:color="auto"/>
          <w:vertAlign w:val="subscript"/>
        </w:rPr>
        <w:t>M</w:t>
      </w:r>
      <w:r>
        <w:rPr>
          <w:rFonts w:hint="default" w:ascii="Times New Roman" w:hAnsi="Times New Roman" w:cs="Times New Roman"/>
          <w:color w:val="auto"/>
          <w:kern w:val="2"/>
          <w:sz w:val="21"/>
          <w:szCs w:val="21"/>
          <w:highlight w:val="none"/>
          <w:u w:val="none" w:color="auto"/>
        </w:rPr>
        <w:t>+△L</w:t>
      </w:r>
      <w:r>
        <w:rPr>
          <w:rFonts w:hint="default" w:ascii="Times New Roman" w:hAnsi="Times New Roman" w:cs="Times New Roman"/>
          <w:color w:val="auto"/>
          <w:kern w:val="2"/>
          <w:sz w:val="21"/>
          <w:szCs w:val="21"/>
          <w:highlight w:val="none"/>
          <w:u w:val="none" w:color="auto"/>
          <w:vertAlign w:val="subscript"/>
        </w:rPr>
        <w:t>纵坡</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大型车：Lo</w:t>
      </w:r>
      <w:r>
        <w:rPr>
          <w:rFonts w:hint="default" w:ascii="Times New Roman" w:hAnsi="Times New Roman" w:cs="Times New Roman"/>
          <w:color w:val="auto"/>
          <w:kern w:val="2"/>
          <w:sz w:val="21"/>
          <w:szCs w:val="21"/>
          <w:highlight w:val="none"/>
          <w:u w:val="none" w:color="auto"/>
          <w:vertAlign w:val="subscript"/>
        </w:rPr>
        <w:t>L</w:t>
      </w:r>
      <w:r>
        <w:rPr>
          <w:rFonts w:hint="default" w:ascii="Times New Roman" w:hAnsi="Times New Roman" w:cs="Times New Roman"/>
          <w:color w:val="auto"/>
          <w:kern w:val="2"/>
          <w:sz w:val="21"/>
          <w:szCs w:val="21"/>
          <w:highlight w:val="none"/>
          <w:u w:val="none" w:color="auto"/>
        </w:rPr>
        <w:t>=22.0+36.321lgV</w:t>
      </w:r>
      <w:r>
        <w:rPr>
          <w:rFonts w:hint="default" w:ascii="Times New Roman" w:hAnsi="Times New Roman" w:cs="Times New Roman"/>
          <w:color w:val="auto"/>
          <w:kern w:val="2"/>
          <w:sz w:val="21"/>
          <w:szCs w:val="21"/>
          <w:highlight w:val="none"/>
          <w:u w:val="none" w:color="auto"/>
          <w:vertAlign w:val="subscript"/>
        </w:rPr>
        <w:t>L</w:t>
      </w:r>
      <w:r>
        <w:rPr>
          <w:rFonts w:hint="default" w:ascii="Times New Roman" w:hAnsi="Times New Roman" w:cs="Times New Roman"/>
          <w:color w:val="auto"/>
          <w:kern w:val="2"/>
          <w:sz w:val="21"/>
          <w:szCs w:val="21"/>
          <w:highlight w:val="none"/>
          <w:u w:val="none" w:color="auto"/>
        </w:rPr>
        <w:t>+△L</w:t>
      </w:r>
      <w:r>
        <w:rPr>
          <w:rFonts w:hint="default" w:ascii="Times New Roman" w:hAnsi="Times New Roman" w:cs="Times New Roman"/>
          <w:color w:val="auto"/>
          <w:kern w:val="2"/>
          <w:sz w:val="21"/>
          <w:szCs w:val="21"/>
          <w:highlight w:val="none"/>
          <w:u w:val="none" w:color="auto"/>
          <w:vertAlign w:val="subscript"/>
        </w:rPr>
        <w:t>纵坡</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V</w:t>
      </w:r>
      <w:r>
        <w:rPr>
          <w:rFonts w:hint="default" w:ascii="Times New Roman" w:hAnsi="Times New Roman" w:cs="Times New Roman"/>
          <w:color w:val="auto"/>
          <w:kern w:val="2"/>
          <w:sz w:val="21"/>
          <w:szCs w:val="21"/>
          <w:highlight w:val="none"/>
          <w:u w:val="none" w:color="auto"/>
          <w:vertAlign w:val="subscript"/>
        </w:rPr>
        <w:t>i</w:t>
      </w:r>
      <w:r>
        <w:rPr>
          <w:rFonts w:hint="default" w:ascii="Times New Roman" w:hAnsi="Times New Roman" w:cs="Times New Roman"/>
          <w:color w:val="auto"/>
          <w:kern w:val="2"/>
          <w:sz w:val="21"/>
          <w:szCs w:val="21"/>
          <w:highlight w:val="none"/>
          <w:u w:val="none" w:color="auto"/>
          <w:vertAlign w:val="subscript"/>
          <w:lang w:eastAsia="zh-CN"/>
        </w:rPr>
        <w:t>－</w:t>
      </w:r>
      <w:r>
        <w:rPr>
          <w:rFonts w:hint="default" w:ascii="Times New Roman" w:hAnsi="Times New Roman" w:cs="Times New Roman"/>
          <w:color w:val="auto"/>
          <w:kern w:val="2"/>
          <w:sz w:val="21"/>
          <w:szCs w:val="21"/>
          <w:highlight w:val="none"/>
          <w:u w:val="none" w:color="auto"/>
        </w:rPr>
        <w:t>该车型车辆的平均行驶速度，km/h。式中：右下角注S、M、L分别表示小、中、大型车；</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default" w:ascii="Times New Roman" w:hAnsi="Times New Roman" w:eastAsia="宋体" w:cs="Times New Roman"/>
          <w:b/>
          <w:color w:val="000000"/>
          <w:kern w:val="21"/>
          <w:sz w:val="21"/>
          <w:szCs w:val="21"/>
          <w:highlight w:val="none"/>
          <w:u w:val="none" w:color="auto"/>
          <w:lang w:val="en-US" w:eastAsia="zh-CN" w:bidi="ar-SA"/>
        </w:rPr>
        <w:t>表</w:t>
      </w:r>
      <w:r>
        <w:rPr>
          <w:rFonts w:hint="eastAsia" w:ascii="Times New Roman" w:hAnsi="Times New Roman" w:eastAsia="宋体" w:cs="Times New Roman"/>
          <w:b/>
          <w:color w:val="000000"/>
          <w:kern w:val="21"/>
          <w:sz w:val="21"/>
          <w:szCs w:val="21"/>
          <w:highlight w:val="none"/>
          <w:u w:val="none" w:color="auto"/>
          <w:lang w:val="en-US" w:eastAsia="zh-CN" w:bidi="ar-SA"/>
        </w:rPr>
        <w:t>2-7</w:t>
      </w:r>
      <w:r>
        <w:rPr>
          <w:rFonts w:hint="default" w:ascii="Times New Roman" w:hAnsi="Times New Roman" w:eastAsia="宋体" w:cs="Times New Roman"/>
          <w:b/>
          <w:color w:val="000000"/>
          <w:kern w:val="21"/>
          <w:sz w:val="21"/>
          <w:szCs w:val="21"/>
          <w:highlight w:val="none"/>
          <w:u w:val="none" w:color="auto"/>
          <w:lang w:val="en-US" w:eastAsia="zh-CN" w:bidi="ar-SA"/>
        </w:rPr>
        <w:t>各型车单车行驶辐射噪声级计算结果 单位：dB（A）</w:t>
      </w:r>
    </w:p>
    <w:tbl>
      <w:tblPr>
        <w:tblStyle w:val="4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1040"/>
        <w:gridCol w:w="1048"/>
        <w:gridCol w:w="1389"/>
        <w:gridCol w:w="1389"/>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路段名称</w:t>
            </w:r>
          </w:p>
        </w:tc>
        <w:tc>
          <w:tcPr>
            <w:tcW w:w="2088"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时段</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小型车</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中型车</w:t>
            </w:r>
          </w:p>
        </w:tc>
        <w:tc>
          <w:tcPr>
            <w:tcW w:w="138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大型车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74" w:type="dxa"/>
            <w:vMerge w:val="restart"/>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萍阳北路延伸段</w:t>
            </w: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近期</w:t>
            </w: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68.98 </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68.16 </w:t>
            </w:r>
          </w:p>
        </w:tc>
        <w:tc>
          <w:tcPr>
            <w:tcW w:w="13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69.13 </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68.04 </w:t>
            </w:r>
          </w:p>
        </w:tc>
        <w:tc>
          <w:tcPr>
            <w:tcW w:w="13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中期</w:t>
            </w: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68.87 </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68.22 </w:t>
            </w:r>
          </w:p>
        </w:tc>
        <w:tc>
          <w:tcPr>
            <w:tcW w:w="13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69.12 </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68.06 </w:t>
            </w:r>
          </w:p>
        </w:tc>
        <w:tc>
          <w:tcPr>
            <w:tcW w:w="13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远期</w:t>
            </w: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68.59 </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68.34 </w:t>
            </w:r>
          </w:p>
        </w:tc>
        <w:tc>
          <w:tcPr>
            <w:tcW w:w="13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69.08 </w:t>
            </w:r>
          </w:p>
        </w:tc>
        <w:tc>
          <w:tcPr>
            <w:tcW w:w="1389"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68.09 </w:t>
            </w:r>
          </w:p>
        </w:tc>
        <w:tc>
          <w:tcPr>
            <w:tcW w:w="138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75.13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4" w:type="dxa"/>
            <w:vMerge w:val="restart"/>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萍州大桥西匝道</w:t>
            </w: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近期</w:t>
            </w: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55.16 </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52.05 </w:t>
            </w:r>
          </w:p>
        </w:tc>
        <w:tc>
          <w:tcPr>
            <w:tcW w:w="138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60.69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55.31 </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51.94 </w:t>
            </w:r>
          </w:p>
        </w:tc>
        <w:tc>
          <w:tcPr>
            <w:tcW w:w="138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60.68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中期</w:t>
            </w: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55.04 </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52.11 </w:t>
            </w:r>
          </w:p>
        </w:tc>
        <w:tc>
          <w:tcPr>
            <w:tcW w:w="138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60.69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55.29 </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51.95 </w:t>
            </w:r>
          </w:p>
        </w:tc>
        <w:tc>
          <w:tcPr>
            <w:tcW w:w="138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60.68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远期</w:t>
            </w: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54.77 </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52.24 </w:t>
            </w:r>
          </w:p>
        </w:tc>
        <w:tc>
          <w:tcPr>
            <w:tcW w:w="138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60.69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rPr>
        <w:tc>
          <w:tcPr>
            <w:tcW w:w="22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04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夜间</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55.26 </w:t>
            </w:r>
          </w:p>
        </w:tc>
        <w:tc>
          <w:tcPr>
            <w:tcW w:w="138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51.98 </w:t>
            </w:r>
          </w:p>
        </w:tc>
        <w:tc>
          <w:tcPr>
            <w:tcW w:w="138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 xml:space="preserve">60.68 </w:t>
            </w:r>
          </w:p>
        </w:tc>
      </w:tr>
    </w:tbl>
    <w:p>
      <w:pPr>
        <w:pageBreakBefore w:val="0"/>
        <w:kinsoku/>
        <w:wordWrap/>
        <w:overflowPunct/>
        <w:topLinePunct w:val="0"/>
        <w:bidi w:val="0"/>
        <w:adjustRightInd w:val="0"/>
        <w:snapToGrid w:val="0"/>
        <w:spacing w:before="156" w:line="360" w:lineRule="auto"/>
        <w:rPr>
          <w:rFonts w:hint="default" w:ascii="Times New Roman" w:hAnsi="Times New Roman" w:cs="Times New Roman"/>
          <w:color w:val="auto"/>
          <w:sz w:val="21"/>
          <w:szCs w:val="21"/>
          <w:highlight w:val="none"/>
          <w:u w:val="none" w:color="auto"/>
        </w:rPr>
        <w:sectPr>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keepLines/>
        <w:pageBreakBefore w:val="0"/>
        <w:widowControl w:val="0"/>
        <w:numPr>
          <w:ilvl w:val="0"/>
          <w:numId w:val="3"/>
        </w:numPr>
        <w:kinsoku/>
        <w:wordWrap/>
        <w:overflowPunct/>
        <w:topLinePunct w:val="0"/>
        <w:bidi w:val="0"/>
        <w:adjustRightInd w:val="0"/>
        <w:snapToGrid w:val="0"/>
        <w:spacing w:line="360" w:lineRule="auto"/>
        <w:ind w:left="0" w:firstLine="0" w:firstLineChars="0"/>
        <w:jc w:val="both"/>
        <w:outlineLvl w:val="0"/>
        <w:rPr>
          <w:rFonts w:hint="default" w:ascii="Times New Roman" w:hAnsi="Times New Roman" w:eastAsia="宋体" w:cs="Times New Roman"/>
          <w:b/>
          <w:bCs/>
          <w:kern w:val="44"/>
          <w:sz w:val="21"/>
          <w:szCs w:val="21"/>
          <w:highlight w:val="none"/>
          <w:u w:val="none" w:color="auto"/>
          <w:lang w:val="en-US" w:eastAsia="zh-CN" w:bidi="ar-SA"/>
        </w:rPr>
      </w:pPr>
      <w:bookmarkStart w:id="107" w:name="OLE_LINK1"/>
      <w:bookmarkStart w:id="108" w:name="_Toc9182"/>
      <w:bookmarkStart w:id="109" w:name="_Toc20973"/>
      <w:bookmarkStart w:id="110" w:name="_Toc32198"/>
      <w:r>
        <w:rPr>
          <w:rFonts w:hint="default" w:ascii="Times New Roman" w:hAnsi="Times New Roman" w:eastAsia="宋体" w:cs="Times New Roman"/>
          <w:b/>
          <w:bCs/>
          <w:kern w:val="44"/>
          <w:sz w:val="21"/>
          <w:szCs w:val="21"/>
          <w:highlight w:val="none"/>
          <w:u w:val="none" w:color="auto"/>
          <w:lang w:val="en-US" w:eastAsia="zh-CN" w:bidi="ar-SA"/>
        </w:rPr>
        <w:t>声环境现状</w:t>
      </w:r>
      <w:bookmarkEnd w:id="107"/>
      <w:r>
        <w:rPr>
          <w:rFonts w:hint="default" w:ascii="Times New Roman" w:hAnsi="Times New Roman" w:eastAsia="宋体" w:cs="Times New Roman"/>
          <w:b/>
          <w:bCs/>
          <w:kern w:val="44"/>
          <w:sz w:val="21"/>
          <w:szCs w:val="21"/>
          <w:highlight w:val="none"/>
          <w:u w:val="none" w:color="auto"/>
          <w:lang w:val="en-US" w:eastAsia="zh-CN" w:bidi="ar-SA"/>
        </w:rPr>
        <w:t>调查与评价</w:t>
      </w:r>
      <w:bookmarkEnd w:id="108"/>
      <w:bookmarkEnd w:id="109"/>
      <w:bookmarkEnd w:id="110"/>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声环境现状监测内容</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kern w:val="2"/>
          <w:sz w:val="21"/>
          <w:szCs w:val="21"/>
          <w:highlight w:val="none"/>
          <w:u w:val="none" w:color="auto"/>
        </w:rPr>
      </w:pPr>
      <w:r>
        <w:rPr>
          <w:rFonts w:hint="default" w:ascii="Times New Roman" w:hAnsi="Times New Roman" w:cs="Times New Roman"/>
          <w:kern w:val="2"/>
          <w:sz w:val="21"/>
          <w:szCs w:val="21"/>
          <w:highlight w:val="none"/>
          <w:u w:val="none" w:color="auto"/>
        </w:rPr>
        <w:t>（1）敏感点噪声</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kern w:val="2"/>
          <w:sz w:val="21"/>
          <w:szCs w:val="21"/>
          <w:highlight w:val="none"/>
          <w:u w:val="none" w:color="auto"/>
        </w:rPr>
      </w:pPr>
      <w:r>
        <w:rPr>
          <w:rFonts w:hint="default" w:ascii="Times New Roman" w:hAnsi="Times New Roman" w:cs="Times New Roman"/>
          <w:kern w:val="2"/>
          <w:sz w:val="21"/>
          <w:szCs w:val="21"/>
          <w:highlight w:val="none"/>
          <w:u w:val="none" w:color="auto"/>
        </w:rPr>
        <w:t>①监测点位</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kern w:val="2"/>
          <w:sz w:val="21"/>
          <w:szCs w:val="21"/>
          <w:highlight w:val="none"/>
          <w:u w:val="none" w:color="auto"/>
        </w:rPr>
      </w:pPr>
      <w:r>
        <w:rPr>
          <w:rFonts w:hint="default" w:ascii="Times New Roman" w:hAnsi="Times New Roman" w:cs="Times New Roman"/>
          <w:color w:val="auto"/>
          <w:spacing w:val="0"/>
          <w:w w:val="100"/>
          <w:kern w:val="2"/>
          <w:position w:val="0"/>
          <w:sz w:val="21"/>
          <w:szCs w:val="21"/>
          <w:u w:val="none" w:color="auto"/>
          <w:lang w:eastAsia="zh-CN"/>
        </w:rPr>
        <w:t>根据《环境影响评价技术导则 声环境》（HJ2.4—2021）“</w:t>
      </w:r>
      <w:r>
        <w:rPr>
          <w:rFonts w:hint="default" w:ascii="Times New Roman" w:hAnsi="Times New Roman" w:cs="Times New Roman"/>
          <w:color w:val="auto"/>
          <w:spacing w:val="0"/>
          <w:w w:val="100"/>
          <w:kern w:val="2"/>
          <w:position w:val="0"/>
          <w:sz w:val="21"/>
          <w:szCs w:val="21"/>
          <w:u w:val="none" w:color="auto"/>
          <w:lang w:val="en-US" w:eastAsia="zh-CN"/>
        </w:rPr>
        <w:t>7.2.1评价范围内具有代表性的声环境保护目标的声环境质量现状需要现场监测，其余声环境保护目标的声环境质量现状可通过类比或现场监测结合模型计算给出。</w:t>
      </w:r>
      <w:r>
        <w:rPr>
          <w:rFonts w:hint="default" w:ascii="Times New Roman" w:hAnsi="Times New Roman" w:cs="Times New Roman"/>
          <w:color w:val="auto"/>
          <w:spacing w:val="0"/>
          <w:w w:val="100"/>
          <w:kern w:val="2"/>
          <w:position w:val="0"/>
          <w:sz w:val="21"/>
          <w:szCs w:val="21"/>
          <w:u w:val="none" w:color="auto"/>
          <w:lang w:eastAsia="zh-CN"/>
        </w:rPr>
        <w:t>”因此</w:t>
      </w:r>
      <w:r>
        <w:rPr>
          <w:rFonts w:hint="default" w:ascii="Times New Roman" w:hAnsi="Times New Roman" w:eastAsia="宋体" w:cs="Times New Roman"/>
          <w:color w:val="auto"/>
          <w:spacing w:val="0"/>
          <w:w w:val="100"/>
          <w:kern w:val="2"/>
          <w:position w:val="0"/>
          <w:sz w:val="21"/>
          <w:szCs w:val="21"/>
          <w:u w:val="none" w:color="auto"/>
          <w:lang w:eastAsia="zh-CN"/>
        </w:rPr>
        <w:t>项目选取有代表性噪声敏感点进行现状监测，</w:t>
      </w:r>
      <w:r>
        <w:rPr>
          <w:rFonts w:hint="default" w:ascii="Times New Roman" w:hAnsi="Times New Roman" w:cs="Times New Roman"/>
          <w:color w:val="auto"/>
          <w:spacing w:val="0"/>
          <w:w w:val="100"/>
          <w:kern w:val="2"/>
          <w:position w:val="0"/>
          <w:sz w:val="21"/>
          <w:szCs w:val="21"/>
          <w:u w:val="none" w:color="auto"/>
          <w:lang w:eastAsia="zh-CN"/>
        </w:rPr>
        <w:t>其余声环境敏感点通过类比同路况数据获得。</w:t>
      </w:r>
      <w:r>
        <w:rPr>
          <w:rFonts w:hint="default" w:ascii="Times New Roman" w:hAnsi="Times New Roman" w:cs="Times New Roman"/>
          <w:color w:val="auto"/>
          <w:kern w:val="2"/>
          <w:sz w:val="21"/>
          <w:szCs w:val="21"/>
          <w:highlight w:val="none"/>
          <w:u w:val="none" w:color="auto"/>
        </w:rPr>
        <w:t>根据沿线敏感点分布情况，本次监测布点如下</w:t>
      </w:r>
      <w:r>
        <w:rPr>
          <w:rFonts w:hint="default" w:ascii="Times New Roman" w:hAnsi="Times New Roman" w:cs="Times New Roman"/>
          <w:kern w:val="2"/>
          <w:sz w:val="21"/>
          <w:szCs w:val="21"/>
          <w:highlight w:val="none"/>
          <w:u w:val="none" w:color="auto"/>
        </w:rPr>
        <w:t>，监测点位见附图</w:t>
      </w:r>
      <w:r>
        <w:rPr>
          <w:rFonts w:hint="eastAsia" w:cs="Times New Roman"/>
          <w:kern w:val="2"/>
          <w:sz w:val="21"/>
          <w:szCs w:val="21"/>
          <w:highlight w:val="none"/>
          <w:u w:val="none" w:color="auto"/>
          <w:lang w:eastAsia="zh-CN"/>
        </w:rPr>
        <w:t>，</w:t>
      </w:r>
      <w:r>
        <w:rPr>
          <w:rFonts w:hint="default" w:ascii="Times New Roman" w:hAnsi="Times New Roman" w:cs="Times New Roman"/>
          <w:kern w:val="2"/>
          <w:sz w:val="21"/>
          <w:szCs w:val="21"/>
          <w:highlight w:val="none"/>
          <w:u w:val="none" w:color="auto"/>
        </w:rPr>
        <w:t>具体敏感点见</w:t>
      </w:r>
      <w:r>
        <w:rPr>
          <w:rFonts w:hint="eastAsia" w:cs="Times New Roman"/>
          <w:kern w:val="2"/>
          <w:sz w:val="21"/>
          <w:szCs w:val="21"/>
          <w:highlight w:val="none"/>
          <w:u w:val="none" w:color="auto"/>
          <w:lang w:val="en-US" w:eastAsia="zh-CN"/>
        </w:rPr>
        <w:t>表1-3</w:t>
      </w:r>
      <w:r>
        <w:rPr>
          <w:rFonts w:hint="default" w:ascii="Times New Roman" w:hAnsi="Times New Roman" w:cs="Times New Roman"/>
          <w:kern w:val="2"/>
          <w:sz w:val="21"/>
          <w:szCs w:val="21"/>
          <w:highlight w:val="none"/>
          <w:u w:val="none" w:color="auto"/>
        </w:rPr>
        <w:t>。</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kern w:val="2"/>
          <w:sz w:val="21"/>
          <w:szCs w:val="21"/>
          <w:highlight w:val="none"/>
          <w:u w:val="none" w:color="auto"/>
        </w:rPr>
      </w:pPr>
      <w:r>
        <w:rPr>
          <w:rFonts w:hint="default" w:ascii="Times New Roman" w:hAnsi="Times New Roman" w:cs="Times New Roman"/>
          <w:kern w:val="2"/>
          <w:sz w:val="21"/>
          <w:szCs w:val="21"/>
          <w:highlight w:val="none"/>
          <w:u w:val="none" w:color="auto"/>
        </w:rPr>
        <w:t>②监测项目</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kern w:val="2"/>
          <w:sz w:val="21"/>
          <w:szCs w:val="21"/>
          <w:highlight w:val="none"/>
          <w:u w:val="none" w:color="auto"/>
        </w:rPr>
      </w:pPr>
      <w:r>
        <w:rPr>
          <w:rFonts w:hint="default" w:ascii="Times New Roman" w:hAnsi="Times New Roman" w:cs="Times New Roman"/>
          <w:kern w:val="2"/>
          <w:sz w:val="21"/>
          <w:szCs w:val="21"/>
          <w:highlight w:val="none"/>
          <w:u w:val="none" w:color="auto"/>
        </w:rPr>
        <w:t>等效连续A声级LAeq。</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kern w:val="2"/>
          <w:sz w:val="21"/>
          <w:szCs w:val="21"/>
          <w:highlight w:val="none"/>
          <w:u w:val="none" w:color="auto"/>
        </w:rPr>
      </w:pPr>
      <w:r>
        <w:rPr>
          <w:rFonts w:hint="default" w:ascii="Times New Roman" w:hAnsi="Times New Roman" w:cs="Times New Roman"/>
          <w:kern w:val="2"/>
          <w:sz w:val="21"/>
          <w:szCs w:val="21"/>
          <w:highlight w:val="none"/>
          <w:u w:val="none" w:color="auto"/>
        </w:rPr>
        <w:t>③监测时间和频率</w:t>
      </w:r>
    </w:p>
    <w:p>
      <w:pPr>
        <w:pageBreakBefore w:val="0"/>
        <w:kinsoku/>
        <w:wordWrap/>
        <w:overflowPunct/>
        <w:topLinePunct w:val="0"/>
        <w:bidi w:val="0"/>
        <w:adjustRightInd w:val="0"/>
        <w:snapToGrid w:val="0"/>
        <w:spacing w:line="360" w:lineRule="auto"/>
        <w:ind w:firstLine="420" w:firstLineChars="200"/>
        <w:rPr>
          <w:rFonts w:hint="eastAsia" w:ascii="Times New Roman" w:hAnsi="Times New Roman" w:eastAsia="宋体" w:cs="Times New Roman"/>
          <w:kern w:val="2"/>
          <w:sz w:val="21"/>
          <w:szCs w:val="21"/>
          <w:highlight w:val="none"/>
          <w:u w:val="none" w:color="auto"/>
          <w:lang w:eastAsia="zh-CN"/>
        </w:rPr>
      </w:pPr>
      <w:r>
        <w:rPr>
          <w:rFonts w:hint="default" w:ascii="Times New Roman" w:hAnsi="Times New Roman" w:cs="Times New Roman"/>
          <w:kern w:val="2"/>
          <w:sz w:val="21"/>
          <w:szCs w:val="21"/>
          <w:highlight w:val="none"/>
          <w:u w:val="none" w:color="auto"/>
        </w:rPr>
        <w:t>连续监测2天，昼夜各1次</w:t>
      </w:r>
      <w:r>
        <w:rPr>
          <w:rFonts w:hint="eastAsia" w:cs="Times New Roman"/>
          <w:kern w:val="2"/>
          <w:sz w:val="21"/>
          <w:szCs w:val="21"/>
          <w:highlight w:val="none"/>
          <w:u w:val="none" w:color="auto"/>
          <w:lang w:eastAsia="zh-CN"/>
        </w:rPr>
        <w:t>。</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eastAsia" w:ascii="Times New Roman" w:hAnsi="Times New Roman" w:eastAsia="宋体" w:cs="Times New Roman"/>
          <w:b/>
          <w:color w:val="000000"/>
          <w:kern w:val="21"/>
          <w:sz w:val="21"/>
          <w:szCs w:val="21"/>
          <w:highlight w:val="none"/>
          <w:u w:val="none" w:color="auto"/>
          <w:lang w:val="en-US" w:eastAsia="zh-CN" w:bidi="ar-SA"/>
        </w:rPr>
        <w:t xml:space="preserve">表3-1 </w:t>
      </w:r>
      <w:r>
        <w:rPr>
          <w:rFonts w:hint="default" w:ascii="Times New Roman" w:hAnsi="Times New Roman" w:eastAsia="宋体" w:cs="Times New Roman"/>
          <w:b/>
          <w:color w:val="000000"/>
          <w:kern w:val="21"/>
          <w:sz w:val="21"/>
          <w:szCs w:val="21"/>
          <w:highlight w:val="none"/>
          <w:u w:val="none" w:color="auto"/>
          <w:lang w:val="en-US" w:eastAsia="zh-CN" w:bidi="ar-SA"/>
        </w:rPr>
        <w:t>噪声敏感点现状监测点位一览表</w:t>
      </w:r>
    </w:p>
    <w:tbl>
      <w:tblPr>
        <w:tblStyle w:val="4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2174"/>
        <w:gridCol w:w="1409"/>
        <w:gridCol w:w="1319"/>
        <w:gridCol w:w="1460"/>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3" w:type="dxa"/>
            <w:vMerge w:val="restart"/>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序号</w:t>
            </w:r>
          </w:p>
        </w:tc>
        <w:tc>
          <w:tcPr>
            <w:tcW w:w="2174" w:type="dxa"/>
            <w:vMerge w:val="restart"/>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监测点名称</w:t>
            </w:r>
          </w:p>
        </w:tc>
        <w:tc>
          <w:tcPr>
            <w:tcW w:w="2728" w:type="dxa"/>
            <w:gridSpan w:val="2"/>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坐标</w:t>
            </w:r>
          </w:p>
        </w:tc>
        <w:tc>
          <w:tcPr>
            <w:tcW w:w="1460" w:type="dxa"/>
            <w:vMerge w:val="restart"/>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监测点距道路红线距离/m</w:t>
            </w:r>
          </w:p>
        </w:tc>
        <w:tc>
          <w:tcPr>
            <w:tcW w:w="1557" w:type="dxa"/>
            <w:vMerge w:val="restart"/>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监测点距道路中心线距离/m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3"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2174"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40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经度/°</w:t>
            </w:r>
          </w:p>
        </w:tc>
        <w:tc>
          <w:tcPr>
            <w:tcW w:w="131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纬度/°</w:t>
            </w:r>
          </w:p>
        </w:tc>
        <w:tc>
          <w:tcPr>
            <w:tcW w:w="1460"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c>
          <w:tcPr>
            <w:tcW w:w="1557" w:type="dxa"/>
            <w:vMerge w:val="continue"/>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1</w:t>
            </w:r>
          </w:p>
        </w:tc>
        <w:tc>
          <w:tcPr>
            <w:tcW w:w="217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老渡口社区居民委员会及居民委员会旁居民</w:t>
            </w:r>
          </w:p>
        </w:tc>
        <w:tc>
          <w:tcPr>
            <w:tcW w:w="140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111.61355138</w:t>
            </w:r>
          </w:p>
        </w:tc>
        <w:tc>
          <w:tcPr>
            <w:tcW w:w="131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26.23404700</w:t>
            </w:r>
          </w:p>
        </w:tc>
        <w:tc>
          <w:tcPr>
            <w:tcW w:w="146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9</w:t>
            </w:r>
          </w:p>
        </w:tc>
        <w:tc>
          <w:tcPr>
            <w:tcW w:w="155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2</w:t>
            </w:r>
          </w:p>
        </w:tc>
        <w:tc>
          <w:tcPr>
            <w:tcW w:w="217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萍阳北路居民点</w:t>
            </w:r>
          </w:p>
        </w:tc>
        <w:tc>
          <w:tcPr>
            <w:tcW w:w="140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111.60990894</w:t>
            </w:r>
          </w:p>
        </w:tc>
        <w:tc>
          <w:tcPr>
            <w:tcW w:w="131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26.24188045</w:t>
            </w:r>
          </w:p>
        </w:tc>
        <w:tc>
          <w:tcPr>
            <w:tcW w:w="146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82</w:t>
            </w:r>
          </w:p>
        </w:tc>
        <w:tc>
          <w:tcPr>
            <w:tcW w:w="155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3</w:t>
            </w:r>
          </w:p>
        </w:tc>
        <w:tc>
          <w:tcPr>
            <w:tcW w:w="217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梨头尖居民点</w:t>
            </w:r>
          </w:p>
        </w:tc>
        <w:tc>
          <w:tcPr>
            <w:tcW w:w="140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111.60920888</w:t>
            </w:r>
          </w:p>
        </w:tc>
        <w:tc>
          <w:tcPr>
            <w:tcW w:w="131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26.24481906</w:t>
            </w:r>
          </w:p>
        </w:tc>
        <w:tc>
          <w:tcPr>
            <w:tcW w:w="146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w:t>
            </w:r>
          </w:p>
        </w:tc>
        <w:tc>
          <w:tcPr>
            <w:tcW w:w="155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4</w:t>
            </w:r>
          </w:p>
        </w:tc>
        <w:tc>
          <w:tcPr>
            <w:tcW w:w="217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君诚学校</w:t>
            </w:r>
          </w:p>
        </w:tc>
        <w:tc>
          <w:tcPr>
            <w:tcW w:w="140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111.61028981</w:t>
            </w:r>
          </w:p>
        </w:tc>
        <w:tc>
          <w:tcPr>
            <w:tcW w:w="131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26.24005205</w:t>
            </w:r>
          </w:p>
        </w:tc>
        <w:tc>
          <w:tcPr>
            <w:tcW w:w="146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144</w:t>
            </w:r>
          </w:p>
        </w:tc>
        <w:tc>
          <w:tcPr>
            <w:tcW w:w="155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0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5</w:t>
            </w:r>
          </w:p>
        </w:tc>
        <w:tc>
          <w:tcPr>
            <w:tcW w:w="217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原化工集团宿舍</w:t>
            </w:r>
          </w:p>
        </w:tc>
        <w:tc>
          <w:tcPr>
            <w:tcW w:w="140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111.61149681</w:t>
            </w:r>
          </w:p>
        </w:tc>
        <w:tc>
          <w:tcPr>
            <w:tcW w:w="131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26.23923889</w:t>
            </w:r>
          </w:p>
        </w:tc>
        <w:tc>
          <w:tcPr>
            <w:tcW w:w="146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val="0"/>
                <w:kern w:val="2"/>
                <w:sz w:val="21"/>
                <w:szCs w:val="21"/>
                <w:u w:val="none" w:color="auto"/>
                <w:lang w:val="en-US" w:eastAsia="zh-CN" w:bidi="ar-SA"/>
              </w:rPr>
              <w:t>62</w:t>
            </w:r>
          </w:p>
        </w:tc>
        <w:tc>
          <w:tcPr>
            <w:tcW w:w="155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83</w:t>
            </w:r>
          </w:p>
        </w:tc>
      </w:tr>
    </w:tbl>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采样及分析方法</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按照《声环境质量标准》（GB3096-2008）等相关规定的方法和要求进行。</w:t>
      </w:r>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监测结果统计</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kern w:val="2"/>
          <w:sz w:val="21"/>
          <w:szCs w:val="21"/>
          <w:highlight w:val="none"/>
          <w:u w:val="none" w:color="auto"/>
        </w:rPr>
      </w:pPr>
      <w:r>
        <w:rPr>
          <w:rFonts w:hint="default" w:ascii="Times New Roman" w:hAnsi="Times New Roman" w:cs="Times New Roman"/>
          <w:kern w:val="2"/>
          <w:sz w:val="21"/>
          <w:szCs w:val="21"/>
          <w:highlight w:val="none"/>
          <w:u w:val="none" w:color="auto"/>
        </w:rPr>
        <w:t>敏感点噪声现状监测结果见</w:t>
      </w:r>
      <w:r>
        <w:rPr>
          <w:rFonts w:hint="eastAsia" w:cs="Times New Roman"/>
          <w:kern w:val="2"/>
          <w:sz w:val="21"/>
          <w:szCs w:val="21"/>
          <w:highlight w:val="none"/>
          <w:u w:val="none" w:color="auto"/>
          <w:lang w:val="en-US" w:eastAsia="zh-CN"/>
        </w:rPr>
        <w:t>表3-2</w:t>
      </w:r>
      <w:r>
        <w:rPr>
          <w:rFonts w:hint="default" w:ascii="Times New Roman" w:hAnsi="Times New Roman" w:cs="Times New Roman"/>
          <w:kern w:val="2"/>
          <w:sz w:val="21"/>
          <w:szCs w:val="21"/>
          <w:highlight w:val="none"/>
          <w:u w:val="none" w:color="auto"/>
          <w:lang w:val="en-US" w:eastAsia="zh-CN"/>
        </w:rPr>
        <w:t>。</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bookmarkStart w:id="111" w:name="_Toc10733"/>
      <w:r>
        <w:rPr>
          <w:rFonts w:hint="eastAsia" w:ascii="Times New Roman" w:hAnsi="Times New Roman" w:eastAsia="宋体" w:cs="Times New Roman"/>
          <w:b/>
          <w:color w:val="000000"/>
          <w:kern w:val="21"/>
          <w:sz w:val="21"/>
          <w:szCs w:val="21"/>
          <w:highlight w:val="none"/>
          <w:u w:val="none" w:color="auto"/>
          <w:lang w:val="en-US" w:eastAsia="zh-CN" w:bidi="ar-SA"/>
        </w:rPr>
        <w:t xml:space="preserve">表3-2 </w:t>
      </w:r>
      <w:r>
        <w:rPr>
          <w:rFonts w:hint="default" w:ascii="Times New Roman" w:hAnsi="Times New Roman" w:eastAsia="宋体" w:cs="Times New Roman"/>
          <w:b/>
          <w:color w:val="000000"/>
          <w:kern w:val="21"/>
          <w:sz w:val="21"/>
          <w:szCs w:val="21"/>
          <w:highlight w:val="none"/>
          <w:u w:val="none" w:color="auto"/>
          <w:lang w:val="en-US" w:eastAsia="zh-CN" w:bidi="ar-SA"/>
        </w:rPr>
        <w:t>敏感点噪声监测结果统计表</w:t>
      </w:r>
      <w:bookmarkEnd w:id="111"/>
    </w:p>
    <w:tbl>
      <w:tblPr>
        <w:tblStyle w:val="40"/>
        <w:tblW w:w="8523" w:type="dxa"/>
        <w:jc w:val="center"/>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07"/>
        <w:gridCol w:w="2641"/>
        <w:gridCol w:w="1081"/>
        <w:gridCol w:w="1138"/>
        <w:gridCol w:w="1193"/>
        <w:gridCol w:w="126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tblHeader/>
          <w:jc w:val="center"/>
        </w:trPr>
        <w:tc>
          <w:tcPr>
            <w:tcW w:w="1207"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采样时间</w:t>
            </w:r>
          </w:p>
        </w:tc>
        <w:tc>
          <w:tcPr>
            <w:tcW w:w="2641"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点位名称</w:t>
            </w:r>
          </w:p>
        </w:tc>
        <w:tc>
          <w:tcPr>
            <w:tcW w:w="4675" w:type="dxa"/>
            <w:gridSpan w:val="4"/>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检测结果</w:t>
            </w:r>
            <w:r>
              <w:rPr>
                <w:rFonts w:ascii="Times New Roman" w:hAnsi="Times New Roman" w:eastAsia="宋体" w:cs="Times New Roman"/>
                <w:kern w:val="2"/>
                <w:sz w:val="21"/>
                <w:szCs w:val="21"/>
                <w:highlight w:val="none"/>
                <w:lang w:val="en-US" w:eastAsia="zh-CN" w:bidi="ar-SA"/>
              </w:rPr>
              <w:t>dB（A）</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tblHeader/>
          <w:jc w:val="center"/>
        </w:trPr>
        <w:tc>
          <w:tcPr>
            <w:tcW w:w="120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64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1081"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kern w:val="2"/>
                <w:sz w:val="21"/>
                <w:szCs w:val="21"/>
                <w:highlight w:val="none"/>
                <w:lang w:val="en-US" w:eastAsia="zh-CN" w:bidi="ar-SA"/>
              </w:rPr>
            </w:pPr>
            <w:r>
              <w:rPr>
                <w:rFonts w:ascii="Times New Roman" w:hAnsi="Times New Roman" w:eastAsia="宋体" w:cs="Times New Roman"/>
                <w:kern w:val="2"/>
                <w:sz w:val="21"/>
                <w:szCs w:val="21"/>
                <w:highlight w:val="none"/>
                <w:lang w:val="en-US" w:eastAsia="zh-CN" w:bidi="ar-SA"/>
              </w:rPr>
              <w:t>昼间</w:t>
            </w:r>
          </w:p>
        </w:tc>
        <w:tc>
          <w:tcPr>
            <w:tcW w:w="1138"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夜间</w:t>
            </w:r>
          </w:p>
        </w:tc>
        <w:tc>
          <w:tcPr>
            <w:tcW w:w="2456"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参考限值</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tblHeader/>
          <w:jc w:val="center"/>
        </w:trPr>
        <w:tc>
          <w:tcPr>
            <w:tcW w:w="120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64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1081"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Times New Roman"/>
                <w:kern w:val="2"/>
                <w:sz w:val="21"/>
                <w:szCs w:val="21"/>
                <w:highlight w:val="none"/>
                <w:lang w:val="en-US" w:eastAsia="zh-CN" w:bidi="ar-SA"/>
              </w:rPr>
            </w:pPr>
          </w:p>
        </w:tc>
        <w:tc>
          <w:tcPr>
            <w:tcW w:w="1138"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昼间</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jc w:val="center"/>
        </w:trPr>
        <w:tc>
          <w:tcPr>
            <w:tcW w:w="12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lang w:val="en-US" w:eastAsia="zh-CN"/>
              </w:rPr>
              <w:t>2024.12.</w:t>
            </w:r>
            <w:r>
              <w:rPr>
                <w:rFonts w:hint="eastAsia" w:cs="Times New Roman"/>
                <w:sz w:val="21"/>
                <w:szCs w:val="21"/>
                <w:lang w:val="en-US" w:eastAsia="zh-CN"/>
              </w:rPr>
              <w:t>9-12.10</w:t>
            </w:r>
          </w:p>
        </w:tc>
        <w:tc>
          <w:tcPr>
            <w:tcW w:w="2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1</w:t>
            </w:r>
            <w:r>
              <w:rPr>
                <w:rFonts w:hint="default" w:ascii="Times New Roman" w:hAnsi="Times New Roman" w:eastAsia="宋体" w:cs="Times New Roman"/>
                <w:kern w:val="2"/>
                <w:sz w:val="21"/>
                <w:szCs w:val="21"/>
                <w:highlight w:val="none"/>
                <w:lang w:val="en-US" w:eastAsia="zh-CN" w:bidi="ar-SA"/>
              </w:rPr>
              <w:t>老渡口社区居民委员会及居民委员会旁居民</w:t>
            </w:r>
          </w:p>
        </w:tc>
        <w:tc>
          <w:tcPr>
            <w:tcW w:w="10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57.7</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47.3</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60</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jc w:val="center"/>
        </w:trPr>
        <w:tc>
          <w:tcPr>
            <w:tcW w:w="120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2</w:t>
            </w:r>
            <w:r>
              <w:rPr>
                <w:rFonts w:hint="eastAsia" w:ascii="Times New Roman" w:hAnsi="Times New Roman" w:eastAsia="宋体" w:cs="Times New Roman"/>
                <w:kern w:val="2"/>
                <w:sz w:val="21"/>
                <w:szCs w:val="21"/>
                <w:highlight w:val="none"/>
                <w:lang w:val="en-US" w:eastAsia="zh-CN" w:bidi="ar-SA"/>
              </w:rPr>
              <w:t>萍阳北路居民点</w:t>
            </w:r>
          </w:p>
        </w:tc>
        <w:tc>
          <w:tcPr>
            <w:tcW w:w="10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55.6</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46.9</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60</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jc w:val="center"/>
        </w:trPr>
        <w:tc>
          <w:tcPr>
            <w:tcW w:w="120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3</w:t>
            </w:r>
            <w:r>
              <w:rPr>
                <w:rFonts w:hint="default" w:ascii="Times New Roman" w:hAnsi="Times New Roman" w:eastAsia="宋体" w:cs="Times New Roman"/>
                <w:kern w:val="2"/>
                <w:sz w:val="21"/>
                <w:szCs w:val="21"/>
                <w:highlight w:val="none"/>
                <w:lang w:val="en-US" w:eastAsia="zh-CN" w:bidi="ar-SA"/>
              </w:rPr>
              <w:t>梨头尖居民点</w:t>
            </w:r>
          </w:p>
        </w:tc>
        <w:tc>
          <w:tcPr>
            <w:tcW w:w="10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55.7</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46.2</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60</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jc w:val="center"/>
        </w:trPr>
        <w:tc>
          <w:tcPr>
            <w:tcW w:w="120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4</w:t>
            </w:r>
            <w:r>
              <w:rPr>
                <w:rFonts w:hint="default" w:ascii="Times New Roman" w:hAnsi="Times New Roman" w:eastAsia="宋体" w:cs="Times New Roman"/>
                <w:kern w:val="2"/>
                <w:sz w:val="21"/>
                <w:szCs w:val="21"/>
                <w:highlight w:val="none"/>
                <w:lang w:val="en-US" w:eastAsia="zh-CN" w:bidi="ar-SA"/>
              </w:rPr>
              <w:t>君诚学校</w:t>
            </w:r>
          </w:p>
        </w:tc>
        <w:tc>
          <w:tcPr>
            <w:tcW w:w="10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57.6</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45.2</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60</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jc w:val="center"/>
        </w:trPr>
        <w:tc>
          <w:tcPr>
            <w:tcW w:w="120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64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5</w:t>
            </w:r>
            <w:r>
              <w:rPr>
                <w:rFonts w:hint="default" w:ascii="Times New Roman" w:hAnsi="Times New Roman" w:eastAsia="宋体" w:cs="Times New Roman"/>
                <w:kern w:val="2"/>
                <w:sz w:val="21"/>
                <w:szCs w:val="21"/>
                <w:highlight w:val="none"/>
                <w:lang w:val="en-US" w:eastAsia="zh-CN" w:bidi="ar-SA"/>
              </w:rPr>
              <w:t>原化工集团宿舍</w:t>
            </w:r>
          </w:p>
        </w:tc>
        <w:tc>
          <w:tcPr>
            <w:tcW w:w="10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55.4</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45.2</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60</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jc w:val="center"/>
        </w:trPr>
        <w:tc>
          <w:tcPr>
            <w:tcW w:w="12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lang w:val="en-US" w:eastAsia="zh-CN"/>
              </w:rPr>
              <w:t>2024.12.</w:t>
            </w:r>
            <w:r>
              <w:rPr>
                <w:rFonts w:hint="eastAsia" w:cs="Times New Roman"/>
                <w:sz w:val="21"/>
                <w:szCs w:val="21"/>
                <w:lang w:val="en-US" w:eastAsia="zh-CN"/>
              </w:rPr>
              <w:t>10-12.11</w:t>
            </w:r>
          </w:p>
        </w:tc>
        <w:tc>
          <w:tcPr>
            <w:tcW w:w="264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1</w:t>
            </w:r>
            <w:r>
              <w:rPr>
                <w:rFonts w:hint="default" w:ascii="Times New Roman" w:hAnsi="Times New Roman" w:eastAsia="宋体" w:cs="Times New Roman"/>
                <w:kern w:val="2"/>
                <w:sz w:val="21"/>
                <w:szCs w:val="21"/>
                <w:highlight w:val="none"/>
                <w:lang w:val="en-US" w:eastAsia="zh-CN" w:bidi="ar-SA"/>
              </w:rPr>
              <w:t>老渡口社区居民委员会及居民委员会旁居民</w:t>
            </w:r>
          </w:p>
        </w:tc>
        <w:tc>
          <w:tcPr>
            <w:tcW w:w="10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57.8</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47.6</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60</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jc w:val="center"/>
        </w:trPr>
        <w:tc>
          <w:tcPr>
            <w:tcW w:w="1207"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p>
        </w:tc>
        <w:tc>
          <w:tcPr>
            <w:tcW w:w="264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2</w:t>
            </w:r>
            <w:r>
              <w:rPr>
                <w:rFonts w:hint="eastAsia" w:ascii="Times New Roman" w:hAnsi="Times New Roman" w:eastAsia="宋体" w:cs="Times New Roman"/>
                <w:kern w:val="2"/>
                <w:sz w:val="21"/>
                <w:szCs w:val="21"/>
                <w:highlight w:val="none"/>
                <w:lang w:val="en-US" w:eastAsia="zh-CN" w:bidi="ar-SA"/>
              </w:rPr>
              <w:t>萍阳北路居民点</w:t>
            </w:r>
          </w:p>
        </w:tc>
        <w:tc>
          <w:tcPr>
            <w:tcW w:w="10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56.6</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46.5</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60</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jc w:val="center"/>
        </w:trPr>
        <w:tc>
          <w:tcPr>
            <w:tcW w:w="1207"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64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3</w:t>
            </w:r>
            <w:r>
              <w:rPr>
                <w:rFonts w:hint="default" w:ascii="Times New Roman" w:hAnsi="Times New Roman" w:eastAsia="宋体" w:cs="Times New Roman"/>
                <w:kern w:val="2"/>
                <w:sz w:val="21"/>
                <w:szCs w:val="21"/>
                <w:highlight w:val="none"/>
                <w:lang w:val="en-US" w:eastAsia="zh-CN" w:bidi="ar-SA"/>
              </w:rPr>
              <w:t>梨头尖居民点</w:t>
            </w:r>
          </w:p>
        </w:tc>
        <w:tc>
          <w:tcPr>
            <w:tcW w:w="10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55.4</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46</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60</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jc w:val="center"/>
        </w:trPr>
        <w:tc>
          <w:tcPr>
            <w:tcW w:w="1207"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64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4</w:t>
            </w:r>
            <w:r>
              <w:rPr>
                <w:rFonts w:hint="default" w:ascii="Times New Roman" w:hAnsi="Times New Roman" w:eastAsia="宋体" w:cs="Times New Roman"/>
                <w:kern w:val="2"/>
                <w:sz w:val="21"/>
                <w:szCs w:val="21"/>
                <w:highlight w:val="none"/>
                <w:lang w:val="en-US" w:eastAsia="zh-CN" w:bidi="ar-SA"/>
              </w:rPr>
              <w:t>君诚学校</w:t>
            </w:r>
          </w:p>
        </w:tc>
        <w:tc>
          <w:tcPr>
            <w:tcW w:w="10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58.2</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46</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60</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Ex>
        <w:trPr>
          <w:trHeight w:val="113" w:hRule="atLeast"/>
          <w:jc w:val="center"/>
        </w:trPr>
        <w:tc>
          <w:tcPr>
            <w:tcW w:w="1207" w:type="dxa"/>
            <w:vMerge w:val="continue"/>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highlight w:val="none"/>
                <w:lang w:val="en-US" w:eastAsia="zh-CN" w:bidi="ar-SA"/>
              </w:rPr>
            </w:pPr>
          </w:p>
        </w:tc>
        <w:tc>
          <w:tcPr>
            <w:tcW w:w="264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N</w:t>
            </w:r>
            <w:r>
              <w:rPr>
                <w:rFonts w:hint="eastAsia" w:cs="Times New Roman"/>
                <w:kern w:val="2"/>
                <w:sz w:val="21"/>
                <w:szCs w:val="21"/>
                <w:highlight w:val="none"/>
                <w:lang w:val="en-US" w:eastAsia="zh-CN" w:bidi="ar-SA"/>
              </w:rPr>
              <w:t>5</w:t>
            </w:r>
            <w:r>
              <w:rPr>
                <w:rFonts w:hint="default" w:ascii="Times New Roman" w:hAnsi="Times New Roman" w:eastAsia="宋体" w:cs="Times New Roman"/>
                <w:kern w:val="2"/>
                <w:sz w:val="21"/>
                <w:szCs w:val="21"/>
                <w:highlight w:val="none"/>
                <w:lang w:val="en-US" w:eastAsia="zh-CN" w:bidi="ar-SA"/>
              </w:rPr>
              <w:t>原化工集团宿舍</w:t>
            </w:r>
          </w:p>
        </w:tc>
        <w:tc>
          <w:tcPr>
            <w:tcW w:w="1081"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55.7</w:t>
            </w:r>
          </w:p>
        </w:tc>
        <w:tc>
          <w:tcPr>
            <w:tcW w:w="1138"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45.8</w:t>
            </w:r>
          </w:p>
        </w:tc>
        <w:tc>
          <w:tcPr>
            <w:tcW w:w="119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60</w:t>
            </w:r>
          </w:p>
        </w:tc>
        <w:tc>
          <w:tcPr>
            <w:tcW w:w="1263"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bl>
    <w:p>
      <w:pPr>
        <w:pageBreakBefore w:val="0"/>
        <w:kinsoku/>
        <w:wordWrap/>
        <w:overflowPunct/>
        <w:topLinePunct w:val="0"/>
        <w:bidi w:val="0"/>
        <w:adjustRightInd w:val="0"/>
        <w:snapToGrid w:val="0"/>
        <w:spacing w:line="360" w:lineRule="auto"/>
        <w:ind w:firstLine="420" w:firstLineChars="200"/>
        <w:rPr>
          <w:rFonts w:hint="default"/>
          <w:kern w:val="2"/>
          <w:sz w:val="21"/>
          <w:szCs w:val="21"/>
          <w:highlight w:val="none"/>
        </w:rPr>
      </w:pPr>
      <w:r>
        <w:rPr>
          <w:rFonts w:hint="default"/>
          <w:kern w:val="2"/>
          <w:sz w:val="21"/>
          <w:szCs w:val="21"/>
          <w:highlight w:val="none"/>
        </w:rPr>
        <w:t>由上表可知：项目周边声环境监测点噪声监测值均满足《声环境质量标准》(GB3096-2008</w:t>
      </w:r>
      <w:r>
        <w:rPr>
          <w:rFonts w:hint="default"/>
          <w:kern w:val="2"/>
          <w:sz w:val="21"/>
          <w:szCs w:val="21"/>
          <w:highlight w:val="none"/>
          <w:lang w:eastAsia="zh-CN"/>
        </w:rPr>
        <w:t>）</w:t>
      </w:r>
      <w:r>
        <w:rPr>
          <w:rFonts w:hint="default"/>
          <w:kern w:val="2"/>
          <w:sz w:val="21"/>
          <w:szCs w:val="21"/>
          <w:highlight w:val="none"/>
        </w:rPr>
        <w:t>中2类</w:t>
      </w:r>
      <w:r>
        <w:rPr>
          <w:rFonts w:hint="eastAsia" w:ascii="Times New Roman" w:eastAsia="宋体"/>
          <w:kern w:val="2"/>
          <w:sz w:val="21"/>
          <w:szCs w:val="21"/>
          <w:highlight w:val="none"/>
          <w:lang w:val="en-US" w:eastAsia="zh-CN"/>
        </w:rPr>
        <w:t>类</w:t>
      </w:r>
      <w:r>
        <w:rPr>
          <w:rFonts w:hint="default"/>
          <w:kern w:val="2"/>
          <w:sz w:val="21"/>
          <w:szCs w:val="21"/>
          <w:highlight w:val="none"/>
        </w:rPr>
        <w:t>标准</w:t>
      </w:r>
      <w:r>
        <w:rPr>
          <w:rFonts w:hint="default"/>
          <w:kern w:val="2"/>
          <w:sz w:val="21"/>
          <w:szCs w:val="21"/>
          <w:highlight w:val="none"/>
          <w:lang w:val="en-US" w:eastAsia="zh-CN"/>
        </w:rPr>
        <w:t>。</w:t>
      </w:r>
    </w:p>
    <w:p>
      <w:pPr>
        <w:pageBreakBefore w:val="0"/>
        <w:kinsoku/>
        <w:wordWrap/>
        <w:overflowPunct/>
        <w:topLinePunct w:val="0"/>
        <w:bidi w:val="0"/>
        <w:adjustRightInd w:val="0"/>
        <w:snapToGrid w:val="0"/>
        <w:spacing w:line="360" w:lineRule="auto"/>
        <w:rPr>
          <w:rFonts w:hint="default" w:ascii="Times New Roman" w:hAnsi="Times New Roman" w:cs="Times New Roman"/>
          <w:color w:val="auto"/>
          <w:sz w:val="21"/>
          <w:szCs w:val="21"/>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keepLines/>
        <w:pageBreakBefore w:val="0"/>
        <w:widowControl w:val="0"/>
        <w:numPr>
          <w:ilvl w:val="0"/>
          <w:numId w:val="3"/>
        </w:numPr>
        <w:kinsoku/>
        <w:wordWrap/>
        <w:overflowPunct/>
        <w:topLinePunct w:val="0"/>
        <w:bidi w:val="0"/>
        <w:adjustRightInd w:val="0"/>
        <w:snapToGrid w:val="0"/>
        <w:spacing w:line="360" w:lineRule="auto"/>
        <w:ind w:left="0" w:firstLine="0" w:firstLineChars="0"/>
        <w:jc w:val="both"/>
        <w:outlineLvl w:val="0"/>
        <w:rPr>
          <w:rFonts w:hint="default" w:ascii="Times New Roman" w:hAnsi="Times New Roman" w:eastAsia="宋体" w:cs="Times New Roman"/>
          <w:b/>
          <w:bCs/>
          <w:kern w:val="44"/>
          <w:sz w:val="21"/>
          <w:szCs w:val="21"/>
          <w:highlight w:val="none"/>
          <w:u w:val="none" w:color="auto"/>
          <w:lang w:val="en-US" w:eastAsia="zh-CN" w:bidi="ar-SA"/>
        </w:rPr>
      </w:pPr>
      <w:bookmarkStart w:id="112" w:name="_Toc6870"/>
      <w:bookmarkStart w:id="113" w:name="_Toc4068"/>
      <w:bookmarkStart w:id="114" w:name="_Toc11808"/>
      <w:r>
        <w:rPr>
          <w:rFonts w:hint="default" w:ascii="Times New Roman" w:hAnsi="Times New Roman" w:eastAsia="宋体" w:cs="Times New Roman"/>
          <w:b/>
          <w:bCs/>
          <w:kern w:val="44"/>
          <w:sz w:val="21"/>
          <w:szCs w:val="21"/>
          <w:highlight w:val="none"/>
          <w:u w:val="none" w:color="auto"/>
          <w:lang w:val="en-US" w:eastAsia="zh-CN" w:bidi="ar-SA"/>
        </w:rPr>
        <w:t>声环境影响预测与评价</w:t>
      </w:r>
      <w:bookmarkEnd w:id="112"/>
      <w:bookmarkEnd w:id="113"/>
      <w:bookmarkEnd w:id="114"/>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施工期声环境影响分析</w:t>
      </w:r>
    </w:p>
    <w:p>
      <w:pPr>
        <w:pageBreakBefore w:val="0"/>
        <w:widowControl/>
        <w:kinsoku/>
        <w:wordWrap/>
        <w:overflowPunct/>
        <w:topLinePunct w:val="0"/>
        <w:bidi w:val="0"/>
        <w:adjustRightInd w:val="0"/>
        <w:snapToGrid w:val="0"/>
        <w:spacing w:line="360" w:lineRule="auto"/>
        <w:ind w:firstLine="420" w:firstLineChars="200"/>
        <w:jc w:val="left"/>
        <w:rPr>
          <w:rFonts w:hint="default" w:ascii="Times New Roman" w:hAnsi="Times New Roman" w:cs="Times New Roman"/>
          <w:color w:val="auto"/>
          <w:kern w:val="0"/>
          <w:sz w:val="21"/>
          <w:szCs w:val="21"/>
          <w:highlight w:val="none"/>
          <w:u w:val="none" w:color="auto"/>
        </w:rPr>
      </w:pPr>
      <w:bookmarkStart w:id="115" w:name="_Ref104207856"/>
      <w:r>
        <w:rPr>
          <w:rFonts w:hint="default" w:ascii="Times New Roman" w:hAnsi="Times New Roman" w:cs="Times New Roman"/>
          <w:color w:val="auto"/>
          <w:kern w:val="0"/>
          <w:sz w:val="21"/>
          <w:szCs w:val="21"/>
          <w:highlight w:val="none"/>
          <w:u w:val="none" w:color="auto"/>
        </w:rPr>
        <w:t>道路建设施工阶段的主要噪声来自施工机械和运输车辆辐射的噪声，这部分噪声虽然是暂时的，但项目的施工期长，而且现在的施工过程采用的施工机械越来越多，而施工机械一般都具有高噪声、无规则等特点，如不加以控制，往往会对附近的</w:t>
      </w:r>
      <w:r>
        <w:rPr>
          <w:rFonts w:hint="eastAsia" w:cs="Times New Roman"/>
          <w:color w:val="auto"/>
          <w:kern w:val="0"/>
          <w:sz w:val="21"/>
          <w:szCs w:val="21"/>
          <w:highlight w:val="none"/>
          <w:u w:val="none" w:color="auto"/>
          <w:lang w:val="en-US" w:eastAsia="zh-CN"/>
        </w:rPr>
        <w:t>居民区</w:t>
      </w:r>
      <w:r>
        <w:rPr>
          <w:rFonts w:hint="default" w:ascii="Times New Roman" w:hAnsi="Times New Roman" w:cs="Times New Roman"/>
          <w:color w:val="auto"/>
          <w:kern w:val="0"/>
          <w:sz w:val="21"/>
          <w:szCs w:val="21"/>
          <w:highlight w:val="none"/>
          <w:u w:val="none" w:color="auto"/>
        </w:rPr>
        <w:t>等敏感点产生较大的噪声污染。且工程建设规模较大，投入的施工机械较多。根据工程施工特点，对噪声源分布的描述如下：压路机、推土机、平地机、自卸式运输车、挖掘机、装载机等筑路机械主要分布在全路段。</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cs="Times New Roman"/>
          <w:b/>
          <w:bCs/>
          <w:color w:val="auto"/>
          <w:kern w:val="2"/>
          <w:sz w:val="21"/>
          <w:szCs w:val="21"/>
          <w:highlight w:val="none"/>
          <w:u w:val="none" w:color="auto"/>
        </w:rPr>
      </w:pPr>
      <w:r>
        <w:rPr>
          <w:rFonts w:hint="default" w:ascii="Times New Roman" w:hAnsi="Times New Roman" w:cs="Times New Roman"/>
          <w:b/>
          <w:bCs/>
          <w:color w:val="auto"/>
          <w:kern w:val="2"/>
          <w:sz w:val="21"/>
          <w:szCs w:val="21"/>
          <w:highlight w:val="none"/>
          <w:u w:val="none" w:color="auto"/>
        </w:rPr>
        <w:t>（1）施工噪声预测方法和预测模式</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鉴于施工噪声的复杂性，以及施工噪声影响的区域性和阶段性，本评价根据《建筑施工场界环境噪声排放标准》（GB12523-2011），针对不同施工阶段计算出不同施工设备的噪声污染范围，以便施工单位在施工时结合实际情况采取适当的噪声污染防治措施。</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施工噪声可近似视为点源处理，根据点源噪声衰减模式，估算出离声源不同距离处的噪声值，预测模式如下：</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pict>
          <v:shape id="Picture 166" o:spid="_x0000_s1028" o:spt="75" type="#_x0000_t75" style="position:absolute;left:0pt;margin-left:108.75pt;margin-top:6.2pt;height:42.45pt;width:129.25pt;mso-wrap-distance-left:9pt;mso-wrap-distance-right:9pt;z-index:251662336;mso-width-relative:page;mso-height-relative:page;" o:ole="t" filled="f" o:preferrelative="t" stroked="f" coordsize="21600,21600" wrapcoords="21592 -2 0 0 0 21600 21592 21602 8 21602 21600 21600 21600 0 8 -2 21592 -2">
            <v:path/>
            <v:fill on="f" focussize="0,0"/>
            <v:stroke on="f"/>
            <v:imagedata r:id="rId46" o:title=""/>
            <o:lock v:ext="edit" grouping="f" rotation="f" text="f" aspectratio="t"/>
            <w10:wrap type="tight"/>
          </v:shape>
          <o:OLEObject Type="Embed" ProgID="" ShapeID="Picture 166" DrawAspect="Content" ObjectID="_1468075728" r:id="rId45">
            <o:LockedField>false</o:LockedField>
          </o:OLEObject>
        </w:pict>
      </w:r>
    </w:p>
    <w:p>
      <w:pPr>
        <w:pageBreakBefore w:val="0"/>
        <w:kinsoku/>
        <w:wordWrap/>
        <w:overflowPunct/>
        <w:topLinePunct w:val="0"/>
        <w:bidi w:val="0"/>
        <w:adjustRightInd w:val="0"/>
        <w:snapToGrid w:val="0"/>
        <w:spacing w:line="360" w:lineRule="auto"/>
        <w:ind w:firstLine="0" w:firstLineChars="0"/>
        <w:rPr>
          <w:rFonts w:hint="default" w:ascii="Times New Roman" w:hAnsi="Times New Roman" w:cs="Times New Roman"/>
          <w:color w:val="auto"/>
          <w:kern w:val="2"/>
          <w:sz w:val="21"/>
          <w:szCs w:val="21"/>
          <w:highlight w:val="none"/>
          <w:u w:val="none" w:color="auto"/>
        </w:rPr>
      </w:pP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式中：</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L</w:t>
      </w:r>
      <w:r>
        <w:rPr>
          <w:rFonts w:hint="default" w:ascii="Times New Roman" w:hAnsi="Times New Roman" w:cs="Times New Roman"/>
          <w:color w:val="auto"/>
          <w:kern w:val="2"/>
          <w:sz w:val="21"/>
          <w:szCs w:val="21"/>
          <w:highlight w:val="none"/>
          <w:u w:val="none" w:color="auto"/>
          <w:vertAlign w:val="subscript"/>
        </w:rPr>
        <w:t>I</w:t>
      </w:r>
      <w:r>
        <w:rPr>
          <w:rFonts w:hint="default" w:ascii="Times New Roman" w:hAnsi="Times New Roman" w:cs="Times New Roman"/>
          <w:color w:val="auto"/>
          <w:kern w:val="2"/>
          <w:sz w:val="21"/>
          <w:szCs w:val="21"/>
          <w:highlight w:val="none"/>
          <w:u w:val="none" w:color="auto"/>
        </w:rPr>
        <w:t>—距声源Ri米处的施工噪声预测值，dB(A)；</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L</w:t>
      </w:r>
      <w:r>
        <w:rPr>
          <w:rFonts w:hint="default" w:ascii="Times New Roman" w:hAnsi="Times New Roman" w:cs="Times New Roman"/>
          <w:color w:val="auto"/>
          <w:kern w:val="2"/>
          <w:sz w:val="21"/>
          <w:szCs w:val="21"/>
          <w:highlight w:val="none"/>
          <w:u w:val="none" w:color="auto"/>
          <w:vertAlign w:val="subscript"/>
        </w:rPr>
        <w:t>0</w:t>
      </w:r>
      <w:r>
        <w:rPr>
          <w:rFonts w:hint="default" w:ascii="Times New Roman" w:hAnsi="Times New Roman" w:cs="Times New Roman"/>
          <w:color w:val="auto"/>
          <w:kern w:val="2"/>
          <w:sz w:val="21"/>
          <w:szCs w:val="21"/>
          <w:highlight w:val="none"/>
          <w:u w:val="none" w:color="auto"/>
        </w:rPr>
        <w:t>—距声源R0米的施工噪声级，dB(A)；</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114300" distR="114300">
            <wp:extent cx="233045" cy="163830"/>
            <wp:effectExtent l="0" t="0" r="14605" b="5715"/>
            <wp:docPr id="12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8"/>
                    <pic:cNvPicPr>
                      <a:picLocks noChangeAspect="1"/>
                    </pic:cNvPicPr>
                  </pic:nvPicPr>
                  <pic:blipFill>
                    <a:blip r:embed="rId47"/>
                    <a:stretch>
                      <a:fillRect/>
                    </a:stretch>
                  </pic:blipFill>
                  <pic:spPr>
                    <a:xfrm>
                      <a:off x="0" y="0"/>
                      <a:ext cx="233045" cy="163830"/>
                    </a:xfrm>
                    <a:prstGeom prst="rect">
                      <a:avLst/>
                    </a:prstGeom>
                    <a:noFill/>
                    <a:ln>
                      <a:noFill/>
                    </a:ln>
                  </pic:spPr>
                </pic:pic>
              </a:graphicData>
            </a:graphic>
          </wp:inline>
        </w:drawing>
      </w:r>
      <w:r>
        <w:rPr>
          <w:rFonts w:hint="default" w:ascii="Times New Roman" w:hAnsi="Times New Roman" w:cs="Times New Roman"/>
          <w:color w:val="auto"/>
          <w:kern w:val="2"/>
          <w:sz w:val="21"/>
          <w:szCs w:val="21"/>
          <w:highlight w:val="none"/>
          <w:u w:val="none" w:color="auto"/>
        </w:rPr>
        <w:t>—障碍物、植被、空气等产生的附加衰减量。</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对于多台施工机械同时作业时对某个预测点的影响，应按下式进行声级叠加：</w:t>
      </w:r>
    </w:p>
    <w:p>
      <w:pPr>
        <w:pageBreakBefore w:val="0"/>
        <w:kinsoku/>
        <w:wordWrap/>
        <w:overflowPunct/>
        <w:topLinePunct w:val="0"/>
        <w:bidi w:val="0"/>
        <w:adjustRightInd w:val="0"/>
        <w:snapToGrid w:val="0"/>
        <w:spacing w:line="360" w:lineRule="auto"/>
        <w:ind w:firstLine="420" w:firstLineChars="200"/>
        <w:jc w:val="left"/>
        <w:rPr>
          <w:rFonts w:hint="default" w:ascii="Times New Roman" w:hAnsi="Times New Roman" w:cs="Times New Roman"/>
          <w:color w:val="auto"/>
          <w:kern w:val="2"/>
          <w:position w:val="-28"/>
          <w:sz w:val="21"/>
          <w:szCs w:val="21"/>
          <w:highlight w:val="none"/>
          <w:u w:val="none" w:color="auto"/>
        </w:rPr>
      </w:pPr>
      <w:r>
        <w:rPr>
          <w:rFonts w:hint="default" w:ascii="Times New Roman" w:hAnsi="Times New Roman" w:cs="Times New Roman"/>
          <w:color w:val="auto"/>
          <w:kern w:val="2"/>
          <w:position w:val="-28"/>
          <w:sz w:val="21"/>
          <w:szCs w:val="21"/>
          <w:highlight w:val="none"/>
          <w:u w:val="none" w:color="auto"/>
          <w:lang w:val="en-US" w:eastAsia="zh-CN"/>
        </w:rPr>
        <w:t xml:space="preserve">                  </w:t>
      </w:r>
      <w:r>
        <w:rPr>
          <w:rFonts w:hint="default" w:ascii="Times New Roman" w:hAnsi="Times New Roman" w:cs="Times New Roman"/>
          <w:color w:val="auto"/>
          <w:kern w:val="2"/>
          <w:position w:val="-28"/>
          <w:sz w:val="21"/>
          <w:szCs w:val="21"/>
          <w:highlight w:val="none"/>
          <w:u w:val="none" w:color="auto"/>
        </w:rPr>
        <w:drawing>
          <wp:inline distT="0" distB="0" distL="114300" distR="114300">
            <wp:extent cx="1644650" cy="549910"/>
            <wp:effectExtent l="0" t="0" r="0" b="1905"/>
            <wp:docPr id="1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9"/>
                    <pic:cNvPicPr>
                      <a:picLocks noChangeAspect="1"/>
                    </pic:cNvPicPr>
                  </pic:nvPicPr>
                  <pic:blipFill>
                    <a:blip r:embed="rId48"/>
                    <a:stretch>
                      <a:fillRect/>
                    </a:stretch>
                  </pic:blipFill>
                  <pic:spPr>
                    <a:xfrm>
                      <a:off x="0" y="0"/>
                      <a:ext cx="1644650" cy="549910"/>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firstLine="420" w:firstLineChars="200"/>
        <w:jc w:val="left"/>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式中：</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L—多个噪声源的合成声级，dB(A)；</w:t>
      </w:r>
    </w:p>
    <w:p>
      <w:pPr>
        <w:pageBreakBefore w:val="0"/>
        <w:kinsoku/>
        <w:wordWrap/>
        <w:overflowPunct/>
        <w:topLinePunct w:val="0"/>
        <w:bidi w:val="0"/>
        <w:adjustRightInd w:val="0"/>
        <w:snapToGrid w:val="0"/>
        <w:spacing w:line="360" w:lineRule="auto"/>
        <w:ind w:left="0" w:leftChars="0"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Li—某噪声源的噪声级，dB(A)。</w:t>
      </w:r>
    </w:p>
    <w:p>
      <w:pPr>
        <w:pageBreakBefore w:val="0"/>
        <w:kinsoku/>
        <w:wordWrap/>
        <w:overflowPunct/>
        <w:topLinePunct w:val="0"/>
        <w:bidi w:val="0"/>
        <w:adjustRightInd w:val="0"/>
        <w:snapToGrid w:val="0"/>
        <w:spacing w:line="360" w:lineRule="auto"/>
        <w:ind w:firstLine="422" w:firstLineChars="200"/>
        <w:rPr>
          <w:rFonts w:hint="default" w:ascii="Times New Roman" w:hAnsi="Times New Roman" w:cs="Times New Roman"/>
          <w:b/>
          <w:bCs/>
          <w:color w:val="auto"/>
          <w:kern w:val="2"/>
          <w:sz w:val="21"/>
          <w:szCs w:val="21"/>
          <w:highlight w:val="none"/>
          <w:u w:val="none" w:color="auto"/>
        </w:rPr>
      </w:pPr>
      <w:r>
        <w:rPr>
          <w:rFonts w:hint="default" w:ascii="Times New Roman" w:hAnsi="Times New Roman" w:cs="Times New Roman"/>
          <w:b/>
          <w:bCs/>
          <w:color w:val="auto"/>
          <w:kern w:val="2"/>
          <w:sz w:val="21"/>
          <w:szCs w:val="21"/>
          <w:highlight w:val="none"/>
          <w:u w:val="none" w:color="auto"/>
        </w:rPr>
        <w:t>（2）施工噪声影响范围计算和影响分析</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fldChar w:fldCharType="begin"/>
      </w:r>
      <w:r>
        <w:rPr>
          <w:rFonts w:hint="default" w:ascii="Times New Roman" w:hAnsi="Times New Roman" w:cs="Times New Roman"/>
          <w:color w:val="auto"/>
          <w:kern w:val="2"/>
          <w:sz w:val="21"/>
          <w:szCs w:val="21"/>
          <w:highlight w:val="none"/>
          <w:u w:val="none" w:color="auto"/>
        </w:rPr>
        <w:instrText xml:space="preserve"> = 1 \* GB3 \* MERGEFORMAT </w:instrText>
      </w:r>
      <w:r>
        <w:rPr>
          <w:rFonts w:hint="default" w:ascii="Times New Roman" w:hAnsi="Times New Roman" w:cs="Times New Roman"/>
          <w:color w:val="auto"/>
          <w:kern w:val="2"/>
          <w:sz w:val="21"/>
          <w:szCs w:val="21"/>
          <w:highlight w:val="none"/>
          <w:u w:val="none" w:color="auto"/>
        </w:rPr>
        <w:fldChar w:fldCharType="separate"/>
      </w:r>
      <w:r>
        <w:rPr>
          <w:rFonts w:hint="default" w:ascii="Times New Roman" w:hAnsi="Times New Roman" w:cs="Times New Roman"/>
          <w:color w:val="auto"/>
          <w:kern w:val="2"/>
          <w:sz w:val="21"/>
          <w:szCs w:val="21"/>
          <w:highlight w:val="none"/>
          <w:u w:val="none" w:color="auto"/>
        </w:rPr>
        <w:t>①</w:t>
      </w:r>
      <w:r>
        <w:rPr>
          <w:rFonts w:hint="default" w:ascii="Times New Roman" w:hAnsi="Times New Roman" w:cs="Times New Roman"/>
          <w:color w:val="auto"/>
          <w:kern w:val="2"/>
          <w:sz w:val="21"/>
          <w:szCs w:val="21"/>
          <w:highlight w:val="none"/>
          <w:u w:val="none" w:color="auto"/>
        </w:rPr>
        <w:fldChar w:fldCharType="end"/>
      </w:r>
      <w:r>
        <w:rPr>
          <w:rFonts w:hint="default" w:ascii="Times New Roman" w:hAnsi="Times New Roman" w:cs="Times New Roman"/>
          <w:color w:val="auto"/>
          <w:kern w:val="2"/>
          <w:sz w:val="21"/>
          <w:szCs w:val="21"/>
          <w:highlight w:val="none"/>
          <w:u w:val="none" w:color="auto"/>
        </w:rPr>
        <w:t>施工噪声影响范围计算</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根据前述的公式，对施工过程中设备噪声影响范围进行计算，具体见</w:t>
      </w:r>
      <w:r>
        <w:rPr>
          <w:rFonts w:hint="eastAsia" w:cs="Times New Roman"/>
          <w:color w:val="auto"/>
          <w:kern w:val="2"/>
          <w:sz w:val="21"/>
          <w:szCs w:val="21"/>
          <w:highlight w:val="none"/>
          <w:u w:val="none" w:color="auto"/>
          <w:lang w:val="en-US" w:eastAsia="zh-CN"/>
        </w:rPr>
        <w:t>下表</w:t>
      </w:r>
      <w:r>
        <w:rPr>
          <w:rFonts w:hint="default" w:ascii="Times New Roman" w:hAnsi="Times New Roman" w:cs="Times New Roman"/>
          <w:color w:val="auto"/>
          <w:kern w:val="2"/>
          <w:sz w:val="21"/>
          <w:szCs w:val="21"/>
          <w:highlight w:val="none"/>
          <w:u w:val="none" w:color="auto"/>
        </w:rPr>
        <w:t>。</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default" w:ascii="Times New Roman" w:hAnsi="Times New Roman" w:eastAsia="宋体" w:cs="Times New Roman"/>
          <w:b/>
          <w:color w:val="000000"/>
          <w:kern w:val="21"/>
          <w:sz w:val="21"/>
          <w:szCs w:val="21"/>
          <w:highlight w:val="none"/>
          <w:u w:val="none" w:color="auto"/>
          <w:lang w:val="en-US" w:eastAsia="zh-CN" w:bidi="ar-SA"/>
        </w:rPr>
        <w:t>表</w:t>
      </w:r>
      <w:r>
        <w:rPr>
          <w:rFonts w:hint="eastAsia" w:ascii="Times New Roman" w:hAnsi="Times New Roman" w:eastAsia="宋体" w:cs="Times New Roman"/>
          <w:b/>
          <w:color w:val="000000"/>
          <w:kern w:val="21"/>
          <w:sz w:val="21"/>
          <w:szCs w:val="21"/>
          <w:highlight w:val="none"/>
          <w:u w:val="none" w:color="auto"/>
          <w:lang w:val="en-US" w:eastAsia="zh-CN" w:bidi="ar-SA"/>
        </w:rPr>
        <w:t>4-1</w:t>
      </w:r>
      <w:r>
        <w:rPr>
          <w:rFonts w:hint="default" w:ascii="Times New Roman" w:hAnsi="Times New Roman" w:eastAsia="宋体" w:cs="Times New Roman"/>
          <w:b/>
          <w:color w:val="000000"/>
          <w:kern w:val="21"/>
          <w:sz w:val="21"/>
          <w:szCs w:val="21"/>
          <w:highlight w:val="none"/>
          <w:u w:val="none" w:color="auto"/>
          <w:lang w:val="en-US" w:eastAsia="zh-CN" w:bidi="ar-SA"/>
        </w:rPr>
        <w:t>施工设备施工噪声的影响范围</w:t>
      </w:r>
    </w:p>
    <w:tbl>
      <w:tblPr>
        <w:tblStyle w:val="40"/>
        <w:tblW w:w="8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952"/>
        <w:gridCol w:w="1498"/>
        <w:gridCol w:w="1498"/>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70" w:hRule="atLeast"/>
          <w:jc w:val="center"/>
        </w:trPr>
        <w:tc>
          <w:tcPr>
            <w:tcW w:w="3076" w:type="dxa"/>
            <w:vMerge w:val="restart"/>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施工机械</w:t>
            </w:r>
          </w:p>
        </w:tc>
        <w:tc>
          <w:tcPr>
            <w:tcW w:w="2450" w:type="dxa"/>
            <w:gridSpan w:val="2"/>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限值范围（dB（A））</w:t>
            </w:r>
          </w:p>
        </w:tc>
        <w:tc>
          <w:tcPr>
            <w:tcW w:w="2997" w:type="dxa"/>
            <w:gridSpan w:val="2"/>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影响范围（m）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952"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w:t>
            </w: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w:t>
            </w: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装载机</w:t>
            </w:r>
          </w:p>
        </w:tc>
        <w:tc>
          <w:tcPr>
            <w:tcW w:w="952" w:type="dxa"/>
            <w:vMerge w:val="restart"/>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7</w:t>
            </w:r>
            <w:r>
              <w:rPr>
                <w:rFonts w:hint="eastAsia" w:ascii="Times New Roman" w:hAnsi="Times New Roman" w:eastAsia="宋体" w:cs="Times New Roman"/>
                <w:kern w:val="2"/>
                <w:sz w:val="21"/>
                <w:szCs w:val="21"/>
                <w:highlight w:val="none"/>
                <w:u w:val="none" w:color="auto"/>
                <w:lang w:val="en-US" w:eastAsia="zh-CN" w:bidi="ar-SA"/>
              </w:rPr>
              <w:t>0</w:t>
            </w:r>
          </w:p>
        </w:tc>
        <w:tc>
          <w:tcPr>
            <w:tcW w:w="1498" w:type="dxa"/>
            <w:vMerge w:val="restart"/>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55</w:t>
            </w: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50.0</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平地机</w:t>
            </w:r>
          </w:p>
        </w:tc>
        <w:tc>
          <w:tcPr>
            <w:tcW w:w="952"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50.0</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振动式压路机</w:t>
            </w:r>
          </w:p>
        </w:tc>
        <w:tc>
          <w:tcPr>
            <w:tcW w:w="952"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31.54</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双轮双振压路机、三轮压路机</w:t>
            </w:r>
          </w:p>
        </w:tc>
        <w:tc>
          <w:tcPr>
            <w:tcW w:w="952"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17.7</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轮胎压路机</w:t>
            </w:r>
          </w:p>
        </w:tc>
        <w:tc>
          <w:tcPr>
            <w:tcW w:w="952"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10.0</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摊铺机</w:t>
            </w:r>
          </w:p>
        </w:tc>
        <w:tc>
          <w:tcPr>
            <w:tcW w:w="952"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35.4</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推土机</w:t>
            </w:r>
          </w:p>
        </w:tc>
        <w:tc>
          <w:tcPr>
            <w:tcW w:w="952"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31.54</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轮胎式液压挖掘机</w:t>
            </w:r>
          </w:p>
        </w:tc>
        <w:tc>
          <w:tcPr>
            <w:tcW w:w="952"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25.1</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路面破碎机</w:t>
            </w:r>
          </w:p>
        </w:tc>
        <w:tc>
          <w:tcPr>
            <w:tcW w:w="952"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50.0</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210.8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3076"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灌注桩钻孔机</w:t>
            </w:r>
          </w:p>
        </w:tc>
        <w:tc>
          <w:tcPr>
            <w:tcW w:w="952"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vMerge w:val="continue"/>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1498"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50.0</w:t>
            </w:r>
          </w:p>
        </w:tc>
        <w:tc>
          <w:tcPr>
            <w:tcW w:w="1499" w:type="dxa"/>
            <w:tcBorders>
              <w:tl2br w:val="nil"/>
              <w:tr2bl w:val="nil"/>
            </w:tcBorders>
            <w:noWrap w:val="0"/>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210.8</w:t>
            </w:r>
          </w:p>
        </w:tc>
      </w:tr>
    </w:tbl>
    <w:p>
      <w:pPr>
        <w:pageBreakBefore w:val="0"/>
        <w:kinsoku/>
        <w:wordWrap/>
        <w:overflowPunct/>
        <w:topLinePunct w:val="0"/>
        <w:bidi w:val="0"/>
        <w:adjustRightInd w:val="0"/>
        <w:snapToGrid w:val="0"/>
        <w:spacing w:line="360" w:lineRule="auto"/>
        <w:ind w:firstLine="420" w:firstLineChars="200"/>
        <w:jc w:val="left"/>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③施工期噪声影响</w:t>
      </w:r>
    </w:p>
    <w:p>
      <w:pPr>
        <w:keepNext w:val="0"/>
        <w:keepLines w:val="0"/>
        <w:pageBreakBefore w:val="0"/>
        <w:kinsoku/>
        <w:wordWrap/>
        <w:overflowPunct/>
        <w:topLinePunct w:val="0"/>
        <w:autoSpaceDE/>
        <w:autoSpaceDN/>
        <w:bidi w:val="0"/>
        <w:adjustRightInd w:val="0"/>
        <w:snapToGrid w:val="0"/>
        <w:spacing w:before="0" w:after="0" w:line="360" w:lineRule="auto"/>
        <w:ind w:right="0"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a.在实际施工过程中，可能出现多台机械同时作业，则此时施工噪声影响的范围比预测值大，影响的范围更广。因而，场界施工噪声可能达不到相应标准。</w:t>
      </w:r>
    </w:p>
    <w:p>
      <w:pPr>
        <w:keepNext w:val="0"/>
        <w:keepLines w:val="0"/>
        <w:pageBreakBefore w:val="0"/>
        <w:kinsoku/>
        <w:wordWrap/>
        <w:overflowPunct/>
        <w:topLinePunct w:val="0"/>
        <w:autoSpaceDE/>
        <w:autoSpaceDN/>
        <w:bidi w:val="0"/>
        <w:adjustRightInd w:val="0"/>
        <w:snapToGrid w:val="0"/>
        <w:spacing w:before="0" w:after="0" w:line="360" w:lineRule="auto"/>
        <w:ind w:right="0"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b.施工噪声将对沿线声环境质量产生一定的影响，这种噪声影响白天将主要出现在离施工场地66.8m以内，夜间将扩大到距施工场地281.2m范围内。</w:t>
      </w:r>
    </w:p>
    <w:p>
      <w:pPr>
        <w:keepNext w:val="0"/>
        <w:keepLines w:val="0"/>
        <w:pageBreakBefore w:val="0"/>
        <w:kinsoku/>
        <w:wordWrap/>
        <w:overflowPunct/>
        <w:topLinePunct w:val="0"/>
        <w:autoSpaceDE/>
        <w:autoSpaceDN/>
        <w:bidi w:val="0"/>
        <w:adjustRightInd w:val="0"/>
        <w:snapToGrid w:val="0"/>
        <w:spacing w:before="0" w:after="0" w:line="360" w:lineRule="auto"/>
        <w:ind w:right="0" w:firstLine="420" w:firstLineChars="200"/>
        <w:textAlignment w:val="auto"/>
        <w:rPr>
          <w:rFonts w:hint="default" w:ascii="Times New Roman" w:hAnsi="Times New Roman" w:cs="Times New Roman"/>
          <w:b/>
          <w:bCs/>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c.由于受施工噪声的影响，距道路施工边界昼间66.8m以内、夜间281.2m以内的敏感点其环境噪声值可能会出现超标现象，其超标量与影响范围将随着使用的设备种类及数量、施工过程的不同而出现波动。施工过程如不采取相关措施，</w:t>
      </w:r>
      <w:r>
        <w:rPr>
          <w:rFonts w:hint="default" w:ascii="Times New Roman" w:hAnsi="Times New Roman" w:cs="Times New Roman"/>
          <w:color w:val="auto"/>
          <w:kern w:val="2"/>
          <w:sz w:val="21"/>
          <w:szCs w:val="21"/>
          <w:highlight w:val="none"/>
          <w:u w:val="none" w:color="auto"/>
          <w:lang w:val="en-US" w:eastAsia="zh-CN"/>
        </w:rPr>
        <w:t>将对本项目沿线居民</w:t>
      </w:r>
      <w:r>
        <w:rPr>
          <w:rFonts w:hint="default" w:ascii="Times New Roman" w:hAnsi="Times New Roman" w:cs="Times New Roman"/>
          <w:color w:val="auto"/>
          <w:kern w:val="2"/>
          <w:sz w:val="21"/>
          <w:szCs w:val="21"/>
          <w:highlight w:val="none"/>
          <w:u w:val="none" w:color="auto"/>
        </w:rPr>
        <w:t>生活造成一定影响，夜间影响更大。</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由于项目</w:t>
      </w:r>
      <w:r>
        <w:rPr>
          <w:rFonts w:hint="default" w:ascii="Times New Roman" w:hAnsi="Times New Roman" w:eastAsia="宋体" w:cs="Times New Roman"/>
          <w:color w:val="auto"/>
          <w:kern w:val="0"/>
          <w:sz w:val="21"/>
          <w:szCs w:val="21"/>
          <w:highlight w:val="none"/>
          <w:u w:val="none" w:color="auto"/>
        </w:rPr>
        <w:t>沿线存在噪声敏感点，</w:t>
      </w:r>
      <w:r>
        <w:rPr>
          <w:rFonts w:hint="default" w:ascii="Times New Roman" w:hAnsi="Times New Roman" w:cs="Times New Roman"/>
          <w:color w:val="auto"/>
          <w:kern w:val="0"/>
          <w:sz w:val="21"/>
          <w:szCs w:val="21"/>
          <w:highlight w:val="none"/>
          <w:u w:val="none" w:color="auto"/>
        </w:rPr>
        <w:t>项目施工会对沿线居民的正常生活造成干扰，干扰现象夜间表现尤为突出。根据类比调查，在多台机械设备同时作业时，各台设备产生的噪声会产生叠加，叠加后的噪声增值约为3～8dB，一般不会超过10dB，防护距离约增加100m。</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施工期采取的噪声污染防治措施如下：</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（1）施工期主要设备有推土机、装载机、挖掘机、压路机、平地机等。设备选型上采用低噪声设备，如以液压机械代替燃油机械，振捣器采用高频振捣器等。固定机械设备通过排气管消</w:t>
      </w:r>
      <w:r>
        <w:rPr>
          <w:rFonts w:hint="eastAsia" w:cs="Times New Roman"/>
          <w:color w:val="auto"/>
          <w:kern w:val="2"/>
          <w:sz w:val="21"/>
          <w:szCs w:val="21"/>
          <w:highlight w:val="none"/>
          <w:u w:val="none" w:color="auto"/>
          <w:lang w:eastAsia="zh-CN"/>
        </w:rPr>
        <w:t>声</w:t>
      </w:r>
      <w:r>
        <w:rPr>
          <w:rFonts w:hint="default" w:ascii="Times New Roman" w:hAnsi="Times New Roman" w:cs="Times New Roman"/>
          <w:color w:val="auto"/>
          <w:kern w:val="2"/>
          <w:sz w:val="21"/>
          <w:szCs w:val="21"/>
          <w:highlight w:val="none"/>
          <w:u w:val="none" w:color="auto"/>
        </w:rPr>
        <w:t>器和隔离发动机振动部件的方法减低噪声。对动力机械设备进行定期的维修、养护，维修不良的设备常因松动部件的振动或消</w:t>
      </w:r>
      <w:r>
        <w:rPr>
          <w:rFonts w:hint="eastAsia" w:cs="Times New Roman"/>
          <w:color w:val="auto"/>
          <w:kern w:val="2"/>
          <w:sz w:val="21"/>
          <w:szCs w:val="21"/>
          <w:highlight w:val="none"/>
          <w:u w:val="none" w:color="auto"/>
          <w:lang w:eastAsia="zh-CN"/>
        </w:rPr>
        <w:t>声</w:t>
      </w:r>
      <w:r>
        <w:rPr>
          <w:rFonts w:hint="default" w:ascii="Times New Roman" w:hAnsi="Times New Roman" w:cs="Times New Roman"/>
          <w:color w:val="auto"/>
          <w:kern w:val="2"/>
          <w:sz w:val="21"/>
          <w:szCs w:val="21"/>
          <w:highlight w:val="none"/>
          <w:u w:val="none" w:color="auto"/>
        </w:rPr>
        <w:t>器的损坏而增加其工作时的声级。闲置不用的设备立即关闭，运输车辆进入现场减速，并减少鸣笛。合理布局施工场地，避免局部声级过高。</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（2）合理安排施工时间；制定施工计划时，尽量避免大量高噪声设备同时施工；其次，高噪声设备施工时间尽量安排在昼间，减少夜间施工量。</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（3）根据《建筑施工场界环境噪声排放标准》（GB12523-2011）确定工程施工场界，合理安排施工场地。合理设置高噪声设备的位置，设置位置远离周边居民点。</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（4）施工噪声大的机具在夜间（22:00~06:00）停止施工。必须连续施工作业的工点，施工单位建设单位需在施工现场以及环境敏感保护目标处张贴公告后方可进行施工。</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（5）运输车辆采取减速缓行、禁止鸣笛等措施，以减小交通噪声对运输道路两侧居民的影响。</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lang w:val="en-US" w:eastAsia="zh-CN"/>
        </w:rPr>
        <w:t>6</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建立临时屏障。在临近居民位置设置临时声屏障，高1.2m。对位置相对固定的机械设备，采用室内布置，不能入棚入室的建立单面声屏障。</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lang w:eastAsia="zh-CN"/>
        </w:rPr>
        <w:t>（</w:t>
      </w:r>
      <w:r>
        <w:rPr>
          <w:rFonts w:hint="eastAsia" w:cs="Times New Roman"/>
          <w:color w:val="auto"/>
          <w:kern w:val="2"/>
          <w:sz w:val="21"/>
          <w:szCs w:val="21"/>
          <w:highlight w:val="none"/>
          <w:u w:val="none" w:color="auto"/>
          <w:lang w:val="en-US" w:eastAsia="zh-CN"/>
        </w:rPr>
        <w:t>7</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加强施工管理，建筑材料采取临时覆盖拦挡措施。完善绿化工程，保持路线景观与周围环境相协调。</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0"/>
          <w:sz w:val="21"/>
          <w:szCs w:val="21"/>
          <w:highlight w:val="none"/>
          <w:u w:val="none" w:color="auto"/>
        </w:rPr>
        <w:t>综上所述，施工是暂时的，随着施工的结束，施工噪声的影响也随之结束。总体而言，在采取施工围挡和尽量避免夜间施工措施的情况下，施工作业噪声的环境影响是可以接受的。</w:t>
      </w:r>
    </w:p>
    <w:bookmarkEnd w:id="115"/>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运营期声环境影响分析</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拟建工程进入运营期后，对声环境的影响主要来源于车辆行驶产生的交通噪声。运营期项目敏感点主要是沿路居民点，评价重点预测运营期道路噪声对其影响，以期执行合理的降噪措施，确保项目沿线声环境质量达标。</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预测模式</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采用《环境影响评价技术导则 声环境》（HJ2.4-2021）公路交通运输噪声预测基本模式。拟建项目为城市主干道，运营期噪声源为道路交通噪声，符合该模式的适用条件。</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预测内容</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（1）水平预测断面：本工程水平断面声场分布预测结果。</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（2）预测点：逐点预测沿线敏感点处噪声影响，统计超标情况。</w:t>
      </w:r>
    </w:p>
    <w:p>
      <w:pPr>
        <w:keepNext/>
        <w:keepLines/>
        <w:pageBreakBefore w:val="0"/>
        <w:widowControl w:val="0"/>
        <w:numPr>
          <w:ilvl w:val="3"/>
          <w:numId w:val="3"/>
        </w:numPr>
        <w:tabs>
          <w:tab w:val="left" w:pos="0"/>
        </w:tabs>
        <w:kinsoku/>
        <w:wordWrap/>
        <w:overflowPunct/>
        <w:topLinePunct w:val="0"/>
        <w:autoSpaceDE/>
        <w:autoSpaceDN/>
        <w:bidi w:val="0"/>
        <w:adjustRightInd w:val="0"/>
        <w:snapToGrid w:val="0"/>
        <w:spacing w:beforeLines="0" w:beforeAutospacing="0" w:afterLines="0" w:afterAutospacing="0" w:line="360" w:lineRule="auto"/>
        <w:ind w:left="0" w:firstLine="420" w:firstLineChars="200"/>
        <w:jc w:val="both"/>
        <w:textAlignment w:val="auto"/>
        <w:outlineLvl w:val="3"/>
        <w:rPr>
          <w:rFonts w:hint="default" w:ascii="Times New Roman" w:hAnsi="Times New Roman" w:eastAsia="宋体" w:cs="Times New Roman"/>
          <w:kern w:val="0"/>
          <w:sz w:val="21"/>
          <w:szCs w:val="21"/>
          <w:highlight w:val="none"/>
          <w:u w:val="none" w:color="auto"/>
          <w:lang w:val="en-US" w:eastAsia="zh-CN" w:bidi="ar-SA"/>
        </w:rPr>
      </w:pPr>
      <w:r>
        <w:rPr>
          <w:rFonts w:hint="default" w:ascii="Times New Roman" w:hAnsi="Times New Roman" w:eastAsia="宋体" w:cs="Times New Roman"/>
          <w:kern w:val="0"/>
          <w:sz w:val="21"/>
          <w:szCs w:val="21"/>
          <w:highlight w:val="none"/>
          <w:u w:val="none" w:color="auto"/>
          <w:lang w:val="en-US" w:eastAsia="zh-CN" w:bidi="ar-SA"/>
        </w:rPr>
        <w:t>预测时段、车流量</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（1）预测时段</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根据项目可行性研究报告中的交通量预测情况确定预测时段为：运营近期（202</w:t>
      </w:r>
      <w:r>
        <w:rPr>
          <w:rFonts w:hint="eastAsia" w:cs="Times New Roman"/>
          <w:color w:val="auto"/>
          <w:kern w:val="2"/>
          <w:sz w:val="21"/>
          <w:szCs w:val="21"/>
          <w:highlight w:val="none"/>
          <w:u w:val="none" w:color="auto"/>
          <w:lang w:val="en-US" w:eastAsia="zh-CN"/>
        </w:rPr>
        <w:t>7</w:t>
      </w:r>
      <w:r>
        <w:rPr>
          <w:rFonts w:hint="default" w:ascii="Times New Roman" w:hAnsi="Times New Roman" w:cs="Times New Roman"/>
          <w:color w:val="auto"/>
          <w:kern w:val="2"/>
          <w:sz w:val="21"/>
          <w:szCs w:val="21"/>
          <w:highlight w:val="none"/>
          <w:u w:val="none" w:color="auto"/>
        </w:rPr>
        <w:t>年）、运营中期（203</w:t>
      </w:r>
      <w:r>
        <w:rPr>
          <w:rFonts w:hint="eastAsia" w:cs="Times New Roman"/>
          <w:color w:val="auto"/>
          <w:kern w:val="2"/>
          <w:sz w:val="21"/>
          <w:szCs w:val="21"/>
          <w:highlight w:val="none"/>
          <w:u w:val="none" w:color="auto"/>
          <w:lang w:val="en-US" w:eastAsia="zh-CN"/>
        </w:rPr>
        <w:t>3</w:t>
      </w:r>
      <w:r>
        <w:rPr>
          <w:rFonts w:hint="default" w:ascii="Times New Roman" w:hAnsi="Times New Roman" w:cs="Times New Roman"/>
          <w:color w:val="auto"/>
          <w:kern w:val="2"/>
          <w:sz w:val="21"/>
          <w:szCs w:val="21"/>
          <w:highlight w:val="none"/>
          <w:u w:val="none" w:color="auto"/>
        </w:rPr>
        <w:t>年）、运营远期（20</w:t>
      </w:r>
      <w:r>
        <w:rPr>
          <w:rFonts w:hint="default" w:ascii="Times New Roman" w:hAnsi="Times New Roman" w:cs="Times New Roman"/>
          <w:color w:val="auto"/>
          <w:kern w:val="2"/>
          <w:sz w:val="21"/>
          <w:szCs w:val="21"/>
          <w:highlight w:val="none"/>
          <w:u w:val="none" w:color="auto"/>
          <w:lang w:val="en-US" w:eastAsia="zh-CN"/>
        </w:rPr>
        <w:t>4</w:t>
      </w:r>
      <w:r>
        <w:rPr>
          <w:rFonts w:hint="eastAsia" w:cs="Times New Roman"/>
          <w:color w:val="auto"/>
          <w:kern w:val="2"/>
          <w:sz w:val="21"/>
          <w:szCs w:val="21"/>
          <w:highlight w:val="none"/>
          <w:u w:val="none" w:color="auto"/>
          <w:lang w:val="en-US" w:eastAsia="zh-CN"/>
        </w:rPr>
        <w:t>1</w:t>
      </w:r>
      <w:r>
        <w:rPr>
          <w:rFonts w:hint="default" w:ascii="Times New Roman" w:hAnsi="Times New Roman" w:cs="Times New Roman"/>
          <w:color w:val="auto"/>
          <w:kern w:val="2"/>
          <w:sz w:val="21"/>
          <w:szCs w:val="21"/>
          <w:highlight w:val="none"/>
          <w:u w:val="none" w:color="auto"/>
        </w:rPr>
        <w:t>年）。</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（2）预测车流量</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拟建道路平均小时交通量预测结果见</w:t>
      </w:r>
      <w:r>
        <w:rPr>
          <w:rFonts w:hint="eastAsia" w:cs="Times New Roman"/>
          <w:color w:val="auto"/>
          <w:kern w:val="2"/>
          <w:sz w:val="21"/>
          <w:szCs w:val="21"/>
          <w:highlight w:val="none"/>
          <w:u w:val="none" w:color="auto"/>
          <w:lang w:val="en-US" w:eastAsia="zh-CN"/>
        </w:rPr>
        <w:t>表2-1</w:t>
      </w:r>
      <w:r>
        <w:rPr>
          <w:rFonts w:hint="default" w:ascii="Times New Roman" w:hAnsi="Times New Roman" w:cs="Times New Roman"/>
          <w:color w:val="auto"/>
          <w:kern w:val="2"/>
          <w:sz w:val="21"/>
          <w:szCs w:val="21"/>
          <w:highlight w:val="none"/>
          <w:u w:val="none" w:color="auto"/>
        </w:rPr>
        <w:t>。</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（3）行车速度</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萍阳北路延伸段为城市主干道，</w:t>
      </w:r>
      <w:r>
        <w:rPr>
          <w:rFonts w:hint="eastAsia"/>
          <w:kern w:val="2"/>
          <w:sz w:val="21"/>
          <w:szCs w:val="21"/>
          <w:highlight w:val="none"/>
          <w:u w:val="none" w:color="auto"/>
        </w:rPr>
        <w:t>标准段车道规模为主路双向</w:t>
      </w:r>
      <w:r>
        <w:rPr>
          <w:rFonts w:hint="eastAsia" w:ascii="Times New Roman" w:eastAsia="宋体"/>
          <w:kern w:val="2"/>
          <w:sz w:val="21"/>
          <w:szCs w:val="21"/>
          <w:highlight w:val="none"/>
          <w:u w:val="none" w:color="auto"/>
          <w:lang w:val="en-US" w:eastAsia="zh-CN"/>
        </w:rPr>
        <w:t>4</w:t>
      </w:r>
      <w:r>
        <w:rPr>
          <w:rFonts w:hint="eastAsia"/>
          <w:kern w:val="2"/>
          <w:sz w:val="21"/>
          <w:szCs w:val="21"/>
          <w:highlight w:val="none"/>
          <w:u w:val="none" w:color="auto"/>
        </w:rPr>
        <w:t>车道，设计车速</w:t>
      </w:r>
      <w:r>
        <w:rPr>
          <w:rFonts w:hint="eastAsia" w:ascii="Times New Roman" w:eastAsia="宋体"/>
          <w:kern w:val="2"/>
          <w:sz w:val="21"/>
          <w:szCs w:val="21"/>
          <w:highlight w:val="none"/>
          <w:u w:val="none" w:color="auto"/>
          <w:lang w:val="en-US" w:eastAsia="zh-CN"/>
        </w:rPr>
        <w:t>50</w:t>
      </w:r>
      <w:r>
        <w:rPr>
          <w:rFonts w:hint="eastAsia"/>
          <w:kern w:val="2"/>
          <w:sz w:val="21"/>
          <w:szCs w:val="21"/>
          <w:highlight w:val="none"/>
          <w:u w:val="none" w:color="auto"/>
        </w:rPr>
        <w:t>km/h；萍州大桥西匝道为城市支路双向2车道，设计速度</w:t>
      </w:r>
      <w:r>
        <w:rPr>
          <w:rFonts w:hint="eastAsia" w:ascii="Times New Roman" w:eastAsia="宋体"/>
          <w:kern w:val="2"/>
          <w:sz w:val="21"/>
          <w:szCs w:val="21"/>
          <w:highlight w:val="none"/>
          <w:u w:val="none" w:color="auto"/>
          <w:lang w:val="en-US" w:eastAsia="zh-CN"/>
        </w:rPr>
        <w:t>20</w:t>
      </w:r>
      <w:r>
        <w:rPr>
          <w:rFonts w:hint="eastAsia"/>
          <w:kern w:val="2"/>
          <w:sz w:val="21"/>
          <w:szCs w:val="21"/>
          <w:highlight w:val="none"/>
          <w:u w:val="none" w:color="auto"/>
        </w:rPr>
        <w:t>km/h</w:t>
      </w:r>
      <w:r>
        <w:rPr>
          <w:rFonts w:hint="default" w:ascii="Times New Roman" w:hAnsi="Times New Roman" w:cs="Times New Roman"/>
          <w:color w:val="auto"/>
          <w:kern w:val="2"/>
          <w:sz w:val="21"/>
          <w:szCs w:val="21"/>
          <w:highlight w:val="none"/>
          <w:u w:val="none" w:color="auto"/>
        </w:rPr>
        <w:t>。</w:t>
      </w:r>
    </w:p>
    <w:p>
      <w:pPr>
        <w:keepNext/>
        <w:keepLines/>
        <w:pageBreakBefore w:val="0"/>
        <w:widowControl w:val="0"/>
        <w:numPr>
          <w:ilvl w:val="3"/>
          <w:numId w:val="3"/>
        </w:numPr>
        <w:tabs>
          <w:tab w:val="left" w:pos="0"/>
        </w:tabs>
        <w:kinsoku/>
        <w:wordWrap/>
        <w:overflowPunct/>
        <w:topLinePunct w:val="0"/>
        <w:autoSpaceDE/>
        <w:autoSpaceDN/>
        <w:bidi w:val="0"/>
        <w:adjustRightInd w:val="0"/>
        <w:snapToGrid w:val="0"/>
        <w:spacing w:beforeLines="0" w:beforeAutospacing="0" w:afterLines="0" w:afterAutospacing="0" w:line="360" w:lineRule="auto"/>
        <w:ind w:left="0" w:firstLine="420" w:firstLineChars="200"/>
        <w:jc w:val="both"/>
        <w:textAlignment w:val="auto"/>
        <w:outlineLvl w:val="3"/>
        <w:rPr>
          <w:rFonts w:hint="default" w:ascii="Times New Roman" w:hAnsi="Times New Roman" w:eastAsia="宋体" w:cs="Times New Roman"/>
          <w:kern w:val="0"/>
          <w:sz w:val="21"/>
          <w:szCs w:val="21"/>
          <w:highlight w:val="none"/>
          <w:u w:val="none" w:color="auto"/>
          <w:lang w:val="en-US" w:eastAsia="zh-CN" w:bidi="ar-SA"/>
        </w:rPr>
      </w:pPr>
      <w:r>
        <w:rPr>
          <w:rFonts w:hint="default" w:ascii="Times New Roman" w:hAnsi="Times New Roman" w:eastAsia="宋体" w:cs="Times New Roman"/>
          <w:kern w:val="0"/>
          <w:sz w:val="21"/>
          <w:szCs w:val="21"/>
          <w:highlight w:val="none"/>
          <w:u w:val="none" w:color="auto"/>
          <w:lang w:val="en-US" w:eastAsia="zh-CN" w:bidi="ar-SA"/>
        </w:rPr>
        <w:t>主要预测参数</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（1）交通量</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根据项目工程分析，项目近、中、远期三个评价时段的交通量预测见</w:t>
      </w:r>
      <w:r>
        <w:rPr>
          <w:rFonts w:hint="eastAsia" w:cs="Times New Roman"/>
          <w:color w:val="auto"/>
          <w:kern w:val="2"/>
          <w:sz w:val="21"/>
          <w:szCs w:val="21"/>
          <w:highlight w:val="none"/>
          <w:u w:val="none" w:color="auto"/>
          <w:lang w:val="en-US" w:eastAsia="zh-CN"/>
        </w:rPr>
        <w:t>表2-2</w:t>
      </w:r>
      <w:r>
        <w:rPr>
          <w:rFonts w:hint="default" w:ascii="Times New Roman" w:hAnsi="Times New Roman" w:cs="Times New Roman"/>
          <w:color w:val="auto"/>
          <w:kern w:val="2"/>
          <w:sz w:val="21"/>
          <w:szCs w:val="21"/>
          <w:highlight w:val="none"/>
          <w:u w:val="none" w:color="auto"/>
        </w:rPr>
        <w:t>。</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（2）噪声源强</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根据工程分析可知，项目近、中、远期交通噪声源强计算结果见</w:t>
      </w:r>
      <w:r>
        <w:rPr>
          <w:rFonts w:hint="eastAsia" w:cs="Times New Roman"/>
          <w:color w:val="auto"/>
          <w:kern w:val="2"/>
          <w:sz w:val="21"/>
          <w:szCs w:val="21"/>
          <w:highlight w:val="none"/>
          <w:u w:val="none" w:color="auto"/>
          <w:lang w:val="en-US" w:eastAsia="zh-CN"/>
        </w:rPr>
        <w:t>表2-7</w:t>
      </w:r>
      <w:r>
        <w:rPr>
          <w:rFonts w:hint="default" w:ascii="Times New Roman" w:hAnsi="Times New Roman" w:cs="Times New Roman"/>
          <w:color w:val="auto"/>
          <w:kern w:val="2"/>
          <w:sz w:val="21"/>
          <w:szCs w:val="21"/>
          <w:highlight w:val="none"/>
          <w:u w:val="none" w:color="auto"/>
        </w:rPr>
        <w:t>。</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（3）预测模式</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本道路建成后，对周边环境的影响主要是车辆通过时产生的交通噪声对周边敏感点的影响。道路上行驶的机动车包括启动、加速、刹车等过程，产生的噪声各有差异，本评价在预测中将视为匀速行驶，且同一条道路中的每个行车道中的车流量及车型比例均相同。</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根据《环境影响评价技术导则 声环境》(HJ2.4-2021</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附录A公路</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道路</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交通运输噪声预测模式，预测时需将各种车辆按其噪声大小分成大型车、中型车、小型车，分别预测某一类车辆的等效声级，然后把三类车辆的等效声级</w:t>
      </w:r>
      <w:r>
        <w:rPr>
          <w:rFonts w:hint="default" w:ascii="Times New Roman" w:hAnsi="Times New Roman" w:cs="Times New Roman"/>
          <w:color w:val="auto"/>
          <w:kern w:val="2"/>
          <w:sz w:val="21"/>
          <w:szCs w:val="21"/>
          <w:highlight w:val="none"/>
          <w:u w:val="none" w:color="auto"/>
          <w:lang w:eastAsia="zh-CN"/>
        </w:rPr>
        <w:t>叠加</w:t>
      </w:r>
      <w:r>
        <w:rPr>
          <w:rFonts w:hint="default" w:ascii="Times New Roman" w:hAnsi="Times New Roman" w:cs="Times New Roman"/>
          <w:color w:val="auto"/>
          <w:kern w:val="2"/>
          <w:sz w:val="21"/>
          <w:szCs w:val="21"/>
          <w:highlight w:val="none"/>
          <w:u w:val="none" w:color="auto"/>
        </w:rPr>
        <w:t>得到总声级。</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1）第i类车等效声级的预测模式：</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m:oMathPara>
        <m:oMath>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L</m:t>
              </m:r>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eq</m:t>
              </m:r>
              <m:ctrlPr>
                <w:rPr>
                  <w:rFonts w:hint="default" w:ascii="Cambria Math" w:hAnsi="Cambria Math" w:cs="Times New Roman"/>
                  <w:i/>
                  <w:color w:val="auto"/>
                  <w:sz w:val="21"/>
                  <w:szCs w:val="21"/>
                  <w:highlight w:val="none"/>
                  <w:u w:val="none" w:color="auto"/>
                </w:rPr>
              </m:ctrlPr>
            </m:sub>
          </m:sSub>
          <m:sSub>
            <m:sSubPr>
              <m:ctrlPr>
                <w:rPr>
                  <w:rFonts w:hint="default" w:ascii="Cambria Math" w:hAnsi="Cambria Math" w:cs="Times New Roman"/>
                  <w:i/>
                  <w:color w:val="auto"/>
                  <w:sz w:val="21"/>
                  <w:szCs w:val="21"/>
                  <w:highlight w:val="none"/>
                  <w:u w:val="none" w:color="auto"/>
                </w:rPr>
              </m:ctrlPr>
            </m:sSubPr>
            <m:e>
              <m:d>
                <m:dPr>
                  <m:ctrlPr>
                    <w:rPr>
                      <w:rFonts w:hint="default" w:ascii="Cambria Math" w:hAnsi="Cambria Math" w:cs="Times New Roman"/>
                      <w:i/>
                      <w:color w:val="auto"/>
                      <w:sz w:val="21"/>
                      <w:szCs w:val="21"/>
                      <w:highlight w:val="none"/>
                      <w:u w:val="none" w:color="auto"/>
                    </w:rPr>
                  </m:ctrlPr>
                </m:dPr>
                <m:e>
                  <m:r>
                    <w:rPr>
                      <w:rFonts w:hint="default" w:ascii="Cambria Math" w:hAnsi="Cambria Math" w:cs="Times New Roman"/>
                      <w:color w:val="auto"/>
                      <w:sz w:val="21"/>
                      <w:szCs w:val="21"/>
                      <w:highlight w:val="none"/>
                      <w:u w:val="none" w:color="auto"/>
                    </w:rPr>
                    <m:t>ℎ</m:t>
                  </m:r>
                  <m:ctrlPr>
                    <w:rPr>
                      <w:rFonts w:hint="default" w:ascii="Cambria Math" w:hAnsi="Cambria Math" w:cs="Times New Roman"/>
                      <w:i/>
                      <w:color w:val="auto"/>
                      <w:sz w:val="21"/>
                      <w:szCs w:val="21"/>
                      <w:highlight w:val="none"/>
                      <w:u w:val="none" w:color="auto"/>
                    </w:rPr>
                  </m:ctrlPr>
                </m:e>
              </m:d>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i</m:t>
              </m:r>
              <m:ctrlPr>
                <w:rPr>
                  <w:rFonts w:hint="default" w:ascii="Cambria Math" w:hAnsi="Cambria Math" w:cs="Times New Roman"/>
                  <w:i/>
                  <w:color w:val="auto"/>
                  <w:sz w:val="21"/>
                  <w:szCs w:val="21"/>
                  <w:highlight w:val="none"/>
                  <w:u w:val="none" w:color="auto"/>
                </w:rPr>
              </m:ctrlPr>
            </m:sub>
          </m:sSub>
          <m:r>
            <w:rPr>
              <w:rFonts w:hint="default" w:ascii="Cambria Math" w:hAnsi="Cambria Math" w:cs="Times New Roman"/>
              <w:color w:val="auto"/>
              <w:sz w:val="21"/>
              <w:szCs w:val="21"/>
              <w:highlight w:val="none"/>
              <w:u w:val="none" w:color="auto"/>
            </w:rPr>
            <m:t>=</m:t>
          </m:r>
          <m:sSub>
            <m:sSubPr>
              <m:ctrlPr>
                <w:rPr>
                  <w:rFonts w:hint="default" w:ascii="Cambria Math" w:hAnsi="Cambria Math" w:cs="Times New Roman"/>
                  <w:i/>
                  <w:color w:val="auto"/>
                  <w:sz w:val="21"/>
                  <w:szCs w:val="21"/>
                  <w:highlight w:val="none"/>
                  <w:u w:val="none" w:color="auto"/>
                </w:rPr>
              </m:ctrlPr>
            </m:sSubPr>
            <m:e>
              <m:d>
                <m:dPr>
                  <m:ctrlPr>
                    <w:rPr>
                      <w:rFonts w:hint="default" w:ascii="Cambria Math" w:hAnsi="Cambria Math" w:cs="Times New Roman"/>
                      <w:i/>
                      <w:color w:val="auto"/>
                      <w:sz w:val="21"/>
                      <w:szCs w:val="21"/>
                      <w:highlight w:val="none"/>
                      <w:u w:val="none" w:color="auto"/>
                    </w:rPr>
                  </m:ctrlPr>
                </m:dPr>
                <m:e>
                  <m:sSub>
                    <m:sSubPr>
                      <m:ctrlPr>
                        <w:rPr>
                          <w:rFonts w:hint="default" w:ascii="Cambria Math" w:hAnsi="Cambria Math" w:cs="Times New Roman"/>
                          <w:i/>
                          <w:color w:val="auto"/>
                          <w:sz w:val="21"/>
                          <w:szCs w:val="21"/>
                          <w:highlight w:val="none"/>
                          <w:u w:val="none" w:color="auto"/>
                        </w:rPr>
                      </m:ctrlPr>
                    </m:sSubPr>
                    <m:e>
                      <m:bar>
                        <m:barPr>
                          <m:pos m:val="top"/>
                          <m:ctrlPr>
                            <w:rPr>
                              <w:rFonts w:hint="default" w:ascii="Cambria Math" w:hAnsi="Cambria Math" w:cs="Times New Roman"/>
                              <w:i/>
                              <w:color w:val="auto"/>
                              <w:sz w:val="21"/>
                              <w:szCs w:val="21"/>
                              <w:highlight w:val="none"/>
                              <w:u w:val="none" w:color="auto"/>
                            </w:rPr>
                          </m:ctrlPr>
                        </m:barPr>
                        <m:e>
                          <m:r>
                            <w:rPr>
                              <w:rFonts w:hint="default" w:ascii="Cambria Math" w:hAnsi="Cambria Math" w:cs="Times New Roman"/>
                              <w:color w:val="auto"/>
                              <w:sz w:val="21"/>
                              <w:szCs w:val="21"/>
                              <w:highlight w:val="none"/>
                              <w:u w:val="none" w:color="auto"/>
                            </w:rPr>
                            <m:t>L</m:t>
                          </m:r>
                          <m:ctrlPr>
                            <w:rPr>
                              <w:rFonts w:hint="default" w:ascii="Cambria Math" w:hAnsi="Cambria Math" w:cs="Times New Roman"/>
                              <w:i/>
                              <w:color w:val="auto"/>
                              <w:sz w:val="21"/>
                              <w:szCs w:val="21"/>
                              <w:highlight w:val="none"/>
                              <w:u w:val="none" w:color="auto"/>
                            </w:rPr>
                          </m:ctrlPr>
                        </m:e>
                      </m:bar>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0E</m:t>
                      </m:r>
                      <m:ctrlPr>
                        <w:rPr>
                          <w:rFonts w:hint="default" w:ascii="Cambria Math" w:hAnsi="Cambria Math" w:cs="Times New Roman"/>
                          <w:i/>
                          <w:color w:val="auto"/>
                          <w:sz w:val="21"/>
                          <w:szCs w:val="21"/>
                          <w:highlight w:val="none"/>
                          <w:u w:val="none" w:color="auto"/>
                        </w:rPr>
                      </m:ctrlPr>
                    </m:sub>
                  </m:sSub>
                  <m:ctrlPr>
                    <w:rPr>
                      <w:rFonts w:hint="default" w:ascii="Cambria Math" w:hAnsi="Cambria Math" w:cs="Times New Roman"/>
                      <w:i/>
                      <w:color w:val="auto"/>
                      <w:sz w:val="21"/>
                      <w:szCs w:val="21"/>
                      <w:highlight w:val="none"/>
                      <w:u w:val="none" w:color="auto"/>
                    </w:rPr>
                  </m:ctrlPr>
                </m:e>
              </m:d>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i</m:t>
              </m:r>
              <m:ctrlPr>
                <w:rPr>
                  <w:rFonts w:hint="default" w:ascii="Cambria Math" w:hAnsi="Cambria Math" w:cs="Times New Roman"/>
                  <w:i/>
                  <w:color w:val="auto"/>
                  <w:sz w:val="21"/>
                  <w:szCs w:val="21"/>
                  <w:highlight w:val="none"/>
                  <w:u w:val="none" w:color="auto"/>
                </w:rPr>
              </m:ctrlPr>
            </m:sub>
          </m:sSub>
          <m:r>
            <w:rPr>
              <w:rFonts w:hint="default" w:ascii="Cambria Math" w:hAnsi="Cambria Math" w:cs="Times New Roman"/>
              <w:color w:val="auto"/>
              <w:sz w:val="21"/>
              <w:szCs w:val="21"/>
              <w:highlight w:val="none"/>
              <w:u w:val="none" w:color="auto"/>
            </w:rPr>
            <m:t>+10</m:t>
          </m:r>
          <m:d>
            <m:dPr>
              <m:ctrlPr>
                <w:rPr>
                  <w:rFonts w:hint="default" w:ascii="Cambria Math" w:hAnsi="Cambria Math" w:cs="Times New Roman"/>
                  <w:i/>
                  <w:color w:val="auto"/>
                  <w:sz w:val="21"/>
                  <w:szCs w:val="21"/>
                  <w:highlight w:val="none"/>
                  <w:u w:val="none" w:color="auto"/>
                </w:rPr>
              </m:ctrlPr>
            </m:dPr>
            <m:e>
              <m:f>
                <m:fPr>
                  <m:ctrlPr>
                    <w:rPr>
                      <w:rFonts w:hint="default" w:ascii="Cambria Math" w:hAnsi="Cambria Math" w:cs="Times New Roman"/>
                      <w:i/>
                      <w:color w:val="auto"/>
                      <w:sz w:val="21"/>
                      <w:szCs w:val="21"/>
                      <w:highlight w:val="none"/>
                      <w:u w:val="none" w:color="auto"/>
                    </w:rPr>
                  </m:ctrlPr>
                </m:fPr>
                <m:num>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N</m:t>
                      </m:r>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i</m:t>
                      </m:r>
                      <m:ctrlPr>
                        <w:rPr>
                          <w:rFonts w:hint="default" w:ascii="Cambria Math" w:hAnsi="Cambria Math" w:cs="Times New Roman"/>
                          <w:i/>
                          <w:color w:val="auto"/>
                          <w:sz w:val="21"/>
                          <w:szCs w:val="21"/>
                          <w:highlight w:val="none"/>
                          <w:u w:val="none" w:color="auto"/>
                        </w:rPr>
                      </m:ctrlPr>
                    </m:sub>
                  </m:sSub>
                  <m:ctrlPr>
                    <w:rPr>
                      <w:rFonts w:hint="default" w:ascii="Cambria Math" w:hAnsi="Cambria Math" w:cs="Times New Roman"/>
                      <w:i/>
                      <w:color w:val="auto"/>
                      <w:sz w:val="21"/>
                      <w:szCs w:val="21"/>
                      <w:highlight w:val="none"/>
                      <w:u w:val="none" w:color="auto"/>
                    </w:rPr>
                  </m:ctrlPr>
                </m:num>
                <m:den>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V</m:t>
                      </m:r>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i</m:t>
                      </m:r>
                      <m:ctrlPr>
                        <w:rPr>
                          <w:rFonts w:hint="default" w:ascii="Cambria Math" w:hAnsi="Cambria Math" w:cs="Times New Roman"/>
                          <w:i/>
                          <w:color w:val="auto"/>
                          <w:sz w:val="21"/>
                          <w:szCs w:val="21"/>
                          <w:highlight w:val="none"/>
                          <w:u w:val="none" w:color="auto"/>
                        </w:rPr>
                      </m:ctrlPr>
                    </m:sub>
                  </m:sSub>
                  <m:r>
                    <w:rPr>
                      <w:rFonts w:hint="default" w:ascii="Cambria Math" w:hAnsi="Cambria Math" w:cs="Times New Roman"/>
                      <w:color w:val="auto"/>
                      <w:sz w:val="21"/>
                      <w:szCs w:val="21"/>
                      <w:highlight w:val="none"/>
                      <w:u w:val="none" w:color="auto"/>
                    </w:rPr>
                    <m:t>T</m:t>
                  </m:r>
                  <m:ctrlPr>
                    <w:rPr>
                      <w:rFonts w:hint="default" w:ascii="Cambria Math" w:hAnsi="Cambria Math" w:cs="Times New Roman"/>
                      <w:i/>
                      <w:color w:val="auto"/>
                      <w:sz w:val="21"/>
                      <w:szCs w:val="21"/>
                      <w:highlight w:val="none"/>
                      <w:u w:val="none" w:color="auto"/>
                    </w:rPr>
                  </m:ctrlPr>
                </m:den>
              </m:f>
              <m:ctrlPr>
                <w:rPr>
                  <w:rFonts w:hint="default" w:ascii="Cambria Math" w:hAnsi="Cambria Math" w:cs="Times New Roman"/>
                  <w:i/>
                  <w:color w:val="auto"/>
                  <w:sz w:val="21"/>
                  <w:szCs w:val="21"/>
                  <w:highlight w:val="none"/>
                  <w:u w:val="none" w:color="auto"/>
                </w:rPr>
              </m:ctrlPr>
            </m:e>
          </m:d>
          <m:r>
            <w:rPr>
              <w:rFonts w:hint="default" w:ascii="Cambria Math" w:hAnsi="Cambria Math" w:cs="Times New Roman"/>
              <w:color w:val="auto"/>
              <w:sz w:val="21"/>
              <w:szCs w:val="21"/>
              <w:highlight w:val="none"/>
              <w:u w:val="none" w:color="auto"/>
            </w:rPr>
            <m:t>+∆</m:t>
          </m:r>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L</m:t>
              </m:r>
              <m:ctrlPr>
                <w:rPr>
                  <w:rFonts w:hint="default" w:ascii="Cambria Math" w:hAnsi="Cambria Math" w:cs="Times New Roman"/>
                  <w:i/>
                  <w:color w:val="auto"/>
                  <w:sz w:val="21"/>
                  <w:szCs w:val="21"/>
                  <w:highlight w:val="none"/>
                  <w:u w:val="none" w:color="auto"/>
                </w:rPr>
              </m:ctrlPr>
            </m:e>
            <m:sub>
              <m:r>
                <m:rPr>
                  <m:nor/>
                  <m:sty m:val="p"/>
                </m:rPr>
                <w:rPr>
                  <w:rFonts w:hint="default" w:ascii="Cambria Math" w:hAnsi="Cambria Math" w:cs="Times New Roman"/>
                  <w:b w:val="0"/>
                  <w:i w:val="0"/>
                  <w:color w:val="auto"/>
                  <w:sz w:val="21"/>
                  <w:szCs w:val="21"/>
                  <w:highlight w:val="none"/>
                  <w:u w:val="none" w:color="auto"/>
                </w:rPr>
                <m:t>距离</m:t>
              </m:r>
              <m:ctrlPr>
                <w:rPr>
                  <w:rFonts w:hint="default" w:ascii="Cambria Math" w:hAnsi="Cambria Math" w:cs="Times New Roman"/>
                  <w:i/>
                  <w:color w:val="auto"/>
                  <w:sz w:val="21"/>
                  <w:szCs w:val="21"/>
                  <w:highlight w:val="none"/>
                  <w:u w:val="none" w:color="auto"/>
                </w:rPr>
              </m:ctrlPr>
            </m:sub>
          </m:sSub>
          <m:r>
            <w:rPr>
              <w:rFonts w:hint="default" w:ascii="Cambria Math" w:hAnsi="Cambria Math" w:cs="Times New Roman"/>
              <w:color w:val="auto"/>
              <w:sz w:val="21"/>
              <w:szCs w:val="21"/>
              <w:highlight w:val="none"/>
              <w:u w:val="none" w:color="auto"/>
            </w:rPr>
            <m:t>+10lg</m:t>
          </m:r>
          <m:d>
            <m:dPr>
              <m:ctrlPr>
                <w:rPr>
                  <w:rFonts w:hint="default" w:ascii="Cambria Math" w:hAnsi="Cambria Math" w:cs="Times New Roman"/>
                  <w:i/>
                  <w:color w:val="auto"/>
                  <w:sz w:val="21"/>
                  <w:szCs w:val="21"/>
                  <w:highlight w:val="none"/>
                  <w:u w:val="none" w:color="auto"/>
                </w:rPr>
              </m:ctrlPr>
            </m:dPr>
            <m:e>
              <m:f>
                <m:fPr>
                  <m:ctrlPr>
                    <w:rPr>
                      <w:rFonts w:hint="default" w:ascii="Cambria Math" w:hAnsi="Cambria Math" w:cs="Times New Roman"/>
                      <w:i/>
                      <w:color w:val="auto"/>
                      <w:sz w:val="21"/>
                      <w:szCs w:val="21"/>
                      <w:highlight w:val="none"/>
                      <w:u w:val="none" w:color="auto"/>
                    </w:rPr>
                  </m:ctrlPr>
                </m:fPr>
                <m:num>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φ</m:t>
                      </m:r>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1</m:t>
                      </m:r>
                      <m:ctrlPr>
                        <w:rPr>
                          <w:rFonts w:hint="default" w:ascii="Cambria Math" w:hAnsi="Cambria Math" w:cs="Times New Roman"/>
                          <w:i/>
                          <w:color w:val="auto"/>
                          <w:sz w:val="21"/>
                          <w:szCs w:val="21"/>
                          <w:highlight w:val="none"/>
                          <w:u w:val="none" w:color="auto"/>
                        </w:rPr>
                      </m:ctrlPr>
                    </m:sub>
                  </m:sSub>
                  <m:r>
                    <w:rPr>
                      <w:rFonts w:hint="default" w:ascii="Cambria Math" w:hAnsi="Cambria Math" w:cs="Times New Roman"/>
                      <w:color w:val="auto"/>
                      <w:sz w:val="21"/>
                      <w:szCs w:val="21"/>
                      <w:highlight w:val="none"/>
                      <w:u w:val="none" w:color="auto"/>
                    </w:rPr>
                    <m:t>+</m:t>
                  </m:r>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φ</m:t>
                      </m:r>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2</m:t>
                      </m:r>
                      <m:ctrlPr>
                        <w:rPr>
                          <w:rFonts w:hint="default" w:ascii="Cambria Math" w:hAnsi="Cambria Math" w:cs="Times New Roman"/>
                          <w:i/>
                          <w:color w:val="auto"/>
                          <w:sz w:val="21"/>
                          <w:szCs w:val="21"/>
                          <w:highlight w:val="none"/>
                          <w:u w:val="none" w:color="auto"/>
                        </w:rPr>
                      </m:ctrlPr>
                    </m:sub>
                  </m:sSub>
                  <m:ctrlPr>
                    <w:rPr>
                      <w:rFonts w:hint="default" w:ascii="Cambria Math" w:hAnsi="Cambria Math" w:cs="Times New Roman"/>
                      <w:i/>
                      <w:color w:val="auto"/>
                      <w:sz w:val="21"/>
                      <w:szCs w:val="21"/>
                      <w:highlight w:val="none"/>
                      <w:u w:val="none" w:color="auto"/>
                    </w:rPr>
                  </m:ctrlPr>
                </m:num>
                <m:den>
                  <m:r>
                    <w:rPr>
                      <w:rFonts w:hint="default" w:ascii="Cambria Math" w:hAnsi="Cambria Math" w:cs="Times New Roman"/>
                      <w:color w:val="auto"/>
                      <w:sz w:val="21"/>
                      <w:szCs w:val="21"/>
                      <w:highlight w:val="none"/>
                      <w:u w:val="none" w:color="auto"/>
                    </w:rPr>
                    <m:t>π</m:t>
                  </m:r>
                  <m:ctrlPr>
                    <w:rPr>
                      <w:rFonts w:hint="default" w:ascii="Cambria Math" w:hAnsi="Cambria Math" w:cs="Times New Roman"/>
                      <w:i/>
                      <w:color w:val="auto"/>
                      <w:sz w:val="21"/>
                      <w:szCs w:val="21"/>
                      <w:highlight w:val="none"/>
                      <w:u w:val="none" w:color="auto"/>
                    </w:rPr>
                  </m:ctrlPr>
                </m:den>
              </m:f>
              <m:ctrlPr>
                <w:rPr>
                  <w:rFonts w:hint="default" w:ascii="Cambria Math" w:hAnsi="Cambria Math" w:cs="Times New Roman"/>
                  <w:i/>
                  <w:color w:val="auto"/>
                  <w:sz w:val="21"/>
                  <w:szCs w:val="21"/>
                  <w:highlight w:val="none"/>
                  <w:u w:val="none" w:color="auto"/>
                </w:rPr>
              </m:ctrlPr>
            </m:e>
          </m:d>
          <m:r>
            <w:rPr>
              <w:rFonts w:hint="default" w:ascii="Cambria Math" w:hAnsi="Cambria Math" w:cs="Times New Roman"/>
              <w:color w:val="auto"/>
              <w:sz w:val="21"/>
              <w:szCs w:val="21"/>
              <w:highlight w:val="none"/>
              <w:u w:val="none" w:color="auto"/>
            </w:rPr>
            <m:t>+∆L−16</m:t>
          </m:r>
        </m:oMath>
      </m:oMathPara>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sz w:val="21"/>
          <w:szCs w:val="21"/>
          <w:highlight w:val="none"/>
          <w:u w:val="none" w:color="auto"/>
        </w:rPr>
      </w:pPr>
      <m:oMath>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L</m:t>
            </m:r>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eq</m:t>
            </m:r>
            <m:ctrlPr>
              <w:rPr>
                <w:rFonts w:hint="default" w:ascii="Cambria Math" w:hAnsi="Cambria Math" w:cs="Times New Roman"/>
                <w:i/>
                <w:color w:val="auto"/>
                <w:sz w:val="21"/>
                <w:szCs w:val="21"/>
                <w:highlight w:val="none"/>
                <w:u w:val="none" w:color="auto"/>
              </w:rPr>
            </m:ctrlPr>
          </m:sub>
        </m:sSub>
        <m:sSub>
          <m:sSubPr>
            <m:ctrlPr>
              <w:rPr>
                <w:rFonts w:hint="default" w:ascii="Cambria Math" w:hAnsi="Cambria Math" w:cs="Times New Roman"/>
                <w:i/>
                <w:color w:val="auto"/>
                <w:sz w:val="21"/>
                <w:szCs w:val="21"/>
                <w:highlight w:val="none"/>
                <w:u w:val="none" w:color="auto"/>
              </w:rPr>
            </m:ctrlPr>
          </m:sSubPr>
          <m:e>
            <m:d>
              <m:dPr>
                <m:ctrlPr>
                  <w:rPr>
                    <w:rFonts w:hint="default" w:ascii="Cambria Math" w:hAnsi="Cambria Math" w:cs="Times New Roman"/>
                    <w:i/>
                    <w:color w:val="auto"/>
                    <w:sz w:val="21"/>
                    <w:szCs w:val="21"/>
                    <w:highlight w:val="none"/>
                    <w:u w:val="none" w:color="auto"/>
                  </w:rPr>
                </m:ctrlPr>
              </m:dPr>
              <m:e>
                <m:r>
                  <w:rPr>
                    <w:rFonts w:hint="default" w:ascii="Cambria Math" w:hAnsi="Cambria Math" w:cs="Times New Roman"/>
                    <w:color w:val="auto"/>
                    <w:sz w:val="21"/>
                    <w:szCs w:val="21"/>
                    <w:highlight w:val="none"/>
                    <w:u w:val="none" w:color="auto"/>
                  </w:rPr>
                  <m:t>ℎ</m:t>
                </m:r>
                <m:ctrlPr>
                  <w:rPr>
                    <w:rFonts w:hint="default" w:ascii="Cambria Math" w:hAnsi="Cambria Math" w:cs="Times New Roman"/>
                    <w:i/>
                    <w:color w:val="auto"/>
                    <w:sz w:val="21"/>
                    <w:szCs w:val="21"/>
                    <w:highlight w:val="none"/>
                    <w:u w:val="none" w:color="auto"/>
                  </w:rPr>
                </m:ctrlPr>
              </m:e>
            </m:d>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i</m:t>
            </m:r>
            <m:ctrlPr>
              <w:rPr>
                <w:rFonts w:hint="default" w:ascii="Cambria Math" w:hAnsi="Cambria Math" w:cs="Times New Roman"/>
                <w:i/>
                <w:color w:val="auto"/>
                <w:sz w:val="21"/>
                <w:szCs w:val="21"/>
                <w:highlight w:val="none"/>
                <w:u w:val="none" w:color="auto"/>
              </w:rPr>
            </m:ctrlPr>
          </m:sub>
        </m:sSub>
      </m:oMath>
      <w:r>
        <w:rPr>
          <w:rFonts w:hint="default" w:ascii="Times New Roman" w:hAnsi="Times New Roman" w:cs="Times New Roman"/>
          <w:color w:val="auto"/>
          <w:kern w:val="0"/>
          <w:sz w:val="21"/>
          <w:szCs w:val="21"/>
          <w:highlight w:val="none"/>
          <w:u w:val="none" w:color="auto"/>
        </w:rPr>
        <w:t>—第i类车的小时等效声级，dB(A)；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sz w:val="21"/>
          <w:szCs w:val="21"/>
          <w:highlight w:val="none"/>
          <w:u w:val="none" w:color="auto"/>
        </w:rPr>
      </w:pPr>
      <m:oMath>
        <m:sSub>
          <m:sSubPr>
            <m:ctrlPr>
              <w:rPr>
                <w:rFonts w:hint="default" w:ascii="Cambria Math" w:hAnsi="Cambria Math" w:cs="Times New Roman"/>
                <w:i/>
                <w:color w:val="auto"/>
                <w:sz w:val="21"/>
                <w:szCs w:val="21"/>
                <w:highlight w:val="none"/>
                <w:u w:val="none" w:color="auto"/>
              </w:rPr>
            </m:ctrlPr>
          </m:sSubPr>
          <m:e>
            <m:d>
              <m:dPr>
                <m:ctrlPr>
                  <w:rPr>
                    <w:rFonts w:hint="default" w:ascii="Cambria Math" w:hAnsi="Cambria Math" w:cs="Times New Roman"/>
                    <w:i/>
                    <w:color w:val="auto"/>
                    <w:sz w:val="21"/>
                    <w:szCs w:val="21"/>
                    <w:highlight w:val="none"/>
                    <w:u w:val="none" w:color="auto"/>
                  </w:rPr>
                </m:ctrlPr>
              </m:dPr>
              <m:e>
                <m:sSub>
                  <m:sSubPr>
                    <m:ctrlPr>
                      <w:rPr>
                        <w:rFonts w:hint="default" w:ascii="Cambria Math" w:hAnsi="Cambria Math" w:cs="Times New Roman"/>
                        <w:i/>
                        <w:color w:val="auto"/>
                        <w:sz w:val="21"/>
                        <w:szCs w:val="21"/>
                        <w:highlight w:val="none"/>
                        <w:u w:val="none" w:color="auto"/>
                      </w:rPr>
                    </m:ctrlPr>
                  </m:sSubPr>
                  <m:e>
                    <m:bar>
                      <m:barPr>
                        <m:pos m:val="top"/>
                        <m:ctrlPr>
                          <w:rPr>
                            <w:rFonts w:hint="default" w:ascii="Cambria Math" w:hAnsi="Cambria Math" w:cs="Times New Roman"/>
                            <w:i/>
                            <w:color w:val="auto"/>
                            <w:sz w:val="21"/>
                            <w:szCs w:val="21"/>
                            <w:highlight w:val="none"/>
                            <w:u w:val="none" w:color="auto"/>
                          </w:rPr>
                        </m:ctrlPr>
                      </m:barPr>
                      <m:e>
                        <m:r>
                          <w:rPr>
                            <w:rFonts w:hint="default" w:ascii="Cambria Math" w:hAnsi="Cambria Math" w:cs="Times New Roman"/>
                            <w:color w:val="auto"/>
                            <w:sz w:val="21"/>
                            <w:szCs w:val="21"/>
                            <w:highlight w:val="none"/>
                            <w:u w:val="none" w:color="auto"/>
                          </w:rPr>
                          <m:t>L</m:t>
                        </m:r>
                        <m:ctrlPr>
                          <w:rPr>
                            <w:rFonts w:hint="default" w:ascii="Cambria Math" w:hAnsi="Cambria Math" w:cs="Times New Roman"/>
                            <w:i/>
                            <w:color w:val="auto"/>
                            <w:sz w:val="21"/>
                            <w:szCs w:val="21"/>
                            <w:highlight w:val="none"/>
                            <w:u w:val="none" w:color="auto"/>
                          </w:rPr>
                        </m:ctrlPr>
                      </m:e>
                    </m:bar>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0E</m:t>
                    </m:r>
                    <m:ctrlPr>
                      <w:rPr>
                        <w:rFonts w:hint="default" w:ascii="Cambria Math" w:hAnsi="Cambria Math" w:cs="Times New Roman"/>
                        <w:i/>
                        <w:color w:val="auto"/>
                        <w:sz w:val="21"/>
                        <w:szCs w:val="21"/>
                        <w:highlight w:val="none"/>
                        <w:u w:val="none" w:color="auto"/>
                      </w:rPr>
                    </m:ctrlPr>
                  </m:sub>
                </m:sSub>
                <m:ctrlPr>
                  <w:rPr>
                    <w:rFonts w:hint="default" w:ascii="Cambria Math" w:hAnsi="Cambria Math" w:cs="Times New Roman"/>
                    <w:i/>
                    <w:color w:val="auto"/>
                    <w:sz w:val="21"/>
                    <w:szCs w:val="21"/>
                    <w:highlight w:val="none"/>
                    <w:u w:val="none" w:color="auto"/>
                  </w:rPr>
                </m:ctrlPr>
              </m:e>
            </m:d>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i</m:t>
            </m:r>
            <m:ctrlPr>
              <w:rPr>
                <w:rFonts w:hint="default" w:ascii="Cambria Math" w:hAnsi="Cambria Math" w:cs="Times New Roman"/>
                <w:i/>
                <w:color w:val="auto"/>
                <w:sz w:val="21"/>
                <w:szCs w:val="21"/>
                <w:highlight w:val="none"/>
                <w:u w:val="none" w:color="auto"/>
              </w:rPr>
            </m:ctrlPr>
          </m:sub>
        </m:sSub>
      </m:oMath>
      <w:r>
        <w:rPr>
          <w:rFonts w:hint="default" w:ascii="Times New Roman" w:hAnsi="Times New Roman" w:cs="Times New Roman"/>
          <w:color w:val="auto"/>
          <w:kern w:val="0"/>
          <w:sz w:val="21"/>
          <w:szCs w:val="21"/>
          <w:highlight w:val="none"/>
          <w:u w:val="none" w:color="auto"/>
        </w:rPr>
        <w:t>—第i类车速度为V</w:t>
      </w:r>
      <w:r>
        <w:rPr>
          <w:rFonts w:hint="default" w:ascii="Times New Roman" w:hAnsi="Times New Roman" w:cs="Times New Roman"/>
          <w:color w:val="auto"/>
          <w:kern w:val="0"/>
          <w:sz w:val="21"/>
          <w:szCs w:val="21"/>
          <w:highlight w:val="none"/>
          <w:u w:val="none" w:color="auto"/>
          <w:vertAlign w:val="subscript"/>
        </w:rPr>
        <w:t>i</w:t>
      </w:r>
      <w:r>
        <w:rPr>
          <w:rFonts w:hint="default" w:ascii="Times New Roman" w:hAnsi="Times New Roman" w:cs="Times New Roman"/>
          <w:color w:val="auto"/>
          <w:kern w:val="0"/>
          <w:sz w:val="21"/>
          <w:szCs w:val="21"/>
          <w:highlight w:val="none"/>
          <w:u w:val="none" w:color="auto"/>
        </w:rPr>
        <w:t>，km/h；水平距离为7.5m处的能量平均A声级，dB(A)；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m:oMath>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N</m:t>
            </m:r>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i</m:t>
            </m:r>
            <m:ctrlPr>
              <w:rPr>
                <w:rFonts w:hint="default" w:ascii="Cambria Math" w:hAnsi="Cambria Math" w:cs="Times New Roman"/>
                <w:i/>
                <w:color w:val="auto"/>
                <w:sz w:val="21"/>
                <w:szCs w:val="21"/>
                <w:highlight w:val="none"/>
                <w:u w:val="none" w:color="auto"/>
              </w:rPr>
            </m:ctrlPr>
          </m:sub>
        </m:sSub>
      </m:oMath>
      <w:r>
        <w:rPr>
          <w:rFonts w:hint="default" w:ascii="Times New Roman" w:hAnsi="Times New Roman" w:cs="Times New Roman"/>
          <w:color w:val="auto"/>
          <w:kern w:val="2"/>
          <w:sz w:val="21"/>
          <w:szCs w:val="21"/>
          <w:highlight w:val="none"/>
          <w:u w:val="none" w:color="auto"/>
        </w:rPr>
        <w:t>—昼间、夜间通过某个预测点的第i类车平均小时车流量，辆/h；</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sz w:val="21"/>
          <w:szCs w:val="21"/>
          <w:highlight w:val="none"/>
          <w:u w:val="none" w:color="auto"/>
        </w:rPr>
      </w:pPr>
      <m:oMath>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V</m:t>
            </m:r>
            <m:ctrlPr>
              <w:rPr>
                <w:rFonts w:hint="default" w:ascii="Cambria Math" w:hAnsi="Cambria Math" w:cs="Times New Roman"/>
                <w:i/>
                <w:color w:val="auto"/>
                <w:sz w:val="21"/>
                <w:szCs w:val="21"/>
                <w:highlight w:val="none"/>
                <w:u w:val="none" w:color="auto"/>
              </w:rPr>
            </m:ctrlPr>
          </m:e>
          <m:sub>
            <m:r>
              <w:rPr>
                <w:rFonts w:hint="default" w:ascii="Cambria Math" w:hAnsi="Cambria Math" w:cs="Times New Roman"/>
                <w:color w:val="auto"/>
                <w:sz w:val="21"/>
                <w:szCs w:val="21"/>
                <w:highlight w:val="none"/>
                <w:u w:val="none" w:color="auto"/>
              </w:rPr>
              <m:t>i</m:t>
            </m:r>
            <m:ctrlPr>
              <w:rPr>
                <w:rFonts w:hint="default" w:ascii="Cambria Math" w:hAnsi="Cambria Math" w:cs="Times New Roman"/>
                <w:i/>
                <w:color w:val="auto"/>
                <w:sz w:val="21"/>
                <w:szCs w:val="21"/>
                <w:highlight w:val="none"/>
                <w:u w:val="none" w:color="auto"/>
              </w:rPr>
            </m:ctrlPr>
          </m:sub>
        </m:sSub>
      </m:oMath>
      <w:r>
        <w:rPr>
          <w:rFonts w:hint="default" w:ascii="Times New Roman" w:hAnsi="Times New Roman" w:cs="Times New Roman"/>
          <w:color w:val="auto"/>
          <w:kern w:val="0"/>
          <w:sz w:val="21"/>
          <w:szCs w:val="21"/>
          <w:highlight w:val="none"/>
          <w:u w:val="none" w:color="auto"/>
        </w:rPr>
        <w:t>—第i类车的平均车速，km/h；</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T—计算等效声级的时间，1h；</w:t>
      </w:r>
    </w:p>
    <w:p>
      <w:pPr>
        <w:keepNext w:val="0"/>
        <w:keepLines w:val="0"/>
        <w:pageBreakBefore w:val="0"/>
        <w:widowControl w:val="0"/>
        <w:kinsoku/>
        <w:wordWrap/>
        <w:overflowPunct/>
        <w:topLinePunct w:val="0"/>
        <w:autoSpaceDE/>
        <w:autoSpaceDN/>
        <w:bidi w:val="0"/>
        <w:adjustRightInd w:val="0"/>
        <w:snapToGrid w:val="0"/>
        <w:spacing w:line="360" w:lineRule="auto"/>
        <w:ind w:firstLine="174" w:firstLineChars="83"/>
        <w:textAlignment w:val="auto"/>
        <w:rPr>
          <w:rFonts w:hint="default" w:ascii="Times New Roman" w:hAnsi="Times New Roman" w:cs="Times New Roman"/>
          <w:color w:val="auto"/>
          <w:kern w:val="2"/>
          <w:sz w:val="21"/>
          <w:szCs w:val="21"/>
          <w:highlight w:val="none"/>
          <w:u w:val="none" w:color="auto"/>
        </w:rPr>
      </w:pPr>
      <m:oMath>
        <m:r>
          <w:rPr>
            <w:rFonts w:hint="default" w:ascii="Cambria Math" w:hAnsi="Cambria Math" w:cs="Times New Roman"/>
            <w:color w:val="auto"/>
            <w:sz w:val="21"/>
            <w:szCs w:val="21"/>
            <w:highlight w:val="none"/>
            <w:u w:val="none" w:color="auto"/>
          </w:rPr>
          <m:t>∆</m:t>
        </m:r>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L</m:t>
            </m:r>
            <m:ctrlPr>
              <w:rPr>
                <w:rFonts w:hint="default" w:ascii="Cambria Math" w:hAnsi="Cambria Math" w:cs="Times New Roman"/>
                <w:i/>
                <w:color w:val="auto"/>
                <w:sz w:val="21"/>
                <w:szCs w:val="21"/>
                <w:highlight w:val="none"/>
                <w:u w:val="none" w:color="auto"/>
              </w:rPr>
            </m:ctrlPr>
          </m:e>
          <m:sub>
            <m:r>
              <m:rPr>
                <m:nor/>
                <m:sty m:val="p"/>
              </m:rPr>
              <w:rPr>
                <w:rFonts w:hint="default" w:ascii="Cambria Math" w:hAnsi="Cambria Math" w:cs="Times New Roman"/>
                <w:b w:val="0"/>
                <w:i w:val="0"/>
                <w:color w:val="auto"/>
                <w:sz w:val="21"/>
                <w:szCs w:val="21"/>
                <w:highlight w:val="none"/>
                <w:u w:val="none" w:color="auto"/>
              </w:rPr>
              <m:t>距离</m:t>
            </m:r>
            <m:ctrlPr>
              <w:rPr>
                <w:rFonts w:hint="default" w:ascii="Cambria Math" w:hAnsi="Cambria Math" w:cs="Times New Roman"/>
                <w:i/>
                <w:color w:val="auto"/>
                <w:sz w:val="21"/>
                <w:szCs w:val="21"/>
                <w:highlight w:val="none"/>
                <w:u w:val="none" w:color="auto"/>
              </w:rPr>
            </m:ctrlPr>
          </m:sub>
        </m:sSub>
      </m:oMath>
      <w:r>
        <w:rPr>
          <w:rFonts w:hint="default" w:ascii="Times New Roman" w:hAnsi="Times New Roman" w:cs="Times New Roman"/>
          <w:color w:val="auto"/>
          <w:kern w:val="0"/>
          <w:sz w:val="21"/>
          <w:szCs w:val="21"/>
          <w:highlight w:val="none"/>
          <w:u w:val="none" w:color="auto"/>
        </w:rPr>
        <w:t>—距离衰减量，dB(A)，小时车流量大于等于300辆/小时：</w:t>
      </w:r>
      <m:oMath>
        <m:r>
          <w:rPr>
            <w:rFonts w:hint="default" w:ascii="Cambria Math" w:hAnsi="Cambria Math" w:cs="Times New Roman"/>
            <w:color w:val="auto"/>
            <w:sz w:val="21"/>
            <w:szCs w:val="21"/>
            <w:highlight w:val="none"/>
            <w:u w:val="none" w:color="auto"/>
          </w:rPr>
          <m:t>∆</m:t>
        </m:r>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L</m:t>
            </m:r>
            <m:ctrlPr>
              <w:rPr>
                <w:rFonts w:hint="default" w:ascii="Cambria Math" w:hAnsi="Cambria Math" w:cs="Times New Roman"/>
                <w:i/>
                <w:color w:val="auto"/>
                <w:sz w:val="21"/>
                <w:szCs w:val="21"/>
                <w:highlight w:val="none"/>
                <w:u w:val="none" w:color="auto"/>
              </w:rPr>
            </m:ctrlPr>
          </m:e>
          <m:sub>
            <m:r>
              <m:rPr>
                <m:nor/>
                <m:sty m:val="p"/>
              </m:rPr>
              <w:rPr>
                <w:rFonts w:hint="default" w:ascii="Cambria Math" w:hAnsi="Cambria Math" w:cs="Times New Roman"/>
                <w:b w:val="0"/>
                <w:i w:val="0"/>
                <w:color w:val="auto"/>
                <w:sz w:val="21"/>
                <w:szCs w:val="21"/>
                <w:highlight w:val="none"/>
                <w:u w:val="none" w:color="auto"/>
              </w:rPr>
              <m:t>距离</m:t>
            </m:r>
            <m:ctrlPr>
              <w:rPr>
                <w:rFonts w:hint="default" w:ascii="Cambria Math" w:hAnsi="Cambria Math" w:cs="Times New Roman"/>
                <w:i/>
                <w:color w:val="auto"/>
                <w:sz w:val="21"/>
                <w:szCs w:val="21"/>
                <w:highlight w:val="none"/>
                <w:u w:val="none" w:color="auto"/>
              </w:rPr>
            </m:ctrlPr>
          </m:sub>
        </m:sSub>
      </m:oMath>
      <w:r>
        <w:rPr>
          <w:rFonts w:hint="default" w:ascii="Times New Roman" w:hAnsi="Times New Roman" w:cs="Times New Roman"/>
          <w:color w:val="auto"/>
          <w:kern w:val="2"/>
          <w:sz w:val="21"/>
          <w:szCs w:val="21"/>
          <w:highlight w:val="none"/>
          <w:u w:val="none" w:color="auto"/>
        </w:rPr>
        <w:t>=10lg(7.5/r)，</w:t>
      </w:r>
      <w:r>
        <w:rPr>
          <w:rFonts w:hint="default" w:ascii="Times New Roman" w:hAnsi="Times New Roman" w:cs="Times New Roman"/>
          <w:color w:val="auto"/>
          <w:kern w:val="0"/>
          <w:sz w:val="21"/>
          <w:szCs w:val="21"/>
          <w:highlight w:val="none"/>
          <w:u w:val="none" w:color="auto"/>
        </w:rPr>
        <w:t>小时车流量小于300辆/小时：</w:t>
      </w:r>
      <m:oMath>
        <m:r>
          <w:rPr>
            <w:rFonts w:hint="default" w:ascii="Cambria Math" w:hAnsi="Cambria Math" w:cs="Times New Roman"/>
            <w:color w:val="auto"/>
            <w:sz w:val="21"/>
            <w:szCs w:val="21"/>
            <w:highlight w:val="none"/>
            <w:u w:val="none" w:color="auto"/>
          </w:rPr>
          <m:t>∆</m:t>
        </m:r>
        <m:sSub>
          <m:sSubPr>
            <m:ctrlPr>
              <w:rPr>
                <w:rFonts w:hint="default" w:ascii="Cambria Math" w:hAnsi="Cambria Math" w:cs="Times New Roman"/>
                <w:i/>
                <w:color w:val="auto"/>
                <w:sz w:val="21"/>
                <w:szCs w:val="21"/>
                <w:highlight w:val="none"/>
                <w:u w:val="none" w:color="auto"/>
              </w:rPr>
            </m:ctrlPr>
          </m:sSubPr>
          <m:e>
            <m:r>
              <w:rPr>
                <w:rFonts w:hint="default" w:ascii="Cambria Math" w:hAnsi="Cambria Math" w:cs="Times New Roman"/>
                <w:color w:val="auto"/>
                <w:sz w:val="21"/>
                <w:szCs w:val="21"/>
                <w:highlight w:val="none"/>
                <w:u w:val="none" w:color="auto"/>
              </w:rPr>
              <m:t>L</m:t>
            </m:r>
            <m:ctrlPr>
              <w:rPr>
                <w:rFonts w:hint="default" w:ascii="Cambria Math" w:hAnsi="Cambria Math" w:cs="Times New Roman"/>
                <w:i/>
                <w:color w:val="auto"/>
                <w:sz w:val="21"/>
                <w:szCs w:val="21"/>
                <w:highlight w:val="none"/>
                <w:u w:val="none" w:color="auto"/>
              </w:rPr>
            </m:ctrlPr>
          </m:e>
          <m:sub>
            <m:r>
              <m:rPr>
                <m:nor/>
                <m:sty m:val="p"/>
              </m:rPr>
              <w:rPr>
                <w:rFonts w:hint="default" w:ascii="Cambria Math" w:hAnsi="Cambria Math" w:cs="Times New Roman"/>
                <w:b w:val="0"/>
                <w:i w:val="0"/>
                <w:color w:val="auto"/>
                <w:sz w:val="21"/>
                <w:szCs w:val="21"/>
                <w:highlight w:val="none"/>
                <w:u w:val="none" w:color="auto"/>
              </w:rPr>
              <m:t>距离</m:t>
            </m:r>
            <m:ctrlPr>
              <w:rPr>
                <w:rFonts w:hint="default" w:ascii="Cambria Math" w:hAnsi="Cambria Math" w:cs="Times New Roman"/>
                <w:i/>
                <w:color w:val="auto"/>
                <w:sz w:val="21"/>
                <w:szCs w:val="21"/>
                <w:highlight w:val="none"/>
                <w:u w:val="none" w:color="auto"/>
              </w:rPr>
            </m:ctrlPr>
          </m:sub>
        </m:sSub>
      </m:oMath>
      <w:r>
        <w:rPr>
          <w:rFonts w:hint="default" w:ascii="Times New Roman" w:hAnsi="Times New Roman" w:cs="Times New Roman"/>
          <w:color w:val="auto"/>
          <w:kern w:val="2"/>
          <w:sz w:val="21"/>
          <w:szCs w:val="21"/>
          <w:highlight w:val="none"/>
          <w:u w:val="none" w:color="auto"/>
        </w:rPr>
        <w:t>=15lg(7.5/r)；</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r—从车道中心点到预测点的距离，m；适用于r＞7.5m预测点的噪声预测；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0"/>
          <w:sz w:val="21"/>
          <w:szCs w:val="21"/>
          <w:highlight w:val="none"/>
          <w:u w:val="none" w:color="auto"/>
        </w:rPr>
      </w:pPr>
      <m:oMath>
        <m:sSub>
          <m:sSubPr>
            <m:ctrlPr>
              <w:rPr>
                <w:rFonts w:hint="default" w:ascii="Cambria Math" w:hAnsi="Cambria Math" w:cs="Times New Roman"/>
                <w:i/>
                <w:color w:val="auto"/>
                <w:kern w:val="0"/>
                <w:sz w:val="21"/>
                <w:szCs w:val="21"/>
                <w:highlight w:val="none"/>
                <w:u w:val="none" w:color="auto"/>
              </w:rPr>
            </m:ctrlPr>
          </m:sSubPr>
          <m:e>
            <m:r>
              <w:rPr>
                <w:rFonts w:hint="default" w:ascii="Cambria Math" w:hAnsi="Cambria Math" w:cs="Times New Roman"/>
                <w:color w:val="auto"/>
                <w:kern w:val="0"/>
                <w:sz w:val="21"/>
                <w:szCs w:val="21"/>
                <w:highlight w:val="none"/>
                <w:u w:val="none" w:color="auto"/>
              </w:rPr>
              <m:t>φ</m:t>
            </m:r>
            <m:ctrlPr>
              <w:rPr>
                <w:rFonts w:hint="default" w:ascii="Cambria Math" w:hAnsi="Cambria Math" w:cs="Times New Roman"/>
                <w:i/>
                <w:color w:val="auto"/>
                <w:kern w:val="0"/>
                <w:sz w:val="21"/>
                <w:szCs w:val="21"/>
                <w:highlight w:val="none"/>
                <w:u w:val="none" w:color="auto"/>
              </w:rPr>
            </m:ctrlPr>
          </m:e>
          <m:sub>
            <m:r>
              <w:rPr>
                <w:rFonts w:hint="default" w:ascii="Cambria Math" w:hAnsi="Cambria Math" w:cs="Times New Roman"/>
                <w:color w:val="auto"/>
                <w:kern w:val="0"/>
                <w:sz w:val="21"/>
                <w:szCs w:val="21"/>
                <w:highlight w:val="none"/>
                <w:u w:val="none" w:color="auto"/>
              </w:rPr>
              <m:t>1</m:t>
            </m:r>
            <m:ctrlPr>
              <w:rPr>
                <w:rFonts w:hint="default" w:ascii="Cambria Math" w:hAnsi="Cambria Math" w:cs="Times New Roman"/>
                <w:i/>
                <w:color w:val="auto"/>
                <w:kern w:val="0"/>
                <w:sz w:val="21"/>
                <w:szCs w:val="21"/>
                <w:highlight w:val="none"/>
                <w:u w:val="none" w:color="auto"/>
              </w:rPr>
            </m:ctrlPr>
          </m:sub>
        </m:sSub>
        <m:r>
          <w:rPr>
            <w:rFonts w:hint="default" w:ascii="Cambria Math" w:hAnsi="Cambria Math" w:cs="Times New Roman"/>
            <w:color w:val="auto"/>
            <w:kern w:val="0"/>
            <w:sz w:val="21"/>
            <w:szCs w:val="21"/>
            <w:highlight w:val="none"/>
            <w:u w:val="none" w:color="auto"/>
          </w:rPr>
          <m:t>+</m:t>
        </m:r>
        <m:sSub>
          <m:sSubPr>
            <m:ctrlPr>
              <w:rPr>
                <w:rFonts w:hint="default" w:ascii="Cambria Math" w:hAnsi="Cambria Math" w:cs="Times New Roman"/>
                <w:i/>
                <w:color w:val="auto"/>
                <w:kern w:val="0"/>
                <w:sz w:val="21"/>
                <w:szCs w:val="21"/>
                <w:highlight w:val="none"/>
                <w:u w:val="none" w:color="auto"/>
              </w:rPr>
            </m:ctrlPr>
          </m:sSubPr>
          <m:e>
            <m:r>
              <w:rPr>
                <w:rFonts w:hint="default" w:ascii="Cambria Math" w:hAnsi="Cambria Math" w:cs="Times New Roman"/>
                <w:color w:val="auto"/>
                <w:kern w:val="0"/>
                <w:sz w:val="21"/>
                <w:szCs w:val="21"/>
                <w:highlight w:val="none"/>
                <w:u w:val="none" w:color="auto"/>
              </w:rPr>
              <m:t>φ</m:t>
            </m:r>
            <m:ctrlPr>
              <w:rPr>
                <w:rFonts w:hint="default" w:ascii="Cambria Math" w:hAnsi="Cambria Math" w:cs="Times New Roman"/>
                <w:i/>
                <w:color w:val="auto"/>
                <w:kern w:val="0"/>
                <w:sz w:val="21"/>
                <w:szCs w:val="21"/>
                <w:highlight w:val="none"/>
                <w:u w:val="none" w:color="auto"/>
              </w:rPr>
            </m:ctrlPr>
          </m:e>
          <m:sub>
            <m:r>
              <w:rPr>
                <w:rFonts w:hint="default" w:ascii="Cambria Math" w:hAnsi="Cambria Math" w:cs="Times New Roman"/>
                <w:color w:val="auto"/>
                <w:kern w:val="0"/>
                <w:sz w:val="21"/>
                <w:szCs w:val="21"/>
                <w:highlight w:val="none"/>
                <w:u w:val="none" w:color="auto"/>
              </w:rPr>
              <m:t>2</m:t>
            </m:r>
            <m:ctrlPr>
              <w:rPr>
                <w:rFonts w:hint="default" w:ascii="Cambria Math" w:hAnsi="Cambria Math" w:cs="Times New Roman"/>
                <w:i/>
                <w:color w:val="auto"/>
                <w:kern w:val="0"/>
                <w:sz w:val="21"/>
                <w:szCs w:val="21"/>
                <w:highlight w:val="none"/>
                <w:u w:val="none" w:color="auto"/>
              </w:rPr>
            </m:ctrlPr>
          </m:sub>
        </m:sSub>
      </m:oMath>
      <w:r>
        <w:rPr>
          <w:rFonts w:hint="default" w:ascii="Times New Roman" w:hAnsi="Times New Roman" w:cs="Times New Roman"/>
          <w:color w:val="auto"/>
          <w:kern w:val="0"/>
          <w:sz w:val="21"/>
          <w:szCs w:val="21"/>
          <w:highlight w:val="none"/>
          <w:u w:val="none" w:color="auto"/>
        </w:rPr>
        <w:t>—预测点到有限长路段两端的张角，弧度，如下图所示：</w:t>
      </w:r>
    </w:p>
    <w:p>
      <w:pPr>
        <w:keepNext/>
        <w:pageBreakBefore w:val="0"/>
        <w:kinsoku/>
        <w:wordWrap/>
        <w:overflowPunct/>
        <w:topLinePunct w:val="0"/>
        <w:bidi w:val="0"/>
        <w:adjustRightInd w:val="0"/>
        <w:snapToGrid w:val="0"/>
        <w:spacing w:line="360" w:lineRule="auto"/>
        <w:ind w:firstLine="420" w:firstLineChars="20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2138680" cy="1129030"/>
            <wp:effectExtent l="0" t="0" r="0" b="0"/>
            <wp:docPr id="128" name="图片 128" descr="C:\Users\24482~1.DES\AppData\Local\Temp\ksohtml14352\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24482~1.DES\AppData\Local\Temp\ksohtml14352\wps5.jpg"/>
                    <pic:cNvPicPr>
                      <a:picLocks noChangeAspect="1" noChangeArrowheads="1"/>
                    </pic:cNvPicPr>
                  </pic:nvPicPr>
                  <pic:blipFill>
                    <a:blip r:embed="rId49"/>
                    <a:srcRect/>
                    <a:stretch>
                      <a:fillRect/>
                    </a:stretch>
                  </pic:blipFill>
                  <pic:spPr>
                    <a:xfrm>
                      <a:off x="0" y="0"/>
                      <a:ext cx="2138680" cy="1129030"/>
                    </a:xfrm>
                    <a:prstGeom prst="rect">
                      <a:avLst/>
                    </a:prstGeom>
                    <a:noFill/>
                    <a:ln>
                      <a:noFill/>
                    </a:ln>
                  </pic:spPr>
                </pic:pic>
              </a:graphicData>
            </a:graphic>
          </wp:inline>
        </w:drawing>
      </w:r>
    </w:p>
    <w:p>
      <w:pPr>
        <w:pageBreakBefore w:val="0"/>
        <w:widowControl w:val="0"/>
        <w:kinsoku/>
        <w:wordWrap/>
        <w:overflowPunct/>
        <w:topLinePunct w:val="0"/>
        <w:autoSpaceDE w:val="0"/>
        <w:autoSpaceDN w:val="0"/>
        <w:bidi w:val="0"/>
        <w:adjustRightInd w:val="0"/>
        <w:snapToGrid w:val="0"/>
        <w:spacing w:before="50" w:beforeLines="50" w:line="36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default" w:ascii="Times New Roman" w:hAnsi="Times New Roman" w:eastAsia="宋体" w:cs="Times New Roman"/>
          <w:b/>
          <w:color w:val="000000"/>
          <w:kern w:val="21"/>
          <w:sz w:val="21"/>
          <w:szCs w:val="21"/>
          <w:highlight w:val="none"/>
          <w:u w:val="none" w:color="auto"/>
          <w:lang w:val="en-US" w:eastAsia="zh-CN" w:bidi="ar-SA"/>
        </w:rPr>
        <w:t>图</w:t>
      </w:r>
      <w:r>
        <w:rPr>
          <w:rFonts w:hint="eastAsia" w:ascii="Times New Roman" w:hAnsi="Times New Roman" w:eastAsia="宋体" w:cs="Times New Roman"/>
          <w:b/>
          <w:color w:val="000000"/>
          <w:kern w:val="21"/>
          <w:sz w:val="21"/>
          <w:szCs w:val="21"/>
          <w:highlight w:val="none"/>
          <w:u w:val="none" w:color="auto"/>
          <w:lang w:val="en-US" w:eastAsia="zh-CN" w:bidi="ar-SA"/>
        </w:rPr>
        <w:t>4-1</w:t>
      </w:r>
      <w:r>
        <w:rPr>
          <w:rFonts w:hint="default" w:ascii="Times New Roman" w:hAnsi="Times New Roman" w:eastAsia="宋体" w:cs="Times New Roman"/>
          <w:b/>
          <w:color w:val="000000"/>
          <w:kern w:val="21"/>
          <w:sz w:val="21"/>
          <w:szCs w:val="21"/>
          <w:highlight w:val="none"/>
          <w:u w:val="none" w:color="auto"/>
          <w:lang w:val="en-US" w:eastAsia="zh-CN" w:bidi="ar-SA"/>
        </w:rPr>
        <w:t xml:space="preserve"> 有限路段的修正函数（图中AB为路段，P为预测点）</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w:t>
      </w:r>
      <w:r>
        <w:rPr>
          <w:rFonts w:hint="default" w:ascii="Times New Roman" w:hAnsi="Times New Roman" w:cs="Times New Roman"/>
          <w:i/>
          <w:color w:val="auto"/>
          <w:kern w:val="2"/>
          <w:sz w:val="21"/>
          <w:szCs w:val="21"/>
          <w:highlight w:val="none"/>
          <w:u w:val="none" w:color="auto"/>
        </w:rPr>
        <w:t>L</w:t>
      </w:r>
      <w:r>
        <w:rPr>
          <w:rFonts w:hint="default" w:ascii="Times New Roman" w:hAnsi="Times New Roman" w:cs="Times New Roman"/>
          <w:color w:val="auto"/>
          <w:kern w:val="2"/>
          <w:sz w:val="21"/>
          <w:szCs w:val="21"/>
          <w:highlight w:val="none"/>
          <w:u w:val="none" w:color="auto"/>
        </w:rPr>
        <w:t>—由其他因素引起的修正量，dB（A），可按下式计算：</w:t>
      </w:r>
    </w:p>
    <w:p>
      <w:pPr>
        <w:pageBreakBefore w:val="0"/>
        <w:kinsoku/>
        <w:wordWrap/>
        <w:overflowPunct/>
        <w:topLinePunct w:val="0"/>
        <w:bidi w:val="0"/>
        <w:adjustRightInd w:val="0"/>
        <w:snapToGrid w:val="0"/>
        <w:spacing w:line="360" w:lineRule="auto"/>
        <w:ind w:firstLine="420" w:firstLineChars="20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1435735" cy="19939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0" cstate="print"/>
                    <a:stretch>
                      <a:fillRect/>
                    </a:stretch>
                  </pic:blipFill>
                  <pic:spPr>
                    <a:xfrm>
                      <a:off x="0" y="0"/>
                      <a:ext cx="1562726" cy="217044"/>
                    </a:xfrm>
                    <a:prstGeom prst="rect">
                      <a:avLst/>
                    </a:prstGeom>
                  </pic:spPr>
                </pic:pic>
              </a:graphicData>
            </a:graphic>
          </wp:inline>
        </w:drawing>
      </w:r>
    </w:p>
    <w:p>
      <w:pPr>
        <w:pageBreakBefore w:val="0"/>
        <w:kinsoku/>
        <w:wordWrap/>
        <w:overflowPunct/>
        <w:topLinePunct w:val="0"/>
        <w:bidi w:val="0"/>
        <w:adjustRightInd w:val="0"/>
        <w:snapToGrid w:val="0"/>
        <w:spacing w:line="360" w:lineRule="auto"/>
        <w:ind w:firstLine="420" w:firstLineChars="20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1217295" cy="202565"/>
            <wp:effectExtent l="0" t="0" r="1905" b="698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1" cstate="print"/>
                    <a:stretch>
                      <a:fillRect/>
                    </a:stretch>
                  </pic:blipFill>
                  <pic:spPr>
                    <a:xfrm>
                      <a:off x="0" y="0"/>
                      <a:ext cx="1290761" cy="215126"/>
                    </a:xfrm>
                    <a:prstGeom prst="rect">
                      <a:avLst/>
                    </a:prstGeom>
                  </pic:spPr>
                </pic:pic>
              </a:graphicData>
            </a:graphic>
          </wp:inline>
        </w:drawing>
      </w:r>
    </w:p>
    <w:p>
      <w:pPr>
        <w:pageBreakBefore w:val="0"/>
        <w:kinsoku/>
        <w:wordWrap/>
        <w:overflowPunct/>
        <w:topLinePunct w:val="0"/>
        <w:bidi w:val="0"/>
        <w:adjustRightInd w:val="0"/>
        <w:snapToGrid w:val="0"/>
        <w:spacing w:line="360" w:lineRule="auto"/>
        <w:ind w:firstLine="420" w:firstLineChars="20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1744345" cy="2095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52" cstate="print"/>
                    <a:stretch>
                      <a:fillRect/>
                    </a:stretch>
                  </pic:blipFill>
                  <pic:spPr>
                    <a:xfrm>
                      <a:off x="0" y="0"/>
                      <a:ext cx="1869439" cy="225071"/>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式中：</w:t>
      </w:r>
      <w:r>
        <w:rPr>
          <w:rFonts w:hint="default" w:ascii="Times New Roman" w:hAnsi="Times New Roman" w:cs="Times New Roman"/>
          <w:color w:val="auto"/>
          <w:kern w:val="2"/>
          <w:sz w:val="21"/>
          <w:szCs w:val="21"/>
          <w:highlight w:val="none"/>
          <w:u w:val="none" w:color="auto"/>
        </w:rPr>
        <w:drawing>
          <wp:inline distT="0" distB="0" distL="0" distR="0">
            <wp:extent cx="252730" cy="225425"/>
            <wp:effectExtent l="0" t="0" r="0" b="3175"/>
            <wp:docPr id="132" name="图片 132" descr="C:\Users\24482~1.DES\AppData\Local\Temp\ksohtml14352\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24482~1.DES\AppData\Local\Temp\ksohtml14352\wps10.png"/>
                    <pic:cNvPicPr>
                      <a:picLocks noChangeAspect="1" noChangeArrowheads="1"/>
                    </pic:cNvPicPr>
                  </pic:nvPicPr>
                  <pic:blipFill>
                    <a:blip r:embed="rId53"/>
                    <a:srcRect/>
                    <a:stretch>
                      <a:fillRect/>
                    </a:stretch>
                  </pic:blipFill>
                  <pic:spPr>
                    <a:xfrm>
                      <a:off x="0" y="0"/>
                      <a:ext cx="252730" cy="225425"/>
                    </a:xfrm>
                    <a:prstGeom prst="rect">
                      <a:avLst/>
                    </a:prstGeom>
                    <a:noFill/>
                    <a:ln>
                      <a:noFill/>
                    </a:ln>
                  </pic:spPr>
                </pic:pic>
              </a:graphicData>
            </a:graphic>
          </wp:inline>
        </w:drawing>
      </w:r>
      <w:r>
        <w:rPr>
          <w:rFonts w:hint="default" w:ascii="Times New Roman" w:hAnsi="Times New Roman" w:cs="Times New Roman"/>
          <w:color w:val="auto"/>
          <w:kern w:val="2"/>
          <w:sz w:val="21"/>
          <w:szCs w:val="21"/>
          <w:highlight w:val="none"/>
          <w:u w:val="none" w:color="auto"/>
        </w:rPr>
        <w:t>—线路因素引起的修正量，dB(A)；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402590" cy="245745"/>
            <wp:effectExtent l="0" t="0" r="0" b="1905"/>
            <wp:docPr id="133" name="图片 133" descr="C:\Users\24482~1.DES\AppData\Local\Temp\ksohtml14352\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24482~1.DES\AppData\Local\Temp\ksohtml14352\wps11.png"/>
                    <pic:cNvPicPr>
                      <a:picLocks noChangeAspect="1" noChangeArrowheads="1"/>
                    </pic:cNvPicPr>
                  </pic:nvPicPr>
                  <pic:blipFill>
                    <a:blip r:embed="rId54"/>
                    <a:srcRect/>
                    <a:stretch>
                      <a:fillRect/>
                    </a:stretch>
                  </pic:blipFill>
                  <pic:spPr>
                    <a:xfrm>
                      <a:off x="0" y="0"/>
                      <a:ext cx="402590" cy="245745"/>
                    </a:xfrm>
                    <a:prstGeom prst="rect">
                      <a:avLst/>
                    </a:prstGeom>
                    <a:noFill/>
                    <a:ln>
                      <a:noFill/>
                    </a:ln>
                  </pic:spPr>
                </pic:pic>
              </a:graphicData>
            </a:graphic>
          </wp:inline>
        </w:drawing>
      </w:r>
      <w:r>
        <w:rPr>
          <w:rFonts w:hint="default" w:ascii="Times New Roman" w:hAnsi="Times New Roman" w:cs="Times New Roman"/>
          <w:color w:val="auto"/>
          <w:kern w:val="2"/>
          <w:sz w:val="21"/>
          <w:szCs w:val="21"/>
          <w:highlight w:val="none"/>
          <w:u w:val="none" w:color="auto"/>
        </w:rPr>
        <w:t>—公路纵坡修正量，dB(A)；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402590" cy="245745"/>
            <wp:effectExtent l="0" t="0" r="0" b="1905"/>
            <wp:docPr id="134" name="图片 134" descr="C:\Users\24482~1.DES\AppData\Local\Temp\ksohtml14352\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24482~1.DES\AppData\Local\Temp\ksohtml14352\wps12.png"/>
                    <pic:cNvPicPr>
                      <a:picLocks noChangeAspect="1" noChangeArrowheads="1"/>
                    </pic:cNvPicPr>
                  </pic:nvPicPr>
                  <pic:blipFill>
                    <a:blip r:embed="rId55"/>
                    <a:srcRect/>
                    <a:stretch>
                      <a:fillRect/>
                    </a:stretch>
                  </pic:blipFill>
                  <pic:spPr>
                    <a:xfrm>
                      <a:off x="0" y="0"/>
                      <a:ext cx="402590" cy="245745"/>
                    </a:xfrm>
                    <a:prstGeom prst="rect">
                      <a:avLst/>
                    </a:prstGeom>
                    <a:noFill/>
                    <a:ln>
                      <a:noFill/>
                    </a:ln>
                  </pic:spPr>
                </pic:pic>
              </a:graphicData>
            </a:graphic>
          </wp:inline>
        </w:drawing>
      </w:r>
      <w:r>
        <w:rPr>
          <w:rFonts w:hint="default" w:ascii="Times New Roman" w:hAnsi="Times New Roman" w:cs="Times New Roman"/>
          <w:color w:val="auto"/>
          <w:kern w:val="2"/>
          <w:sz w:val="21"/>
          <w:szCs w:val="21"/>
          <w:highlight w:val="none"/>
          <w:u w:val="none" w:color="auto"/>
        </w:rPr>
        <w:t>—公路路面材料引起的修正量，dB(A)；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266065" cy="225425"/>
            <wp:effectExtent l="0" t="0" r="635" b="3175"/>
            <wp:docPr id="135" name="图片 135" descr="C:\Users\24482~1.DES\AppData\Local\Temp\ksohtml14352\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Users\24482~1.DES\AppData\Local\Temp\ksohtml14352\wps13.png"/>
                    <pic:cNvPicPr>
                      <a:picLocks noChangeAspect="1" noChangeArrowheads="1"/>
                    </pic:cNvPicPr>
                  </pic:nvPicPr>
                  <pic:blipFill>
                    <a:blip r:embed="rId56"/>
                    <a:srcRect/>
                    <a:stretch>
                      <a:fillRect/>
                    </a:stretch>
                  </pic:blipFill>
                  <pic:spPr>
                    <a:xfrm>
                      <a:off x="0" y="0"/>
                      <a:ext cx="266065" cy="225425"/>
                    </a:xfrm>
                    <a:prstGeom prst="rect">
                      <a:avLst/>
                    </a:prstGeom>
                    <a:noFill/>
                    <a:ln>
                      <a:noFill/>
                    </a:ln>
                  </pic:spPr>
                </pic:pic>
              </a:graphicData>
            </a:graphic>
          </wp:inline>
        </w:drawing>
      </w:r>
      <w:r>
        <w:rPr>
          <w:rFonts w:hint="default" w:ascii="Times New Roman" w:hAnsi="Times New Roman" w:cs="Times New Roman"/>
          <w:color w:val="auto"/>
          <w:kern w:val="2"/>
          <w:sz w:val="21"/>
          <w:szCs w:val="21"/>
          <w:highlight w:val="none"/>
          <w:u w:val="none" w:color="auto"/>
        </w:rPr>
        <w:t>—声波传播途径中引起的衰减量，dB(A)；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266065" cy="225425"/>
            <wp:effectExtent l="0" t="0" r="635" b="3175"/>
            <wp:docPr id="136" name="图片 136" descr="C:\Users\24482~1.DES\AppData\Local\Temp\ksohtml14352\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Users\24482~1.DES\AppData\Local\Temp\ksohtml14352\wps14.png"/>
                    <pic:cNvPicPr>
                      <a:picLocks noChangeAspect="1" noChangeArrowheads="1"/>
                    </pic:cNvPicPr>
                  </pic:nvPicPr>
                  <pic:blipFill>
                    <a:blip r:embed="rId57"/>
                    <a:srcRect/>
                    <a:stretch>
                      <a:fillRect/>
                    </a:stretch>
                  </pic:blipFill>
                  <pic:spPr>
                    <a:xfrm>
                      <a:off x="0" y="0"/>
                      <a:ext cx="266065" cy="225425"/>
                    </a:xfrm>
                    <a:prstGeom prst="rect">
                      <a:avLst/>
                    </a:prstGeom>
                    <a:noFill/>
                    <a:ln>
                      <a:noFill/>
                    </a:ln>
                  </pic:spPr>
                </pic:pic>
              </a:graphicData>
            </a:graphic>
          </wp:inline>
        </w:drawing>
      </w:r>
      <w:r>
        <w:rPr>
          <w:rFonts w:hint="default" w:ascii="Times New Roman" w:hAnsi="Times New Roman" w:cs="Times New Roman"/>
          <w:color w:val="auto"/>
          <w:kern w:val="2"/>
          <w:sz w:val="21"/>
          <w:szCs w:val="21"/>
          <w:highlight w:val="none"/>
          <w:u w:val="none" w:color="auto"/>
        </w:rPr>
        <w:t>—由反射等引起的修正量，dB(A)。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2）总车流</w:t>
      </w:r>
      <w:r>
        <w:rPr>
          <w:rFonts w:hint="eastAsia" w:cs="Times New Roman"/>
          <w:color w:val="auto"/>
          <w:kern w:val="2"/>
          <w:sz w:val="21"/>
          <w:szCs w:val="21"/>
          <w:highlight w:val="none"/>
          <w:u w:val="none" w:color="auto"/>
          <w:lang w:eastAsia="zh-CN"/>
        </w:rPr>
        <w:t>等效声级</w:t>
      </w:r>
      <w:r>
        <w:rPr>
          <w:rFonts w:hint="default" w:ascii="Times New Roman" w:hAnsi="Times New Roman" w:cs="Times New Roman"/>
          <w:color w:val="auto"/>
          <w:kern w:val="2"/>
          <w:sz w:val="21"/>
          <w:szCs w:val="21"/>
          <w:highlight w:val="none"/>
          <w:u w:val="none" w:color="auto"/>
        </w:rPr>
        <w:t>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混合车流模式的等效声级是将各类车流等效声级叠加求得。如果将车流分成大、中、小三类车，那么总车流等效声级为：</w:t>
      </w:r>
    </w:p>
    <w:p>
      <w:pPr>
        <w:pageBreakBefore w:val="0"/>
        <w:kinsoku/>
        <w:wordWrap/>
        <w:overflowPunct/>
        <w:topLinePunct w:val="0"/>
        <w:bidi w:val="0"/>
        <w:adjustRightInd w:val="0"/>
        <w:snapToGrid w:val="0"/>
        <w:spacing w:line="360" w:lineRule="auto"/>
        <w:ind w:firstLine="420" w:firstLineChars="20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3354705" cy="353695"/>
            <wp:effectExtent l="0" t="0" r="0" b="825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58" cstate="print"/>
                    <a:stretch>
                      <a:fillRect/>
                    </a:stretch>
                  </pic:blipFill>
                  <pic:spPr>
                    <a:xfrm>
                      <a:off x="0" y="0"/>
                      <a:ext cx="3461269" cy="36546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式中：</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368935" cy="17970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9" cstate="print"/>
                    <a:stretch>
                      <a:fillRect/>
                    </a:stretch>
                  </pic:blipFill>
                  <pic:spPr>
                    <a:xfrm>
                      <a:off x="0" y="0"/>
                      <a:ext cx="377317" cy="183758"/>
                    </a:xfrm>
                    <a:prstGeom prst="rect">
                      <a:avLst/>
                    </a:prstGeom>
                  </pic:spPr>
                </pic:pic>
              </a:graphicData>
            </a:graphic>
          </wp:inline>
        </w:drawing>
      </w:r>
      <w:r>
        <w:rPr>
          <w:rFonts w:hint="default" w:ascii="Times New Roman" w:hAnsi="Times New Roman" w:cs="Times New Roman"/>
          <w:color w:val="auto"/>
          <w:kern w:val="2"/>
          <w:sz w:val="21"/>
          <w:szCs w:val="21"/>
          <w:highlight w:val="none"/>
          <w:u w:val="none" w:color="auto"/>
        </w:rPr>
        <w:t>—总车流小时等效声级，dB(A)；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392430" cy="153035"/>
            <wp:effectExtent l="0" t="0" r="762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60" cstate="print"/>
                    <a:stretch>
                      <a:fillRect/>
                    </a:stretch>
                  </pic:blipFill>
                  <pic:spPr>
                    <a:xfrm>
                      <a:off x="0" y="0"/>
                      <a:ext cx="403454" cy="157803"/>
                    </a:xfrm>
                    <a:prstGeom prst="rect">
                      <a:avLst/>
                    </a:prstGeom>
                  </pic:spPr>
                </pic:pic>
              </a:graphicData>
            </a:graphic>
          </wp:inline>
        </w:drawing>
      </w:r>
      <w:r>
        <w:rPr>
          <w:rFonts w:hint="default" w:ascii="Times New Roman" w:hAnsi="Times New Roman" w:cs="Times New Roman"/>
          <w:color w:val="auto"/>
          <w:kern w:val="2"/>
          <w:sz w:val="21"/>
          <w:szCs w:val="21"/>
          <w:highlight w:val="none"/>
          <w:u w:val="none" w:color="auto"/>
        </w:rPr>
        <w:drawing>
          <wp:inline distT="0" distB="0" distL="0" distR="0">
            <wp:extent cx="398780" cy="151130"/>
            <wp:effectExtent l="0" t="0" r="1270" b="127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1" cstate="print"/>
                    <a:stretch>
                      <a:fillRect/>
                    </a:stretch>
                  </pic:blipFill>
                  <pic:spPr>
                    <a:xfrm>
                      <a:off x="0" y="0"/>
                      <a:ext cx="421779" cy="160420"/>
                    </a:xfrm>
                    <a:prstGeom prst="rect">
                      <a:avLst/>
                    </a:prstGeom>
                  </pic:spPr>
                </pic:pic>
              </a:graphicData>
            </a:graphic>
          </wp:inline>
        </w:drawing>
      </w:r>
      <w:r>
        <w:rPr>
          <w:rFonts w:hint="default" w:ascii="Times New Roman" w:hAnsi="Times New Roman" w:cs="Times New Roman"/>
          <w:color w:val="auto"/>
          <w:kern w:val="2"/>
          <w:sz w:val="21"/>
          <w:szCs w:val="21"/>
          <w:highlight w:val="none"/>
          <w:u w:val="none" w:color="auto"/>
        </w:rPr>
        <w:t>、</w:t>
      </w:r>
      <w:r>
        <w:rPr>
          <w:rFonts w:hint="default" w:ascii="Times New Roman" w:hAnsi="Times New Roman" w:cs="Times New Roman"/>
          <w:color w:val="auto"/>
          <w:kern w:val="2"/>
          <w:sz w:val="21"/>
          <w:szCs w:val="21"/>
          <w:highlight w:val="none"/>
          <w:u w:val="none" w:color="auto"/>
        </w:rPr>
        <w:drawing>
          <wp:inline distT="0" distB="0" distL="0" distR="0">
            <wp:extent cx="393700" cy="141605"/>
            <wp:effectExtent l="0" t="0" r="635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2" cstate="print"/>
                    <a:stretch>
                      <a:fillRect/>
                    </a:stretch>
                  </pic:blipFill>
                  <pic:spPr>
                    <a:xfrm>
                      <a:off x="0" y="0"/>
                      <a:ext cx="516298" cy="186034"/>
                    </a:xfrm>
                    <a:prstGeom prst="rect">
                      <a:avLst/>
                    </a:prstGeom>
                  </pic:spPr>
                </pic:pic>
              </a:graphicData>
            </a:graphic>
          </wp:inline>
        </w:drawing>
      </w:r>
      <w:r>
        <w:rPr>
          <w:rFonts w:hint="default" w:ascii="Times New Roman" w:hAnsi="Times New Roman" w:cs="Times New Roman"/>
          <w:color w:val="auto"/>
          <w:kern w:val="2"/>
          <w:sz w:val="21"/>
          <w:szCs w:val="21"/>
          <w:highlight w:val="none"/>
          <w:u w:val="none" w:color="auto"/>
        </w:rPr>
        <w:t>—大、中、小型车的小时等效声级，dB(A)；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如某个预测点受多条线路交通噪声影响（如交叉路口的影响，路边高层建筑预测点受地面多条车道的影响</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，应分别计算每条车道对该预测点的声级后，经叠加后得到贡献值。</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3）修正量和衰减量的计算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①线路因素引起的修正量（△</w:t>
      </w:r>
      <w:r>
        <w:rPr>
          <w:rFonts w:hint="default" w:ascii="Times New Roman" w:hAnsi="Times New Roman" w:cs="Times New Roman"/>
          <w:i/>
          <w:color w:val="auto"/>
          <w:kern w:val="2"/>
          <w:sz w:val="21"/>
          <w:szCs w:val="21"/>
          <w:highlight w:val="none"/>
          <w:u w:val="none" w:color="auto"/>
        </w:rPr>
        <w:t>L</w:t>
      </w:r>
      <w:r>
        <w:rPr>
          <w:rFonts w:hint="default" w:ascii="Times New Roman" w:hAnsi="Times New Roman" w:cs="Times New Roman"/>
          <w:i/>
          <w:color w:val="auto"/>
          <w:kern w:val="2"/>
          <w:sz w:val="21"/>
          <w:szCs w:val="21"/>
          <w:highlight w:val="none"/>
          <w:u w:val="none" w:color="auto"/>
          <w:vertAlign w:val="subscript"/>
        </w:rPr>
        <w:t>1</w:t>
      </w:r>
      <w:r>
        <w:rPr>
          <w:rFonts w:hint="default" w:ascii="Times New Roman" w:hAnsi="Times New Roman" w:cs="Times New Roman"/>
          <w:color w:val="auto"/>
          <w:kern w:val="2"/>
          <w:sz w:val="21"/>
          <w:szCs w:val="21"/>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A</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纵坡修正量（△L</w:t>
      </w:r>
      <w:r>
        <w:rPr>
          <w:rFonts w:hint="default" w:ascii="Times New Roman" w:hAnsi="Times New Roman" w:cs="Times New Roman"/>
          <w:color w:val="auto"/>
          <w:kern w:val="2"/>
          <w:sz w:val="21"/>
          <w:szCs w:val="21"/>
          <w:highlight w:val="none"/>
          <w:u w:val="none" w:color="auto"/>
          <w:vertAlign w:val="subscript"/>
        </w:rPr>
        <w:t>坡度</w:t>
      </w:r>
      <w:r>
        <w:rPr>
          <w:rFonts w:hint="default" w:ascii="Times New Roman" w:hAnsi="Times New Roman" w:cs="Times New Roman"/>
          <w:color w:val="auto"/>
          <w:kern w:val="2"/>
          <w:sz w:val="21"/>
          <w:szCs w:val="21"/>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公路纵坡修正量△L</w:t>
      </w:r>
      <w:r>
        <w:rPr>
          <w:rFonts w:hint="default" w:ascii="Times New Roman" w:hAnsi="Times New Roman" w:cs="Times New Roman"/>
          <w:color w:val="auto"/>
          <w:kern w:val="2"/>
          <w:sz w:val="21"/>
          <w:szCs w:val="21"/>
          <w:highlight w:val="none"/>
          <w:u w:val="none" w:color="auto"/>
          <w:vertAlign w:val="subscript"/>
        </w:rPr>
        <w:t>坡度</w:t>
      </w:r>
      <w:r>
        <w:rPr>
          <w:rFonts w:hint="default" w:ascii="Times New Roman" w:hAnsi="Times New Roman" w:cs="Times New Roman"/>
          <w:color w:val="auto"/>
          <w:kern w:val="2"/>
          <w:sz w:val="21"/>
          <w:szCs w:val="21"/>
          <w:highlight w:val="none"/>
          <w:u w:val="none" w:color="auto"/>
        </w:rPr>
        <w:t>可按下式计算：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大型车：△L</w:t>
      </w:r>
      <w:r>
        <w:rPr>
          <w:rFonts w:hint="default" w:ascii="Times New Roman" w:hAnsi="Times New Roman" w:cs="Times New Roman"/>
          <w:color w:val="auto"/>
          <w:kern w:val="2"/>
          <w:sz w:val="21"/>
          <w:szCs w:val="21"/>
          <w:highlight w:val="none"/>
          <w:u w:val="none" w:color="auto"/>
          <w:vertAlign w:val="subscript"/>
        </w:rPr>
        <w:t>坡度</w:t>
      </w:r>
      <w:r>
        <w:rPr>
          <w:rFonts w:hint="default" w:ascii="Times New Roman" w:hAnsi="Times New Roman" w:cs="Times New Roman"/>
          <w:color w:val="auto"/>
          <w:kern w:val="2"/>
          <w:sz w:val="21"/>
          <w:szCs w:val="21"/>
          <w:highlight w:val="none"/>
          <w:u w:val="none" w:color="auto"/>
        </w:rPr>
        <w:t>=98×βdB（A）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中型车：△L</w:t>
      </w:r>
      <w:r>
        <w:rPr>
          <w:rFonts w:hint="default" w:ascii="Times New Roman" w:hAnsi="Times New Roman" w:cs="Times New Roman"/>
          <w:color w:val="auto"/>
          <w:kern w:val="2"/>
          <w:sz w:val="21"/>
          <w:szCs w:val="21"/>
          <w:highlight w:val="none"/>
          <w:u w:val="none" w:color="auto"/>
          <w:vertAlign w:val="subscript"/>
        </w:rPr>
        <w:t>坡度</w:t>
      </w:r>
      <w:r>
        <w:rPr>
          <w:rFonts w:hint="default" w:ascii="Times New Roman" w:hAnsi="Times New Roman" w:cs="Times New Roman"/>
          <w:color w:val="auto"/>
          <w:kern w:val="2"/>
          <w:sz w:val="21"/>
          <w:szCs w:val="21"/>
          <w:highlight w:val="none"/>
          <w:u w:val="none" w:color="auto"/>
        </w:rPr>
        <w:t>=73×βdB（A）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小型车：△L</w:t>
      </w:r>
      <w:r>
        <w:rPr>
          <w:rFonts w:hint="default" w:ascii="Times New Roman" w:hAnsi="Times New Roman" w:cs="Times New Roman"/>
          <w:color w:val="auto"/>
          <w:kern w:val="2"/>
          <w:sz w:val="21"/>
          <w:szCs w:val="21"/>
          <w:highlight w:val="none"/>
          <w:u w:val="none" w:color="auto"/>
          <w:vertAlign w:val="subscript"/>
        </w:rPr>
        <w:t>坡度</w:t>
      </w:r>
      <w:r>
        <w:rPr>
          <w:rFonts w:hint="default" w:ascii="Times New Roman" w:hAnsi="Times New Roman" w:cs="Times New Roman"/>
          <w:color w:val="auto"/>
          <w:kern w:val="2"/>
          <w:sz w:val="21"/>
          <w:szCs w:val="21"/>
          <w:highlight w:val="none"/>
          <w:u w:val="none" w:color="auto"/>
        </w:rPr>
        <w:t>=50×βdB（A）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式中：β——公路纵坡坡度，%；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B</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路面修正量（△</w:t>
      </w:r>
      <w:r>
        <w:rPr>
          <w:rFonts w:hint="default" w:ascii="Times New Roman" w:hAnsi="Times New Roman" w:cs="Times New Roman"/>
          <w:i/>
          <w:color w:val="auto"/>
          <w:kern w:val="2"/>
          <w:sz w:val="21"/>
          <w:szCs w:val="21"/>
          <w:highlight w:val="none"/>
          <w:u w:val="none" w:color="auto"/>
        </w:rPr>
        <w:t>L</w:t>
      </w:r>
      <w:r>
        <w:rPr>
          <w:rFonts w:hint="default" w:ascii="Times New Roman" w:hAnsi="Times New Roman" w:cs="Times New Roman"/>
          <w:color w:val="auto"/>
          <w:kern w:val="2"/>
          <w:sz w:val="21"/>
          <w:szCs w:val="21"/>
          <w:highlight w:val="none"/>
          <w:u w:val="none" w:color="auto"/>
          <w:vertAlign w:val="subscript"/>
        </w:rPr>
        <w:t>路面</w:t>
      </w:r>
      <w:r>
        <w:rPr>
          <w:rFonts w:hint="default" w:ascii="Times New Roman" w:hAnsi="Times New Roman" w:cs="Times New Roman"/>
          <w:color w:val="auto"/>
          <w:kern w:val="2"/>
          <w:sz w:val="21"/>
          <w:szCs w:val="21"/>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不同路面的噪声修正量见下表。</w:t>
      </w:r>
    </w:p>
    <w:p>
      <w:pPr>
        <w:pageBreakBefore w:val="0"/>
        <w:widowControl w:val="0"/>
        <w:kinsoku/>
        <w:wordWrap/>
        <w:overflowPunct/>
        <w:topLinePunct w:val="0"/>
        <w:autoSpaceDE w:val="0"/>
        <w:autoSpaceDN w:val="0"/>
        <w:bidi w:val="0"/>
        <w:adjustRightInd w:val="0"/>
        <w:snapToGrid w:val="0"/>
        <w:spacing w:before="156" w:beforeLines="50" w:line="240" w:lineRule="auto"/>
        <w:ind w:firstLine="0" w:firstLineChars="0"/>
        <w:jc w:val="center"/>
        <w:rPr>
          <w:rFonts w:hint="default" w:ascii="Times New Roman" w:hAnsi="Times New Roman" w:eastAsia="宋体" w:cs="Times New Roman"/>
          <w:b/>
          <w:color w:val="auto"/>
          <w:kern w:val="21"/>
          <w:sz w:val="21"/>
          <w:szCs w:val="21"/>
          <w:highlight w:val="none"/>
          <w:u w:val="none" w:color="auto"/>
          <w:lang w:val="en-US" w:eastAsia="zh-CN" w:bidi="ar-SA"/>
        </w:rPr>
      </w:pPr>
      <w:r>
        <w:rPr>
          <w:rFonts w:hint="default" w:ascii="Times New Roman" w:hAnsi="Times New Roman" w:eastAsia="宋体" w:cs="Times New Roman"/>
          <w:b/>
          <w:color w:val="000000"/>
          <w:kern w:val="21"/>
          <w:sz w:val="21"/>
          <w:szCs w:val="21"/>
          <w:highlight w:val="none"/>
          <w:u w:val="none" w:color="auto"/>
          <w:lang w:val="en-US" w:eastAsia="zh-CN" w:bidi="ar-SA"/>
        </w:rPr>
        <w:t>表</w:t>
      </w:r>
      <w:r>
        <w:rPr>
          <w:rFonts w:hint="eastAsia" w:ascii="Times New Roman" w:hAnsi="Times New Roman" w:eastAsia="宋体" w:cs="Times New Roman"/>
          <w:b/>
          <w:color w:val="000000"/>
          <w:kern w:val="21"/>
          <w:sz w:val="21"/>
          <w:szCs w:val="21"/>
          <w:highlight w:val="none"/>
          <w:u w:val="none" w:color="auto"/>
          <w:lang w:val="en-US" w:eastAsia="zh-CN" w:bidi="ar-SA"/>
        </w:rPr>
        <w:t>4-2</w:t>
      </w:r>
      <w:r>
        <w:rPr>
          <w:rFonts w:hint="default" w:ascii="Times New Roman" w:hAnsi="Times New Roman" w:eastAsia="宋体" w:cs="Times New Roman"/>
          <w:b/>
          <w:color w:val="auto"/>
          <w:kern w:val="21"/>
          <w:sz w:val="21"/>
          <w:szCs w:val="21"/>
          <w:highlight w:val="none"/>
          <w:u w:val="none" w:color="auto"/>
          <w:lang w:val="en-US" w:eastAsia="zh-CN" w:bidi="ar-SA"/>
        </w:rPr>
        <w:t>常见路面噪声修正量</w:t>
      </w:r>
    </w:p>
    <w:tbl>
      <w:tblPr>
        <w:tblStyle w:val="4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2131"/>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67" w:hRule="atLeast"/>
          <w:jc w:val="center"/>
        </w:trPr>
        <w:tc>
          <w:tcPr>
            <w:tcW w:w="2127" w:type="dxa"/>
            <w:vMerge w:val="restart"/>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路面类型</w:t>
            </w:r>
          </w:p>
        </w:tc>
        <w:tc>
          <w:tcPr>
            <w:tcW w:w="6395" w:type="dxa"/>
            <w:gridSpan w:val="3"/>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不同行驶速度修正量/（km/h）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2127" w:type="dxa"/>
            <w:vMerge w:val="continue"/>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p>
        </w:tc>
        <w:tc>
          <w:tcPr>
            <w:tcW w:w="2131"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30</w:t>
            </w:r>
          </w:p>
        </w:tc>
        <w:tc>
          <w:tcPr>
            <w:tcW w:w="2132"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40</w:t>
            </w:r>
          </w:p>
        </w:tc>
        <w:tc>
          <w:tcPr>
            <w:tcW w:w="2132"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7"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沥青混凝土</w:t>
            </w:r>
          </w:p>
        </w:tc>
        <w:tc>
          <w:tcPr>
            <w:tcW w:w="2131"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2132"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c>
          <w:tcPr>
            <w:tcW w:w="2132" w:type="dxa"/>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4"/>
            <w:tcBorders>
              <w:tl2br w:val="nil"/>
              <w:tr2bl w:val="nil"/>
            </w:tcBorders>
            <w:shd w:val="clear" w:color="auto" w:fill="auto"/>
            <w:vAlign w:val="top"/>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注：表中修正量为</w:t>
            </w:r>
            <w:r>
              <w:rPr>
                <w:rFonts w:hint="default" w:ascii="Times New Roman" w:hAnsi="Times New Roman" w:eastAsia="宋体" w:cs="Times New Roman"/>
                <w:color w:val="auto"/>
                <w:kern w:val="2"/>
                <w:sz w:val="21"/>
                <w:szCs w:val="21"/>
                <w:highlight w:val="none"/>
                <w:u w:val="none" w:color="auto"/>
                <w:lang w:val="en-US" w:eastAsia="zh-CN" w:bidi="ar-SA"/>
              </w:rPr>
              <w:drawing>
                <wp:inline distT="0" distB="0" distL="0" distR="0">
                  <wp:extent cx="230505" cy="151130"/>
                  <wp:effectExtent l="0" t="0" r="0" b="127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63" cstate="print"/>
                          <a:srcRect/>
                          <a:stretch>
                            <a:fillRect/>
                          </a:stretch>
                        </pic:blipFill>
                        <pic:spPr>
                          <a:xfrm>
                            <a:off x="0" y="0"/>
                            <a:ext cx="230505" cy="151130"/>
                          </a:xfrm>
                          <a:prstGeom prst="rect">
                            <a:avLst/>
                          </a:prstGeom>
                          <a:noFill/>
                          <a:ln>
                            <a:noFill/>
                          </a:ln>
                        </pic:spPr>
                      </pic:pic>
                    </a:graphicData>
                  </a:graphic>
                </wp:inline>
              </w:drawing>
            </w:r>
            <w:r>
              <w:rPr>
                <w:rFonts w:hint="default" w:ascii="Times New Roman" w:hAnsi="Times New Roman" w:eastAsia="宋体" w:cs="Times New Roman"/>
                <w:color w:val="auto"/>
                <w:kern w:val="2"/>
                <w:sz w:val="21"/>
                <w:szCs w:val="21"/>
                <w:highlight w:val="none"/>
                <w:u w:val="none" w:color="auto"/>
                <w:lang w:val="en-US" w:eastAsia="zh-CN" w:bidi="ar-SA"/>
              </w:rPr>
              <w:t>在沥青混凝土路面测得结果的修正。</w:t>
            </w:r>
          </w:p>
        </w:tc>
      </w:tr>
    </w:tbl>
    <w:p>
      <w:pPr>
        <w:pageBreakBefore w:val="0"/>
        <w:kinsoku/>
        <w:wordWrap/>
        <w:overflowPunct/>
        <w:topLinePunct w:val="0"/>
        <w:bidi w:val="0"/>
        <w:adjustRightInd w:val="0"/>
        <w:snapToGrid w:val="0"/>
        <w:spacing w:line="360" w:lineRule="auto"/>
        <w:ind w:firstLine="420" w:firstLineChars="200"/>
        <w:jc w:val="left"/>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②声波传播途径中引起的衰减量（△</w:t>
      </w:r>
      <w:r>
        <w:rPr>
          <w:rFonts w:hint="default" w:ascii="Times New Roman" w:hAnsi="Times New Roman" w:cs="Times New Roman"/>
          <w:i/>
          <w:color w:val="auto"/>
          <w:kern w:val="2"/>
          <w:sz w:val="21"/>
          <w:szCs w:val="21"/>
          <w:highlight w:val="none"/>
          <w:u w:val="none" w:color="auto"/>
        </w:rPr>
        <w:t>L</w:t>
      </w:r>
      <w:r>
        <w:rPr>
          <w:rFonts w:hint="default" w:ascii="Times New Roman" w:hAnsi="Times New Roman" w:cs="Times New Roman"/>
          <w:color w:val="auto"/>
          <w:kern w:val="2"/>
          <w:sz w:val="21"/>
          <w:szCs w:val="21"/>
          <w:highlight w:val="none"/>
          <w:u w:val="none" w:color="auto"/>
          <w:vertAlign w:val="subscript"/>
        </w:rPr>
        <w:t>2</w:t>
      </w:r>
      <w:r>
        <w:rPr>
          <w:rFonts w:hint="default" w:ascii="Times New Roman" w:hAnsi="Times New Roman" w:cs="Times New Roman"/>
          <w:color w:val="auto"/>
          <w:kern w:val="2"/>
          <w:sz w:val="21"/>
          <w:szCs w:val="21"/>
          <w:highlight w:val="none"/>
          <w:u w:val="none" w:color="auto"/>
        </w:rPr>
        <w:t>）</w:t>
      </w:r>
    </w:p>
    <w:p>
      <w:pPr>
        <w:pageBreakBefore w:val="0"/>
        <w:kinsoku/>
        <w:wordWrap/>
        <w:overflowPunct/>
        <w:topLinePunct w:val="0"/>
        <w:bidi w:val="0"/>
        <w:adjustRightInd w:val="0"/>
        <w:snapToGrid w:val="0"/>
        <w:spacing w:line="360" w:lineRule="auto"/>
        <w:ind w:firstLine="420" w:firstLineChars="200"/>
        <w:jc w:val="left"/>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A</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声屏障衰减量（A</w:t>
      </w:r>
      <w:r>
        <w:rPr>
          <w:rFonts w:hint="default" w:ascii="Times New Roman" w:hAnsi="Times New Roman" w:cs="Times New Roman"/>
          <w:color w:val="auto"/>
          <w:kern w:val="2"/>
          <w:sz w:val="21"/>
          <w:szCs w:val="21"/>
          <w:highlight w:val="none"/>
          <w:u w:val="none" w:color="auto"/>
          <w:vertAlign w:val="subscript"/>
        </w:rPr>
        <w:t>bar</w:t>
      </w:r>
      <w:r>
        <w:rPr>
          <w:rFonts w:hint="default" w:ascii="Times New Roman" w:hAnsi="Times New Roman" w:cs="Times New Roman"/>
          <w:color w:val="auto"/>
          <w:kern w:val="2"/>
          <w:sz w:val="21"/>
          <w:szCs w:val="21"/>
          <w:highlight w:val="none"/>
          <w:u w:val="none" w:color="auto"/>
        </w:rPr>
        <w:t>）</w:t>
      </w:r>
    </w:p>
    <w:p>
      <w:pPr>
        <w:pageBreakBefore w:val="0"/>
        <w:kinsoku/>
        <w:wordWrap/>
        <w:overflowPunct/>
        <w:topLinePunct w:val="0"/>
        <w:bidi w:val="0"/>
        <w:adjustRightInd w:val="0"/>
        <w:snapToGrid w:val="0"/>
        <w:spacing w:line="360" w:lineRule="auto"/>
        <w:ind w:firstLine="420" w:firstLineChars="200"/>
        <w:jc w:val="left"/>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无限长屏障可按下式计算：</w:t>
      </w:r>
    </w:p>
    <w:p>
      <w:pPr>
        <w:pageBreakBefore w:val="0"/>
        <w:kinsoku/>
        <w:wordWrap/>
        <w:overflowPunct/>
        <w:topLinePunct w:val="0"/>
        <w:bidi w:val="0"/>
        <w:adjustRightInd w:val="0"/>
        <w:snapToGrid w:val="0"/>
        <w:spacing w:line="360" w:lineRule="auto"/>
        <w:ind w:firstLine="420" w:firstLineChars="20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3068955" cy="1478915"/>
            <wp:effectExtent l="0" t="0" r="0" b="6985"/>
            <wp:docPr id="143" name="图片 143" descr="C:\Users\24482~1.DES\AppData\Local\Temp\ksohtml166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24482~1.DES\AppData\Local\Temp\ksohtml16660\wps1.png"/>
                    <pic:cNvPicPr>
                      <a:picLocks noChangeAspect="1" noChangeArrowheads="1"/>
                    </pic:cNvPicPr>
                  </pic:nvPicPr>
                  <pic:blipFill>
                    <a:blip r:embed="rId64"/>
                    <a:srcRect/>
                    <a:stretch>
                      <a:fillRect/>
                    </a:stretch>
                  </pic:blipFill>
                  <pic:spPr>
                    <a:xfrm>
                      <a:off x="0" y="0"/>
                      <a:ext cx="3068955" cy="1478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式中：f</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声波频率，Hz；</w:t>
      </w:r>
    </w:p>
    <w:p>
      <w:pPr>
        <w:keepNext w:val="0"/>
        <w:keepLines w:val="0"/>
        <w:pageBreakBefore w:val="0"/>
        <w:widowControl w:val="0"/>
        <w:kinsoku/>
        <w:wordWrap/>
        <w:overflowPunct/>
        <w:topLinePunct w:val="0"/>
        <w:autoSpaceDE/>
        <w:autoSpaceDN/>
        <w:bidi w:val="0"/>
        <w:adjustRightInd w:val="0"/>
        <w:snapToGrid w:val="0"/>
        <w:spacing w:line="360" w:lineRule="auto"/>
        <w:ind w:firstLine="1050" w:firstLineChars="5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δ-声程差，m；</w:t>
      </w:r>
    </w:p>
    <w:p>
      <w:pPr>
        <w:keepNext w:val="0"/>
        <w:keepLines w:val="0"/>
        <w:pageBreakBefore w:val="0"/>
        <w:widowControl w:val="0"/>
        <w:kinsoku/>
        <w:wordWrap/>
        <w:overflowPunct/>
        <w:topLinePunct w:val="0"/>
        <w:autoSpaceDE/>
        <w:autoSpaceDN/>
        <w:bidi w:val="0"/>
        <w:adjustRightInd w:val="0"/>
        <w:snapToGrid w:val="0"/>
        <w:spacing w:line="360" w:lineRule="auto"/>
        <w:ind w:firstLine="1050" w:firstLineChars="5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c</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声速，m/s。</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在公路建设项目评价中可采用500Hz频率的声波计算得到的屏障衰减量近似作为A声级的衰减量。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有限长声屏障计算：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Abar仍由上式</w:t>
      </w:r>
      <w:r>
        <w:rPr>
          <w:rFonts w:hint="default" w:ascii="Times New Roman" w:hAnsi="Times New Roman" w:cs="Times New Roman"/>
          <w:color w:val="auto"/>
          <w:kern w:val="2"/>
          <w:sz w:val="21"/>
          <w:szCs w:val="21"/>
          <w:highlight w:val="none"/>
          <w:u w:val="none" w:color="auto"/>
          <w:lang w:eastAsia="zh-CN"/>
        </w:rPr>
        <w:t>公式</w:t>
      </w:r>
      <w:r>
        <w:rPr>
          <w:rFonts w:hint="default" w:ascii="Times New Roman" w:hAnsi="Times New Roman" w:cs="Times New Roman"/>
          <w:color w:val="auto"/>
          <w:kern w:val="2"/>
          <w:sz w:val="21"/>
          <w:szCs w:val="21"/>
          <w:highlight w:val="none"/>
          <w:u w:val="none" w:color="auto"/>
        </w:rPr>
        <w:t>计算，然后根据下图进行修正，修正后的Abar取决于遮蔽角β/θ。</w:t>
      </w:r>
      <w:r>
        <w:rPr>
          <w:rFonts w:hint="eastAsia" w:cs="Times New Roman"/>
          <w:color w:val="auto"/>
          <w:kern w:val="2"/>
          <w:sz w:val="21"/>
          <w:szCs w:val="21"/>
          <w:highlight w:val="none"/>
          <w:u w:val="none" w:color="auto"/>
          <w:lang w:val="en-US" w:eastAsia="zh-CN"/>
        </w:rPr>
        <w:t>图4-2</w:t>
      </w:r>
      <w:r>
        <w:rPr>
          <w:rFonts w:hint="default" w:ascii="Times New Roman" w:hAnsi="Times New Roman" w:cs="Times New Roman"/>
          <w:color w:val="auto"/>
          <w:kern w:val="2"/>
          <w:sz w:val="21"/>
          <w:szCs w:val="21"/>
          <w:highlight w:val="none"/>
          <w:u w:val="none" w:color="auto"/>
        </w:rPr>
        <w:t>（a）中虚线表示：无限长屏障声衰减为8.5dB，若有限长声屏障对应的遮蔽角百分率为92%，则有限长声屏障的声衰减为6.6dB。</w:t>
      </w:r>
    </w:p>
    <w:p>
      <w:pPr>
        <w:keepNext/>
        <w:pageBreakBefore w:val="0"/>
        <w:kinsoku/>
        <w:wordWrap/>
        <w:overflowPunct/>
        <w:topLinePunct w:val="0"/>
        <w:bidi w:val="0"/>
        <w:adjustRightInd w:val="0"/>
        <w:snapToGrid w:val="0"/>
        <w:spacing w:line="360" w:lineRule="auto"/>
        <w:ind w:firstLine="420" w:firstLineChars="20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3194050" cy="3370580"/>
            <wp:effectExtent l="0" t="0" r="6350" b="127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5" cstate="print"/>
                    <a:stretch>
                      <a:fillRect/>
                    </a:stretch>
                  </pic:blipFill>
                  <pic:spPr>
                    <a:xfrm>
                      <a:off x="0" y="0"/>
                      <a:ext cx="3202828" cy="3379819"/>
                    </a:xfrm>
                    <a:prstGeom prst="rect">
                      <a:avLst/>
                    </a:prstGeom>
                  </pic:spPr>
                </pic:pic>
              </a:graphicData>
            </a:graphic>
          </wp:inline>
        </w:drawing>
      </w:r>
    </w:p>
    <w:p>
      <w:pPr>
        <w:pageBreakBefore w:val="0"/>
        <w:widowControl w:val="0"/>
        <w:kinsoku/>
        <w:wordWrap/>
        <w:overflowPunct/>
        <w:topLinePunct w:val="0"/>
        <w:autoSpaceDE w:val="0"/>
        <w:autoSpaceDN w:val="0"/>
        <w:bidi w:val="0"/>
        <w:adjustRightInd w:val="0"/>
        <w:snapToGrid w:val="0"/>
        <w:spacing w:before="156" w:beforeLines="50" w:line="360" w:lineRule="auto"/>
        <w:ind w:firstLine="0" w:firstLineChars="0"/>
        <w:jc w:val="center"/>
        <w:rPr>
          <w:rFonts w:hint="default" w:ascii="Times New Roman" w:hAnsi="Times New Roman" w:eastAsia="宋体" w:cs="Times New Roman"/>
          <w:b/>
          <w:color w:val="auto"/>
          <w:kern w:val="21"/>
          <w:sz w:val="21"/>
          <w:szCs w:val="21"/>
          <w:highlight w:val="none"/>
          <w:u w:val="none" w:color="auto"/>
          <w:lang w:val="en-US" w:eastAsia="zh-CN" w:bidi="ar-SA"/>
        </w:rPr>
      </w:pPr>
      <w:bookmarkStart w:id="116" w:name="_Ref96442827"/>
      <w:r>
        <w:rPr>
          <w:rFonts w:hint="default" w:ascii="Times New Roman" w:hAnsi="Times New Roman" w:eastAsia="宋体" w:cs="Times New Roman"/>
          <w:b/>
          <w:color w:val="auto"/>
          <w:kern w:val="21"/>
          <w:sz w:val="21"/>
          <w:szCs w:val="21"/>
          <w:highlight w:val="none"/>
          <w:u w:val="none" w:color="auto"/>
          <w:lang w:val="en-US" w:eastAsia="zh-CN" w:bidi="ar-SA"/>
        </w:rPr>
        <w:t>图</w:t>
      </w:r>
      <w:r>
        <w:rPr>
          <w:rFonts w:hint="eastAsia" w:ascii="Times New Roman" w:hAnsi="Times New Roman" w:eastAsia="宋体" w:cs="Times New Roman"/>
          <w:b/>
          <w:color w:val="auto"/>
          <w:kern w:val="21"/>
          <w:sz w:val="21"/>
          <w:szCs w:val="21"/>
          <w:highlight w:val="none"/>
          <w:u w:val="none" w:color="auto"/>
          <w:lang w:val="en-US" w:eastAsia="zh-CN" w:bidi="ar-SA"/>
        </w:rPr>
        <w:t>4-2</w:t>
      </w:r>
      <w:bookmarkEnd w:id="116"/>
      <w:r>
        <w:rPr>
          <w:rFonts w:hint="default" w:ascii="Times New Roman" w:hAnsi="Times New Roman" w:eastAsia="宋体" w:cs="Times New Roman"/>
          <w:b/>
          <w:color w:val="auto"/>
          <w:kern w:val="21"/>
          <w:sz w:val="21"/>
          <w:szCs w:val="21"/>
          <w:highlight w:val="none"/>
          <w:u w:val="none" w:color="auto"/>
          <w:lang w:val="en-US" w:eastAsia="zh-CN" w:bidi="ar-SA"/>
        </w:rPr>
        <w:t xml:space="preserve"> 有限长度的声屏障及线声源的修正图</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④由反射等引起的修正量（△</w:t>
      </w:r>
      <w:r>
        <w:rPr>
          <w:rFonts w:hint="default" w:ascii="Times New Roman" w:hAnsi="Times New Roman" w:cs="Times New Roman"/>
          <w:i/>
          <w:color w:val="auto"/>
          <w:kern w:val="2"/>
          <w:sz w:val="21"/>
          <w:szCs w:val="21"/>
          <w:highlight w:val="none"/>
          <w:u w:val="none" w:color="auto"/>
        </w:rPr>
        <w:t>L</w:t>
      </w:r>
      <w:r>
        <w:rPr>
          <w:rFonts w:hint="default" w:ascii="Times New Roman" w:hAnsi="Times New Roman" w:cs="Times New Roman"/>
          <w:color w:val="auto"/>
          <w:kern w:val="2"/>
          <w:sz w:val="21"/>
          <w:szCs w:val="21"/>
          <w:highlight w:val="none"/>
          <w:u w:val="none" w:color="auto"/>
          <w:vertAlign w:val="subscript"/>
        </w:rPr>
        <w:t>3</w:t>
      </w:r>
      <w:r>
        <w:rPr>
          <w:rFonts w:hint="default" w:ascii="Times New Roman" w:hAnsi="Times New Roman" w:cs="Times New Roman"/>
          <w:color w:val="auto"/>
          <w:kern w:val="2"/>
          <w:sz w:val="21"/>
          <w:szCs w:val="21"/>
          <w:highlight w:val="none"/>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A</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城市道路交叉路口噪声（影响）修正量</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交叉路口的噪声修正量（附加值）见下表。</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default" w:ascii="Times New Roman" w:hAnsi="Times New Roman" w:eastAsia="宋体" w:cs="Times New Roman"/>
          <w:b/>
          <w:color w:val="000000"/>
          <w:kern w:val="21"/>
          <w:sz w:val="21"/>
          <w:szCs w:val="21"/>
          <w:highlight w:val="none"/>
          <w:u w:val="none" w:color="auto"/>
          <w:lang w:val="en-US" w:eastAsia="zh-CN" w:bidi="ar-SA"/>
        </w:rPr>
        <w:t>表</w:t>
      </w:r>
      <w:r>
        <w:rPr>
          <w:rFonts w:hint="eastAsia" w:ascii="Times New Roman" w:hAnsi="Times New Roman" w:eastAsia="宋体" w:cs="Times New Roman"/>
          <w:b/>
          <w:color w:val="000000"/>
          <w:kern w:val="21"/>
          <w:sz w:val="21"/>
          <w:szCs w:val="21"/>
          <w:highlight w:val="none"/>
          <w:u w:val="none" w:color="auto"/>
          <w:lang w:val="en-US" w:eastAsia="zh-CN" w:bidi="ar-SA"/>
        </w:rPr>
        <w:t xml:space="preserve">4-3 </w:t>
      </w:r>
      <w:r>
        <w:rPr>
          <w:rFonts w:hint="default" w:ascii="Times New Roman" w:hAnsi="Times New Roman" w:eastAsia="宋体" w:cs="Times New Roman"/>
          <w:b/>
          <w:color w:val="000000"/>
          <w:kern w:val="21"/>
          <w:sz w:val="21"/>
          <w:szCs w:val="21"/>
          <w:highlight w:val="none"/>
          <w:u w:val="none" w:color="auto"/>
          <w:lang w:val="en-US" w:eastAsia="zh-CN" w:bidi="ar-SA"/>
        </w:rPr>
        <w:t>交叉路口的噪声附加量</w:t>
      </w:r>
    </w:p>
    <w:tbl>
      <w:tblPr>
        <w:tblStyle w:val="4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7"/>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7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受噪声影响点至最近快车道中轴线交叉点的距离/m</w:t>
            </w:r>
          </w:p>
        </w:tc>
        <w:tc>
          <w:tcPr>
            <w:tcW w:w="3345"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交叉路口/dB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7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≤40</w:t>
            </w:r>
          </w:p>
        </w:tc>
        <w:tc>
          <w:tcPr>
            <w:tcW w:w="3345"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7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40＜D≤70</w:t>
            </w:r>
          </w:p>
        </w:tc>
        <w:tc>
          <w:tcPr>
            <w:tcW w:w="3345"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7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70＜D≤100</w:t>
            </w:r>
          </w:p>
        </w:tc>
        <w:tc>
          <w:tcPr>
            <w:tcW w:w="3345"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17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＞100</w:t>
            </w:r>
          </w:p>
        </w:tc>
        <w:tc>
          <w:tcPr>
            <w:tcW w:w="3345"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0</w:t>
            </w:r>
          </w:p>
        </w:tc>
      </w:tr>
    </w:tbl>
    <w:p>
      <w:pPr>
        <w:pageBreakBefore w:val="0"/>
        <w:kinsoku/>
        <w:wordWrap/>
        <w:overflowPunct/>
        <w:topLinePunct w:val="0"/>
        <w:bidi w:val="0"/>
        <w:adjustRightInd w:val="0"/>
        <w:snapToGrid w:val="0"/>
        <w:spacing w:line="360" w:lineRule="auto"/>
        <w:ind w:firstLine="420" w:firstLineChars="200"/>
        <w:jc w:val="left"/>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B</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两侧建筑物的反射声修正量</w:t>
      </w:r>
    </w:p>
    <w:p>
      <w:pPr>
        <w:keepNext w:val="0"/>
        <w:keepLines w:val="0"/>
        <w:pageBreakBefore w:val="0"/>
        <w:widowControl w:val="0"/>
        <w:kinsoku/>
        <w:wordWrap/>
        <w:overflowPunct/>
        <w:topLinePunct w:val="0"/>
        <w:autoSpaceDE w:val="0"/>
        <w:autoSpaceDN/>
        <w:bidi w:val="0"/>
        <w:adjustRightInd w:val="0"/>
        <w:snapToGrid w:val="0"/>
        <w:spacing w:line="360" w:lineRule="auto"/>
        <w:ind w:firstLine="420" w:firstLineChars="200"/>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地貌以及声源两侧建筑物反射噪声影响因素的修正。当线路两侧建筑物间距小于总计高度30%时，其反射修正量为：</w:t>
      </w:r>
    </w:p>
    <w:p>
      <w:pPr>
        <w:keepNext w:val="0"/>
        <w:keepLines w:val="0"/>
        <w:pageBreakBefore w:val="0"/>
        <w:widowControl w:val="0"/>
        <w:kinsoku/>
        <w:wordWrap/>
        <w:overflowPunct/>
        <w:topLinePunct w:val="0"/>
        <w:autoSpaceDN/>
        <w:bidi w:val="0"/>
        <w:adjustRightInd w:val="0"/>
        <w:snapToGrid w:val="0"/>
        <w:spacing w:line="360" w:lineRule="auto"/>
        <w:ind w:firstLine="420" w:firstLineChars="200"/>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两侧建筑物是反射面时</w:t>
      </w:r>
    </w:p>
    <w:p>
      <w:pPr>
        <w:keepNext w:val="0"/>
        <w:keepLines w:val="0"/>
        <w:pageBreakBefore w:val="0"/>
        <w:widowControl w:val="0"/>
        <w:kinsoku/>
        <w:wordWrap/>
        <w:overflowPunct/>
        <w:topLinePunct w:val="0"/>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0"/>
          <w:sz w:val="21"/>
          <w:szCs w:val="21"/>
          <w:highlight w:val="none"/>
          <w:u w:val="none" w:color="auto"/>
        </w:rPr>
        <w:drawing>
          <wp:inline distT="0" distB="0" distL="0" distR="0">
            <wp:extent cx="1924050" cy="405765"/>
            <wp:effectExtent l="0" t="0" r="0" b="0"/>
            <wp:docPr id="145" name="图片 145" descr="C:\Users\24482~1.DES\AppData\Local\Temp\ksohtml16660\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24482~1.DES\AppData\Local\Temp\ksohtml16660\wps12.png"/>
                    <pic:cNvPicPr>
                      <a:picLocks noChangeAspect="1" noChangeArrowheads="1"/>
                    </pic:cNvPicPr>
                  </pic:nvPicPr>
                  <pic:blipFill>
                    <a:blip r:embed="rId66"/>
                    <a:srcRect/>
                    <a:stretch>
                      <a:fillRect/>
                    </a:stretch>
                  </pic:blipFill>
                  <pic:spPr>
                    <a:xfrm>
                      <a:off x="0" y="0"/>
                      <a:ext cx="1924050" cy="405765"/>
                    </a:xfrm>
                    <a:prstGeom prst="rect">
                      <a:avLst/>
                    </a:prstGeom>
                    <a:noFill/>
                    <a:ln>
                      <a:noFill/>
                    </a:ln>
                  </pic:spPr>
                </pic:pic>
              </a:graphicData>
            </a:graphic>
          </wp:inline>
        </w:drawing>
      </w:r>
    </w:p>
    <w:p>
      <w:pPr>
        <w:keepNext w:val="0"/>
        <w:keepLines w:val="0"/>
        <w:pageBreakBefore w:val="0"/>
        <w:widowControl w:val="0"/>
        <w:kinsoku/>
        <w:wordWrap/>
        <w:overflowPunct/>
        <w:topLinePunct w:val="0"/>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两侧建筑物是一半吸收新表面时</w:t>
      </w:r>
    </w:p>
    <w:p>
      <w:pPr>
        <w:keepNext w:val="0"/>
        <w:keepLines w:val="0"/>
        <w:pageBreakBefore w:val="0"/>
        <w:widowControl w:val="0"/>
        <w:kinsoku/>
        <w:wordWrap/>
        <w:overflowPunct/>
        <w:topLinePunct w:val="0"/>
        <w:autoSpaceDN/>
        <w:bidi w:val="0"/>
        <w:adjustRightInd w:val="0"/>
        <w:snapToGrid w:val="0"/>
        <w:spacing w:line="360" w:lineRule="auto"/>
        <w:ind w:left="420" w:leftChars="200" w:firstLine="420" w:firstLineChars="200"/>
        <w:jc w:val="center"/>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drawing>
          <wp:inline distT="0" distB="0" distL="0" distR="0">
            <wp:extent cx="1948180" cy="374015"/>
            <wp:effectExtent l="0" t="0" r="0" b="6985"/>
            <wp:docPr id="146" name="图片 146" descr="C:\Users\24482~1.DES\AppData\Local\Temp\ksohtml16660\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Users\24482~1.DES\AppData\Local\Temp\ksohtml16660\wps13.png"/>
                    <pic:cNvPicPr>
                      <a:picLocks noChangeAspect="1" noChangeArrowheads="1"/>
                    </pic:cNvPicPr>
                  </pic:nvPicPr>
                  <pic:blipFill>
                    <a:blip r:embed="rId67"/>
                    <a:srcRect/>
                    <a:stretch>
                      <a:fillRect/>
                    </a:stretch>
                  </pic:blipFill>
                  <pic:spPr>
                    <a:xfrm>
                      <a:off x="0" y="0"/>
                      <a:ext cx="1948180" cy="374015"/>
                    </a:xfrm>
                    <a:prstGeom prst="rect">
                      <a:avLst/>
                    </a:prstGeom>
                    <a:noFill/>
                    <a:ln>
                      <a:noFill/>
                    </a:ln>
                  </pic:spPr>
                </pic:pic>
              </a:graphicData>
            </a:graphic>
          </wp:inline>
        </w:drawing>
      </w:r>
    </w:p>
    <w:p>
      <w:pPr>
        <w:keepNext w:val="0"/>
        <w:keepLines w:val="0"/>
        <w:pageBreakBefore w:val="0"/>
        <w:widowControl w:val="0"/>
        <w:kinsoku/>
        <w:wordWrap/>
        <w:overflowPunct/>
        <w:topLinePunct w:val="0"/>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两侧建筑物表面为时</w:t>
      </w:r>
    </w:p>
    <w:p>
      <w:pPr>
        <w:keepNext w:val="0"/>
        <w:keepLines w:val="0"/>
        <w:pageBreakBefore w:val="0"/>
        <w:widowControl w:val="0"/>
        <w:kinsoku/>
        <w:wordWrap/>
        <w:overflowPunct/>
        <w:topLinePunct w:val="0"/>
        <w:autoSpaceDN/>
        <w:bidi w:val="0"/>
        <w:adjustRightInd w:val="0"/>
        <w:snapToGrid w:val="0"/>
        <w:spacing w:line="360" w:lineRule="auto"/>
        <w:ind w:left="420" w:leftChars="200" w:firstLine="420" w:firstLineChars="200"/>
        <w:jc w:val="center"/>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drawing>
          <wp:inline distT="0" distB="0" distL="0" distR="0">
            <wp:extent cx="636270" cy="246380"/>
            <wp:effectExtent l="0" t="0" r="0" b="1270"/>
            <wp:docPr id="147" name="图片 147" descr="C:\Users\24482~1.DES\AppData\Local\Temp\ksohtml16660\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C:\Users\24482~1.DES\AppData\Local\Temp\ksohtml16660\wps14.png"/>
                    <pic:cNvPicPr>
                      <a:picLocks noChangeAspect="1" noChangeArrowheads="1"/>
                    </pic:cNvPicPr>
                  </pic:nvPicPr>
                  <pic:blipFill>
                    <a:blip r:embed="rId68"/>
                    <a:srcRect/>
                    <a:stretch>
                      <a:fillRect/>
                    </a:stretch>
                  </pic:blipFill>
                  <pic:spPr>
                    <a:xfrm>
                      <a:off x="0" y="0"/>
                      <a:ext cx="636270" cy="246380"/>
                    </a:xfrm>
                    <a:prstGeom prst="rect">
                      <a:avLst/>
                    </a:prstGeom>
                    <a:noFill/>
                    <a:ln>
                      <a:noFill/>
                    </a:ln>
                  </pic:spPr>
                </pic:pic>
              </a:graphicData>
            </a:graphic>
          </wp:inline>
        </w:drawing>
      </w:r>
    </w:p>
    <w:p>
      <w:pPr>
        <w:keepNext w:val="0"/>
        <w:keepLines w:val="0"/>
        <w:pageBreakBefore w:val="0"/>
        <w:widowControl w:val="0"/>
        <w:kinsoku/>
        <w:wordWrap/>
        <w:overflowPunct/>
        <w:topLinePunct w:val="0"/>
        <w:autoSpaceDN/>
        <w:bidi w:val="0"/>
        <w:adjustRightInd w:val="0"/>
        <w:snapToGrid w:val="0"/>
        <w:spacing w:line="360" w:lineRule="auto"/>
        <w:ind w:firstLine="420" w:firstLineChars="200"/>
        <w:textAlignment w:val="auto"/>
        <w:rPr>
          <w:rFonts w:hint="default" w:ascii="Times New Roman" w:hAnsi="Times New Roman" w:cs="Times New Roman"/>
          <w:color w:val="auto"/>
          <w:kern w:val="0"/>
          <w:sz w:val="21"/>
          <w:szCs w:val="21"/>
          <w:highlight w:val="none"/>
          <w:u w:val="none" w:color="auto"/>
        </w:rPr>
      </w:pPr>
      <w:r>
        <w:rPr>
          <w:rFonts w:hint="default" w:ascii="Times New Roman" w:hAnsi="Times New Roman" w:cs="Times New Roman"/>
          <w:color w:val="auto"/>
          <w:kern w:val="0"/>
          <w:sz w:val="21"/>
          <w:szCs w:val="21"/>
          <w:highlight w:val="none"/>
          <w:u w:val="none" w:color="auto"/>
        </w:rPr>
        <w:t>w</w:t>
      </w:r>
      <w:r>
        <w:rPr>
          <w:rFonts w:hint="default" w:ascii="Times New Roman" w:hAnsi="Times New Roman" w:cs="Times New Roman"/>
          <w:color w:val="auto"/>
          <w:kern w:val="0"/>
          <w:sz w:val="21"/>
          <w:szCs w:val="21"/>
          <w:highlight w:val="none"/>
          <w:u w:val="none" w:color="auto"/>
          <w:lang w:eastAsia="zh-CN"/>
        </w:rPr>
        <w:t>－</w:t>
      </w:r>
      <w:r>
        <w:rPr>
          <w:rFonts w:hint="default" w:ascii="Times New Roman" w:hAnsi="Times New Roman" w:cs="Times New Roman"/>
          <w:color w:val="auto"/>
          <w:kern w:val="0"/>
          <w:sz w:val="21"/>
          <w:szCs w:val="21"/>
          <w:highlight w:val="none"/>
          <w:u w:val="none" w:color="auto"/>
        </w:rPr>
        <w:t>线路两侧建筑物反射面的间距，m；</w:t>
      </w:r>
    </w:p>
    <w:p>
      <w:pPr>
        <w:keepNext w:val="0"/>
        <w:keepLines w:val="0"/>
        <w:pageBreakBefore w:val="0"/>
        <w:widowControl w:val="0"/>
        <w:kinsoku/>
        <w:wordWrap/>
        <w:overflowPunct/>
        <w:topLinePunct w:val="0"/>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H</w:t>
      </w:r>
      <w:r>
        <w:rPr>
          <w:rFonts w:hint="default" w:ascii="Times New Roman" w:hAnsi="Times New Roman" w:cs="Times New Roman"/>
          <w:color w:val="auto"/>
          <w:kern w:val="2"/>
          <w:sz w:val="21"/>
          <w:szCs w:val="21"/>
          <w:highlight w:val="none"/>
          <w:u w:val="none" w:color="auto"/>
          <w:vertAlign w:val="subscript"/>
        </w:rPr>
        <w:t>b</w:t>
      </w:r>
      <w:r>
        <w:rPr>
          <w:rFonts w:hint="default" w:ascii="Times New Roman" w:hAnsi="Times New Roman" w:cs="Times New Roman"/>
          <w:color w:val="auto"/>
          <w:kern w:val="2"/>
          <w:sz w:val="21"/>
          <w:szCs w:val="21"/>
          <w:highlight w:val="none"/>
          <w:u w:val="none" w:color="auto"/>
          <w:vertAlign w:val="subscript"/>
          <w:lang w:eastAsia="zh-CN"/>
        </w:rPr>
        <w:t>－</w:t>
      </w:r>
      <w:r>
        <w:rPr>
          <w:rFonts w:hint="default" w:ascii="Times New Roman" w:hAnsi="Times New Roman" w:cs="Times New Roman"/>
          <w:color w:val="auto"/>
          <w:kern w:val="2"/>
          <w:sz w:val="21"/>
          <w:szCs w:val="21"/>
          <w:highlight w:val="none"/>
          <w:u w:val="none" w:color="auto"/>
        </w:rPr>
        <w:t>构筑物的平均高度，</w:t>
      </w:r>
      <w:r>
        <w:rPr>
          <w:rFonts w:hint="default" w:ascii="Times New Roman" w:hAnsi="Times New Roman" w:cs="Times New Roman"/>
          <w:color w:val="auto"/>
          <w:kern w:val="2"/>
          <w:sz w:val="21"/>
          <w:szCs w:val="21"/>
          <w:highlight w:val="none"/>
          <w:u w:val="none" w:color="auto"/>
          <w:lang w:eastAsia="zh-CN"/>
        </w:rPr>
        <w:t>取</w:t>
      </w:r>
      <w:r>
        <w:rPr>
          <w:rFonts w:hint="default" w:ascii="Times New Roman" w:hAnsi="Times New Roman" w:cs="Times New Roman"/>
          <w:color w:val="auto"/>
          <w:kern w:val="2"/>
          <w:sz w:val="21"/>
          <w:szCs w:val="21"/>
          <w:highlight w:val="none"/>
          <w:u w:val="none" w:color="auto"/>
        </w:rPr>
        <w:t>两侧较低一侧高度平均值代入计算，m。</w:t>
      </w:r>
    </w:p>
    <w:p>
      <w:pPr>
        <w:keepNext w:val="0"/>
        <w:keepLines w:val="0"/>
        <w:pageBreakBefore w:val="0"/>
        <w:widowControl w:val="0"/>
        <w:numPr>
          <w:ilvl w:val="0"/>
          <w:numId w:val="4"/>
        </w:numPr>
        <w:kinsoku/>
        <w:wordWrap/>
        <w:overflowPunct/>
        <w:topLinePunct w:val="0"/>
        <w:autoSpaceDN/>
        <w:bidi w:val="0"/>
        <w:adjustRightInd w:val="0"/>
        <w:snapToGrid w:val="0"/>
        <w:spacing w:after="120" w:afterLines="0" w:afterAutospacing="0" w:line="360" w:lineRule="auto"/>
        <w:ind w:left="420" w:leftChars="200" w:firstLine="420" w:firstLineChars="200"/>
        <w:jc w:val="both"/>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根据《环境影响评价技术导则 公路建设项目》，路堤或路垫可引衰减，本项目衰减量计算参照《环境影响评价技术导则 公路建设项目》附录B中的路基或路垫衰减量计算，具体如下：</w:t>
      </w:r>
    </w:p>
    <w:p>
      <w:pPr>
        <w:pageBreakBefore w:val="0"/>
        <w:numPr>
          <w:ilvl w:val="0"/>
          <w:numId w:val="0"/>
        </w:numPr>
        <w:kinsoku/>
        <w:wordWrap/>
        <w:overflowPunct/>
        <w:topLinePunct w:val="0"/>
        <w:bidi w:val="0"/>
        <w:adjustRightInd w:val="0"/>
        <w:snapToGrid w:val="0"/>
        <w:spacing w:line="360" w:lineRule="auto"/>
        <w:ind w:firstLine="420" w:firstLineChars="200"/>
        <w:rPr>
          <w:rFonts w:hint="default"/>
          <w:kern w:val="2"/>
          <w:sz w:val="21"/>
          <w:szCs w:val="21"/>
          <w:highlight w:val="none"/>
          <w:u w:val="none" w:color="auto"/>
          <w:lang w:val="en-US" w:eastAsia="zh-CN"/>
        </w:rPr>
      </w:pPr>
      <w:r>
        <w:rPr>
          <w:rFonts w:hint="default"/>
          <w:kern w:val="2"/>
          <w:sz w:val="21"/>
          <w:szCs w:val="21"/>
          <w:highlight w:val="none"/>
          <w:u w:val="none" w:color="auto"/>
          <w:lang w:val="en-US" w:eastAsia="zh-CN"/>
        </w:rPr>
        <w:t>当预测点位于声影区时，L声影区 按公式（B.10）计算：</w:t>
      </w:r>
    </w:p>
    <w:p>
      <w:pPr>
        <w:pageBreakBefore w:val="0"/>
        <w:widowControl w:val="0"/>
        <w:kinsoku/>
        <w:wordWrap/>
        <w:overflowPunct/>
        <w:topLinePunct w:val="0"/>
        <w:bidi w:val="0"/>
        <w:adjustRightInd w:val="0"/>
        <w:snapToGrid w:val="0"/>
        <w:spacing w:after="120" w:afterLines="0" w:afterAutospacing="0" w:line="360" w:lineRule="auto"/>
        <w:ind w:left="0" w:leftChars="0" w:firstLine="0" w:firstLineChars="0"/>
        <w:jc w:val="both"/>
        <w:rPr>
          <w:rFonts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drawing>
          <wp:inline distT="0" distB="0" distL="114300" distR="114300">
            <wp:extent cx="5269230" cy="1235710"/>
            <wp:effectExtent l="0" t="0" r="7620" b="2540"/>
            <wp:docPr id="148" name="图片 14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图片1"/>
                    <pic:cNvPicPr>
                      <a:picLocks noChangeAspect="1"/>
                    </pic:cNvPicPr>
                  </pic:nvPicPr>
                  <pic:blipFill>
                    <a:blip r:embed="rId69"/>
                    <a:stretch>
                      <a:fillRect/>
                    </a:stretch>
                  </pic:blipFill>
                  <pic:spPr>
                    <a:xfrm>
                      <a:off x="0" y="0"/>
                      <a:ext cx="5269230" cy="1235710"/>
                    </a:xfrm>
                    <a:prstGeom prst="rect">
                      <a:avLst/>
                    </a:prstGeom>
                  </pic:spPr>
                </pic:pic>
              </a:graphicData>
            </a:graphic>
          </wp:inline>
        </w:drawing>
      </w:r>
      <w:r>
        <w:rPr>
          <w:rFonts w:ascii="Times New Roman" w:hAnsi="Times New Roman" w:eastAsia="宋体" w:cs="Times New Roman"/>
          <w:kern w:val="2"/>
          <w:sz w:val="21"/>
          <w:szCs w:val="21"/>
          <w:highlight w:val="none"/>
          <w:u w:val="none" w:color="auto"/>
          <w:lang w:val="en-US" w:eastAsia="zh-CN" w:bidi="ar-SA"/>
        </w:rPr>
        <w:drawing>
          <wp:inline distT="0" distB="0" distL="114300" distR="114300">
            <wp:extent cx="5273675" cy="1269365"/>
            <wp:effectExtent l="0" t="0" r="3175" b="6985"/>
            <wp:docPr id="1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
                    <pic:cNvPicPr>
                      <a:picLocks noChangeAspect="1"/>
                    </pic:cNvPicPr>
                  </pic:nvPicPr>
                  <pic:blipFill>
                    <a:blip r:embed="rId70"/>
                    <a:stretch>
                      <a:fillRect/>
                    </a:stretch>
                  </pic:blipFill>
                  <pic:spPr>
                    <a:xfrm>
                      <a:off x="0" y="0"/>
                      <a:ext cx="5273675" cy="1269365"/>
                    </a:xfrm>
                    <a:prstGeom prst="rect">
                      <a:avLst/>
                    </a:prstGeom>
                    <a:noFill/>
                    <a:ln>
                      <a:noFill/>
                    </a:ln>
                  </pic:spPr>
                </pic:pic>
              </a:graphicData>
            </a:graphic>
          </wp:inline>
        </w:drawing>
      </w:r>
    </w:p>
    <w:p>
      <w:pPr>
        <w:pageBreakBefore w:val="0"/>
        <w:kinsoku/>
        <w:wordWrap/>
        <w:overflowPunct/>
        <w:topLinePunct w:val="0"/>
        <w:bidi w:val="0"/>
        <w:adjustRightInd w:val="0"/>
        <w:snapToGrid w:val="0"/>
        <w:spacing w:line="360" w:lineRule="auto"/>
        <w:ind w:left="0" w:leftChars="0" w:firstLine="0" w:firstLineChars="0"/>
        <w:rPr>
          <w:rFonts w:hint="eastAsia" w:eastAsia="宋体"/>
          <w:kern w:val="2"/>
          <w:sz w:val="21"/>
          <w:szCs w:val="21"/>
          <w:highlight w:val="none"/>
          <w:u w:val="none" w:color="auto"/>
          <w:lang w:eastAsia="zh-CN"/>
        </w:rPr>
      </w:pPr>
      <w:r>
        <w:rPr>
          <w:rFonts w:hint="eastAsia" w:eastAsia="宋体"/>
          <w:kern w:val="2"/>
          <w:sz w:val="21"/>
          <w:szCs w:val="21"/>
          <w:highlight w:val="none"/>
          <w:u w:val="none" w:color="auto"/>
          <w:lang w:eastAsia="zh-CN"/>
        </w:rPr>
        <w:drawing>
          <wp:inline distT="0" distB="0" distL="114300" distR="114300">
            <wp:extent cx="5273040" cy="2769235"/>
            <wp:effectExtent l="0" t="0" r="3810" b="12065"/>
            <wp:docPr id="150" name="图片 15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图片2"/>
                    <pic:cNvPicPr>
                      <a:picLocks noChangeAspect="1"/>
                    </pic:cNvPicPr>
                  </pic:nvPicPr>
                  <pic:blipFill>
                    <a:blip r:embed="rId71"/>
                    <a:stretch>
                      <a:fillRect/>
                    </a:stretch>
                  </pic:blipFill>
                  <pic:spPr>
                    <a:xfrm>
                      <a:off x="0" y="0"/>
                      <a:ext cx="5273040" cy="27692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kern w:val="2"/>
          <w:sz w:val="21"/>
          <w:szCs w:val="21"/>
          <w:highlight w:val="none"/>
          <w:u w:val="none" w:color="auto"/>
          <w:lang w:val="en-US" w:eastAsia="zh-CN"/>
        </w:rPr>
      </w:pPr>
      <w:r>
        <w:rPr>
          <w:rFonts w:hint="default"/>
          <w:kern w:val="2"/>
          <w:sz w:val="21"/>
          <w:szCs w:val="21"/>
          <w:highlight w:val="none"/>
          <w:u w:val="none" w:color="auto"/>
          <w:lang w:val="en-US" w:eastAsia="zh-CN"/>
        </w:rPr>
        <w:t>当预测点处于声影区以外区域（声照区）时，L声影区 ＝0</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（2）环境声级计算</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预测点P处的环境噪声计算公式为：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2115185" cy="286385"/>
            <wp:effectExtent l="0" t="0" r="0" b="0"/>
            <wp:docPr id="151" name="图片 151" descr="C:\Users\24482~1.DES\AppData\Local\Temp\ksohtml16660\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C:\Users\24482~1.DES\AppData\Local\Temp\ksohtml16660\wps16.png"/>
                    <pic:cNvPicPr>
                      <a:picLocks noChangeAspect="1" noChangeArrowheads="1"/>
                    </pic:cNvPicPr>
                  </pic:nvPicPr>
                  <pic:blipFill>
                    <a:blip r:embed="rId72"/>
                    <a:srcRect/>
                    <a:stretch>
                      <a:fillRect/>
                    </a:stretch>
                  </pic:blipFill>
                  <pic:spPr>
                    <a:xfrm>
                      <a:off x="0" y="0"/>
                      <a:ext cx="2115185" cy="2863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374015" cy="246380"/>
            <wp:effectExtent l="0" t="0" r="6985" b="1270"/>
            <wp:docPr id="152" name="图片 152" descr="C:\Users\24482~1.DES\AppData\Local\Temp\ksohtml16660\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C:\Users\24482~1.DES\AppData\Local\Temp\ksohtml16660\wps17.png"/>
                    <pic:cNvPicPr>
                      <a:picLocks noChangeAspect="1" noChangeArrowheads="1"/>
                    </pic:cNvPicPr>
                  </pic:nvPicPr>
                  <pic:blipFill>
                    <a:blip r:embed="rId73"/>
                    <a:srcRect/>
                    <a:stretch>
                      <a:fillRect/>
                    </a:stretch>
                  </pic:blipFill>
                  <pic:spPr>
                    <a:xfrm>
                      <a:off x="0" y="0"/>
                      <a:ext cx="374015" cy="246380"/>
                    </a:xfrm>
                    <a:prstGeom prst="rect">
                      <a:avLst/>
                    </a:prstGeom>
                    <a:noFill/>
                    <a:ln>
                      <a:noFill/>
                    </a:ln>
                  </pic:spPr>
                </pic:pic>
              </a:graphicData>
            </a:graphic>
          </wp:inline>
        </w:drawing>
      </w:r>
      <w:r>
        <w:rPr>
          <w:rFonts w:hint="default" w:ascii="Times New Roman" w:hAnsi="Times New Roman" w:cs="Times New Roman"/>
          <w:color w:val="auto"/>
          <w:kern w:val="2"/>
          <w:sz w:val="21"/>
          <w:szCs w:val="21"/>
          <w:highlight w:val="none"/>
          <w:u w:val="none" w:color="auto"/>
        </w:rPr>
        <w:t>—预测点昼间或夜间的环境噪声预测值，dB(A)；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374015" cy="246380"/>
            <wp:effectExtent l="0" t="0" r="6985" b="1270"/>
            <wp:docPr id="153" name="图片 153" descr="C:\Users\24482~1.DES\AppData\Local\Temp\ksohtml16660\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C:\Users\24482~1.DES\AppData\Local\Temp\ksohtml16660\wps18.png"/>
                    <pic:cNvPicPr>
                      <a:picLocks noChangeAspect="1" noChangeArrowheads="1"/>
                    </pic:cNvPicPr>
                  </pic:nvPicPr>
                  <pic:blipFill>
                    <a:blip r:embed="rId74"/>
                    <a:srcRect/>
                    <a:stretch>
                      <a:fillRect/>
                    </a:stretch>
                  </pic:blipFill>
                  <pic:spPr>
                    <a:xfrm>
                      <a:off x="0" y="0"/>
                      <a:ext cx="374015" cy="246380"/>
                    </a:xfrm>
                    <a:prstGeom prst="rect">
                      <a:avLst/>
                    </a:prstGeom>
                    <a:noFill/>
                    <a:ln>
                      <a:noFill/>
                    </a:ln>
                  </pic:spPr>
                </pic:pic>
              </a:graphicData>
            </a:graphic>
          </wp:inline>
        </w:drawing>
      </w:r>
      <w:r>
        <w:rPr>
          <w:rFonts w:hint="default" w:ascii="Times New Roman" w:hAnsi="Times New Roman" w:cs="Times New Roman"/>
          <w:color w:val="auto"/>
          <w:kern w:val="2"/>
          <w:sz w:val="21"/>
          <w:szCs w:val="21"/>
          <w:highlight w:val="none"/>
          <w:u w:val="none" w:color="auto"/>
        </w:rPr>
        <w:t>—预测点道路交通噪声值，dB(A)；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drawing>
          <wp:inline distT="0" distB="0" distL="0" distR="0">
            <wp:extent cx="374015" cy="246380"/>
            <wp:effectExtent l="0" t="0" r="6985" b="1270"/>
            <wp:docPr id="154" name="图片 154" descr="C:\Users\24482~1.DES\AppData\Local\Temp\ksohtml16660\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C:\Users\24482~1.DES\AppData\Local\Temp\ksohtml16660\wps19.png"/>
                    <pic:cNvPicPr>
                      <a:picLocks noChangeAspect="1" noChangeArrowheads="1"/>
                    </pic:cNvPicPr>
                  </pic:nvPicPr>
                  <pic:blipFill>
                    <a:blip r:embed="rId75"/>
                    <a:srcRect/>
                    <a:stretch>
                      <a:fillRect/>
                    </a:stretch>
                  </pic:blipFill>
                  <pic:spPr>
                    <a:xfrm>
                      <a:off x="0" y="0"/>
                      <a:ext cx="374015" cy="246380"/>
                    </a:xfrm>
                    <a:prstGeom prst="rect">
                      <a:avLst/>
                    </a:prstGeom>
                    <a:noFill/>
                    <a:ln>
                      <a:noFill/>
                    </a:ln>
                  </pic:spPr>
                </pic:pic>
              </a:graphicData>
            </a:graphic>
          </wp:inline>
        </w:drawing>
      </w:r>
      <w:r>
        <w:rPr>
          <w:rFonts w:hint="default" w:ascii="Times New Roman" w:hAnsi="Times New Roman" w:cs="Times New Roman"/>
          <w:color w:val="auto"/>
          <w:kern w:val="2"/>
          <w:sz w:val="21"/>
          <w:szCs w:val="21"/>
          <w:highlight w:val="none"/>
          <w:u w:val="none" w:color="auto"/>
        </w:rPr>
        <w:t>—预测点预测的环境噪声背景值，dB(A)。</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（3）交通噪声分布预测及评价</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①道路交通噪声预测</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采用上述预测模式，根据各影响因素予以计算修正，得到拟建道路不同时期距路边不同距离处的噪声预测结果，见下表。预测时段包括营运近期（202</w:t>
      </w:r>
      <w:r>
        <w:rPr>
          <w:rFonts w:hint="eastAsia" w:cs="Times New Roman"/>
          <w:color w:val="auto"/>
          <w:kern w:val="2"/>
          <w:sz w:val="21"/>
          <w:szCs w:val="21"/>
          <w:highlight w:val="none"/>
          <w:u w:val="none" w:color="auto"/>
          <w:lang w:val="en-US" w:eastAsia="zh-CN"/>
        </w:rPr>
        <w:t>7</w:t>
      </w:r>
      <w:r>
        <w:rPr>
          <w:rFonts w:hint="default" w:ascii="Times New Roman" w:hAnsi="Times New Roman" w:cs="Times New Roman"/>
          <w:color w:val="auto"/>
          <w:kern w:val="2"/>
          <w:sz w:val="21"/>
          <w:szCs w:val="21"/>
          <w:highlight w:val="none"/>
          <w:u w:val="none" w:color="auto"/>
        </w:rPr>
        <w:t>年）、中期（203</w:t>
      </w:r>
      <w:r>
        <w:rPr>
          <w:rFonts w:hint="eastAsia" w:cs="Times New Roman"/>
          <w:color w:val="auto"/>
          <w:kern w:val="2"/>
          <w:sz w:val="21"/>
          <w:szCs w:val="21"/>
          <w:highlight w:val="none"/>
          <w:u w:val="none" w:color="auto"/>
          <w:lang w:val="en-US" w:eastAsia="zh-CN"/>
        </w:rPr>
        <w:t>3</w:t>
      </w:r>
      <w:r>
        <w:rPr>
          <w:rFonts w:hint="default" w:ascii="Times New Roman" w:hAnsi="Times New Roman" w:cs="Times New Roman"/>
          <w:color w:val="auto"/>
          <w:kern w:val="2"/>
          <w:sz w:val="21"/>
          <w:szCs w:val="21"/>
          <w:highlight w:val="none"/>
          <w:u w:val="none" w:color="auto"/>
        </w:rPr>
        <w:t>年）、远期（204</w:t>
      </w:r>
      <w:r>
        <w:rPr>
          <w:rFonts w:hint="eastAsia" w:cs="Times New Roman"/>
          <w:color w:val="auto"/>
          <w:kern w:val="2"/>
          <w:sz w:val="21"/>
          <w:szCs w:val="21"/>
          <w:highlight w:val="none"/>
          <w:u w:val="none" w:color="auto"/>
          <w:lang w:val="en-US" w:eastAsia="zh-CN"/>
        </w:rPr>
        <w:t>1</w:t>
      </w:r>
      <w:r>
        <w:rPr>
          <w:rFonts w:hint="default" w:ascii="Times New Roman" w:hAnsi="Times New Roman" w:cs="Times New Roman"/>
          <w:color w:val="auto"/>
          <w:kern w:val="2"/>
          <w:sz w:val="21"/>
          <w:szCs w:val="21"/>
          <w:highlight w:val="none"/>
          <w:u w:val="none" w:color="auto"/>
        </w:rPr>
        <w:t>年）昼间、夜间值。预测结果见下表。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（4）预测参数选择</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项目预测参数汇总见下表。</w:t>
      </w:r>
    </w:p>
    <w:p>
      <w:pPr>
        <w:keepNext w:val="0"/>
        <w:keepLines w:val="0"/>
        <w:pageBreakBefore w:val="0"/>
        <w:widowControl w:val="0"/>
        <w:kinsoku/>
        <w:wordWrap/>
        <w:overflowPunct/>
        <w:topLinePunct w:val="0"/>
        <w:autoSpaceDE w:val="0"/>
        <w:autoSpaceDN w:val="0"/>
        <w:bidi w:val="0"/>
        <w:adjustRightInd w:val="0"/>
        <w:snapToGrid w:val="0"/>
        <w:spacing w:before="0" w:beforeLines="0" w:line="240" w:lineRule="auto"/>
        <w:ind w:firstLine="0" w:firstLineChars="0"/>
        <w:jc w:val="center"/>
        <w:textAlignment w:val="auto"/>
        <w:rPr>
          <w:rFonts w:hint="default" w:ascii="Times New Roman" w:hAnsi="Times New Roman" w:eastAsia="宋体" w:cs="Times New Roman"/>
          <w:b/>
          <w:color w:val="auto"/>
          <w:kern w:val="21"/>
          <w:sz w:val="21"/>
          <w:szCs w:val="21"/>
          <w:highlight w:val="none"/>
          <w:u w:val="single" w:color="auto"/>
          <w:lang w:val="en-US" w:eastAsia="zh-CN" w:bidi="ar-SA"/>
        </w:rPr>
      </w:pPr>
      <w:r>
        <w:rPr>
          <w:rFonts w:hint="default" w:ascii="Times New Roman" w:hAnsi="Times New Roman" w:eastAsia="宋体" w:cs="Times New Roman"/>
          <w:b/>
          <w:color w:val="000000"/>
          <w:kern w:val="21"/>
          <w:sz w:val="21"/>
          <w:szCs w:val="21"/>
          <w:highlight w:val="none"/>
          <w:u w:val="none" w:color="auto"/>
          <w:lang w:val="en-US" w:eastAsia="zh-CN" w:bidi="ar-SA"/>
        </w:rPr>
        <w:t>表</w:t>
      </w:r>
      <w:r>
        <w:rPr>
          <w:rFonts w:hint="eastAsia" w:ascii="Times New Roman" w:hAnsi="Times New Roman" w:eastAsia="宋体" w:cs="Times New Roman"/>
          <w:b/>
          <w:color w:val="000000"/>
          <w:kern w:val="21"/>
          <w:sz w:val="21"/>
          <w:szCs w:val="21"/>
          <w:highlight w:val="none"/>
          <w:u w:val="none" w:color="auto"/>
          <w:lang w:val="en-US" w:eastAsia="zh-CN" w:bidi="ar-SA"/>
        </w:rPr>
        <w:t>4-4</w:t>
      </w:r>
      <w:r>
        <w:rPr>
          <w:rFonts w:hint="default" w:ascii="Times New Roman" w:hAnsi="Times New Roman" w:eastAsia="宋体" w:cs="Times New Roman"/>
          <w:b/>
          <w:color w:val="000000"/>
          <w:kern w:val="21"/>
          <w:sz w:val="21"/>
          <w:szCs w:val="21"/>
          <w:highlight w:val="none"/>
          <w:u w:val="none" w:color="auto"/>
          <w:lang w:val="en-US" w:eastAsia="zh-CN" w:bidi="ar-SA"/>
        </w:rPr>
        <w:t xml:space="preserve"> 噪声预测参数一览表</w:t>
      </w:r>
    </w:p>
    <w:tbl>
      <w:tblPr>
        <w:tblStyle w:val="4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697"/>
        <w:gridCol w:w="953"/>
        <w:gridCol w:w="2545"/>
        <w:gridCol w:w="958"/>
        <w:gridCol w:w="2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序号</w:t>
            </w:r>
          </w:p>
        </w:tc>
        <w:tc>
          <w:tcPr>
            <w:tcW w:w="1650"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参数</w:t>
            </w: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参数意义</w:t>
            </w:r>
          </w:p>
        </w:tc>
        <w:tc>
          <w:tcPr>
            <w:tcW w:w="9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选取值</w:t>
            </w:r>
          </w:p>
        </w:tc>
        <w:tc>
          <w:tcPr>
            <w:tcW w:w="28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w:t>
            </w:r>
          </w:p>
        </w:tc>
        <w:tc>
          <w:tcPr>
            <w:tcW w:w="697"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声源</w:t>
            </w:r>
          </w:p>
        </w:tc>
        <w:tc>
          <w:tcPr>
            <w:tcW w:w="95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车流量</w:t>
            </w: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指定的时间T内通过某预测点的第i类车流量，辆/小时</w:t>
            </w:r>
          </w:p>
        </w:tc>
        <w:tc>
          <w:tcPr>
            <w:tcW w:w="9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none" w:color="auto"/>
                <w:lang w:val="en-US" w:eastAsia="zh-CN" w:bidi="ar-SA"/>
              </w:rPr>
            </w:pPr>
            <w:r>
              <w:rPr>
                <w:rFonts w:hint="eastAsia" w:ascii="Times New Roman" w:hAnsi="Times New Roman" w:eastAsia="宋体" w:cs="Times New Roman"/>
                <w:kern w:val="2"/>
                <w:sz w:val="21"/>
                <w:szCs w:val="21"/>
                <w:highlight w:val="none"/>
                <w:u w:val="none" w:color="auto"/>
                <w:lang w:val="en-US" w:eastAsia="zh-CN" w:bidi="ar-SA"/>
              </w:rPr>
              <w:t>表2-2</w:t>
            </w:r>
          </w:p>
        </w:tc>
        <w:tc>
          <w:tcPr>
            <w:tcW w:w="28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项目近、中、远期昼间平均和夜间平均车流量（辆/h）预测计算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2</w:t>
            </w:r>
          </w:p>
        </w:tc>
        <w:tc>
          <w:tcPr>
            <w:tcW w:w="697"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95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噪声级</w:t>
            </w: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第i类车的参考能量平均辐射声级dB(A)</w:t>
            </w:r>
          </w:p>
        </w:tc>
        <w:tc>
          <w:tcPr>
            <w:tcW w:w="9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表</w:t>
            </w:r>
            <w:r>
              <w:rPr>
                <w:rFonts w:hint="eastAsia" w:ascii="Times New Roman" w:hAnsi="Times New Roman" w:eastAsia="宋体" w:cs="Times New Roman"/>
                <w:kern w:val="2"/>
                <w:sz w:val="21"/>
                <w:szCs w:val="21"/>
                <w:highlight w:val="none"/>
                <w:u w:val="none" w:color="auto"/>
                <w:lang w:val="en-US" w:eastAsia="zh-CN" w:bidi="ar-SA"/>
              </w:rPr>
              <w:t>2-7</w:t>
            </w:r>
          </w:p>
        </w:tc>
        <w:tc>
          <w:tcPr>
            <w:tcW w:w="28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第i型车在参照点（7.5m处）的平均辐射噪声级计算公式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3</w:t>
            </w:r>
          </w:p>
        </w:tc>
        <w:tc>
          <w:tcPr>
            <w:tcW w:w="697"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工程参数</w:t>
            </w:r>
          </w:p>
        </w:tc>
        <w:tc>
          <w:tcPr>
            <w:tcW w:w="95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车速</w:t>
            </w: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第i类车的平均车速km/h</w:t>
            </w:r>
          </w:p>
        </w:tc>
        <w:tc>
          <w:tcPr>
            <w:tcW w:w="9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表</w:t>
            </w:r>
            <w:r>
              <w:rPr>
                <w:rFonts w:hint="eastAsia" w:ascii="Times New Roman" w:hAnsi="Times New Roman" w:eastAsia="宋体" w:cs="Times New Roman"/>
                <w:kern w:val="2"/>
                <w:sz w:val="21"/>
                <w:szCs w:val="21"/>
                <w:highlight w:val="none"/>
                <w:u w:val="none" w:color="auto"/>
                <w:lang w:val="en-US" w:eastAsia="zh-CN" w:bidi="ar-SA"/>
              </w:rPr>
              <w:t>2-6</w:t>
            </w:r>
          </w:p>
        </w:tc>
        <w:tc>
          <w:tcPr>
            <w:tcW w:w="28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设计车速</w:t>
            </w:r>
            <w:r>
              <w:rPr>
                <w:rFonts w:hint="eastAsia" w:ascii="Times New Roman" w:hAnsi="Times New Roman" w:eastAsia="宋体" w:cs="Times New Roman"/>
                <w:kern w:val="2"/>
                <w:sz w:val="21"/>
                <w:szCs w:val="21"/>
                <w:highlight w:val="none"/>
                <w:u w:val="none" w:color="auto"/>
                <w:lang w:val="en-US" w:eastAsia="zh-CN" w:bidi="ar-SA"/>
              </w:rPr>
              <w:t>5</w:t>
            </w:r>
            <w:r>
              <w:rPr>
                <w:rFonts w:hint="default" w:ascii="Times New Roman" w:hAnsi="Times New Roman" w:eastAsia="宋体" w:cs="Times New Roman"/>
                <w:kern w:val="2"/>
                <w:sz w:val="21"/>
                <w:szCs w:val="21"/>
                <w:highlight w:val="none"/>
                <w:u w:val="none" w:color="auto"/>
                <w:lang w:val="en-US" w:eastAsia="zh-CN" w:bidi="ar-SA"/>
              </w:rPr>
              <w:t>0km/h，按声导则中的公式计算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697"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953"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时间</w:t>
            </w: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计算等效声级的时间</w:t>
            </w:r>
          </w:p>
        </w:tc>
        <w:tc>
          <w:tcPr>
            <w:tcW w:w="9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1h</w:t>
            </w:r>
          </w:p>
        </w:tc>
        <w:tc>
          <w:tcPr>
            <w:tcW w:w="28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预测模式要求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697"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95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昼夜时间</w:t>
            </w:r>
          </w:p>
        </w:tc>
        <w:tc>
          <w:tcPr>
            <w:tcW w:w="3804"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昼间6:00~22:00，夜间22:00～次日6:00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697"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953"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修正量及衰减量</w:t>
            </w: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纵坡修正量</w:t>
            </w:r>
          </w:p>
        </w:tc>
        <w:tc>
          <w:tcPr>
            <w:tcW w:w="9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按公式计算</w:t>
            </w:r>
          </w:p>
        </w:tc>
        <w:tc>
          <w:tcPr>
            <w:tcW w:w="28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根据不同该路段纵坡坡度计算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697"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95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路面修正量</w:t>
            </w:r>
          </w:p>
        </w:tc>
        <w:tc>
          <w:tcPr>
            <w:tcW w:w="9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0</w:t>
            </w:r>
          </w:p>
        </w:tc>
        <w:tc>
          <w:tcPr>
            <w:tcW w:w="28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全线为沥青混凝土路面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697"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95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房屋附加衰减量</w:t>
            </w:r>
          </w:p>
        </w:tc>
        <w:tc>
          <w:tcPr>
            <w:tcW w:w="9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w:t>
            </w:r>
          </w:p>
        </w:tc>
        <w:tc>
          <w:tcPr>
            <w:tcW w:w="28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本项目敏感目标主要为</w:t>
            </w:r>
            <w:r>
              <w:rPr>
                <w:rFonts w:hint="eastAsia" w:ascii="Times New Roman" w:hAnsi="Times New Roman" w:eastAsia="宋体" w:cs="Times New Roman"/>
                <w:kern w:val="2"/>
                <w:sz w:val="21"/>
                <w:szCs w:val="21"/>
                <w:highlight w:val="none"/>
                <w:u w:val="none" w:color="auto"/>
                <w:lang w:val="en-US" w:eastAsia="zh-CN" w:bidi="ar-SA"/>
              </w:rPr>
              <w:t>城市集中住宅区</w:t>
            </w:r>
            <w:r>
              <w:rPr>
                <w:rFonts w:hint="default" w:ascii="Times New Roman" w:hAnsi="Times New Roman" w:eastAsia="宋体" w:cs="Times New Roman"/>
                <w:kern w:val="2"/>
                <w:sz w:val="21"/>
                <w:szCs w:val="21"/>
                <w:highlight w:val="none"/>
                <w:u w:val="none" w:color="auto"/>
                <w:lang w:val="en-US" w:eastAsia="zh-CN" w:bidi="ar-SA"/>
              </w:rPr>
              <w:t>，本次预测考虑房屋附加衰减量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697"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95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大气吸收衰减</w:t>
            </w:r>
          </w:p>
        </w:tc>
        <w:tc>
          <w:tcPr>
            <w:tcW w:w="9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预测时考虑</w:t>
            </w:r>
          </w:p>
        </w:tc>
        <w:tc>
          <w:tcPr>
            <w:tcW w:w="28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常年平均温度，湿度，1个标准大气压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52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697"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95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p>
        </w:tc>
        <w:tc>
          <w:tcPr>
            <w:tcW w:w="254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地面吸收衰减</w:t>
            </w:r>
          </w:p>
        </w:tc>
        <w:tc>
          <w:tcPr>
            <w:tcW w:w="9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预测时考虑</w:t>
            </w:r>
          </w:p>
        </w:tc>
        <w:tc>
          <w:tcPr>
            <w:tcW w:w="28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本项目拟建道路两侧现状主要为</w:t>
            </w:r>
            <w:r>
              <w:rPr>
                <w:rFonts w:hint="eastAsia" w:ascii="Times New Roman" w:hAnsi="Times New Roman" w:eastAsia="宋体" w:cs="Times New Roman"/>
                <w:kern w:val="2"/>
                <w:sz w:val="21"/>
                <w:szCs w:val="21"/>
                <w:highlight w:val="none"/>
                <w:u w:val="none" w:color="auto"/>
                <w:lang w:val="en-US" w:eastAsia="zh-CN" w:bidi="ar-SA"/>
              </w:rPr>
              <w:t>居民办公区</w:t>
            </w:r>
            <w:r>
              <w:rPr>
                <w:rFonts w:hint="default" w:ascii="Times New Roman" w:hAnsi="Times New Roman" w:eastAsia="宋体" w:cs="Times New Roman"/>
                <w:kern w:val="2"/>
                <w:sz w:val="21"/>
                <w:szCs w:val="21"/>
                <w:highlight w:val="none"/>
                <w:u w:val="none" w:color="auto"/>
                <w:lang w:val="en-US" w:eastAsia="zh-CN" w:bidi="ar-SA"/>
              </w:rPr>
              <w:t>等。</w:t>
            </w:r>
          </w:p>
        </w:tc>
      </w:tr>
    </w:tbl>
    <w:p>
      <w:pPr>
        <w:keepNext/>
        <w:keepLines/>
        <w:pageBreakBefore w:val="0"/>
        <w:widowControl w:val="0"/>
        <w:numPr>
          <w:ilvl w:val="3"/>
          <w:numId w:val="3"/>
        </w:numPr>
        <w:tabs>
          <w:tab w:val="left" w:pos="0"/>
        </w:tabs>
        <w:kinsoku/>
        <w:wordWrap/>
        <w:overflowPunct/>
        <w:topLinePunct w:val="0"/>
        <w:autoSpaceDE/>
        <w:autoSpaceDN/>
        <w:bidi w:val="0"/>
        <w:adjustRightInd w:val="0"/>
        <w:snapToGrid w:val="0"/>
        <w:spacing w:beforeLines="0" w:beforeAutospacing="0" w:afterLines="0" w:afterAutospacing="0" w:line="360" w:lineRule="auto"/>
        <w:ind w:left="0" w:firstLine="420" w:firstLineChars="200"/>
        <w:jc w:val="both"/>
        <w:textAlignment w:val="auto"/>
        <w:outlineLvl w:val="3"/>
        <w:rPr>
          <w:rFonts w:hint="default" w:ascii="Times New Roman" w:hAnsi="Times New Roman" w:eastAsia="宋体" w:cs="Times New Roman"/>
          <w:kern w:val="0"/>
          <w:sz w:val="21"/>
          <w:szCs w:val="21"/>
          <w:highlight w:val="none"/>
          <w:u w:val="none" w:color="auto"/>
          <w:lang w:val="en-US" w:eastAsia="zh-CN" w:bidi="ar-SA"/>
        </w:rPr>
      </w:pPr>
      <w:r>
        <w:rPr>
          <w:rFonts w:hint="default" w:ascii="Times New Roman" w:hAnsi="Times New Roman" w:eastAsia="宋体" w:cs="Times New Roman"/>
          <w:kern w:val="0"/>
          <w:sz w:val="21"/>
          <w:szCs w:val="21"/>
          <w:highlight w:val="none"/>
          <w:u w:val="none" w:color="auto"/>
          <w:lang w:val="en-US" w:eastAsia="zh-CN" w:bidi="ar-SA"/>
        </w:rPr>
        <w:t>声环境预测内容</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根据预测模式以及实际情况确定的有关参数，对拟建道路两侧运营期202</w:t>
      </w:r>
      <w:r>
        <w:rPr>
          <w:rFonts w:hint="eastAsia" w:cs="Times New Roman"/>
          <w:color w:val="auto"/>
          <w:kern w:val="2"/>
          <w:sz w:val="21"/>
          <w:szCs w:val="21"/>
          <w:highlight w:val="none"/>
          <w:u w:val="none" w:color="auto"/>
          <w:lang w:val="en-US" w:eastAsia="zh-CN"/>
        </w:rPr>
        <w:t>7</w:t>
      </w:r>
      <w:r>
        <w:rPr>
          <w:rFonts w:hint="default" w:ascii="Times New Roman" w:hAnsi="Times New Roman" w:cs="Times New Roman"/>
          <w:color w:val="auto"/>
          <w:kern w:val="2"/>
          <w:sz w:val="21"/>
          <w:szCs w:val="21"/>
          <w:highlight w:val="none"/>
          <w:u w:val="none" w:color="auto"/>
        </w:rPr>
        <w:t>年、203</w:t>
      </w:r>
      <w:r>
        <w:rPr>
          <w:rFonts w:hint="eastAsia" w:cs="Times New Roman"/>
          <w:color w:val="auto"/>
          <w:kern w:val="2"/>
          <w:sz w:val="21"/>
          <w:szCs w:val="21"/>
          <w:highlight w:val="none"/>
          <w:u w:val="none" w:color="auto"/>
          <w:lang w:val="en-US" w:eastAsia="zh-CN"/>
        </w:rPr>
        <w:t>3</w:t>
      </w:r>
      <w:r>
        <w:rPr>
          <w:rFonts w:hint="default" w:ascii="Times New Roman" w:hAnsi="Times New Roman" w:cs="Times New Roman"/>
          <w:color w:val="auto"/>
          <w:kern w:val="2"/>
          <w:sz w:val="21"/>
          <w:szCs w:val="21"/>
          <w:highlight w:val="none"/>
          <w:u w:val="none" w:color="auto"/>
        </w:rPr>
        <w:t>年、20</w:t>
      </w:r>
      <w:r>
        <w:rPr>
          <w:rFonts w:hint="default" w:ascii="Times New Roman" w:hAnsi="Times New Roman" w:cs="Times New Roman"/>
          <w:color w:val="auto"/>
          <w:kern w:val="2"/>
          <w:sz w:val="21"/>
          <w:szCs w:val="21"/>
          <w:highlight w:val="none"/>
          <w:u w:val="none" w:color="auto"/>
          <w:lang w:val="en-US" w:eastAsia="zh-CN"/>
        </w:rPr>
        <w:t>4</w:t>
      </w:r>
      <w:r>
        <w:rPr>
          <w:rFonts w:hint="eastAsia" w:cs="Times New Roman"/>
          <w:color w:val="auto"/>
          <w:kern w:val="2"/>
          <w:sz w:val="21"/>
          <w:szCs w:val="21"/>
          <w:highlight w:val="none"/>
          <w:u w:val="none" w:color="auto"/>
          <w:lang w:val="en-US" w:eastAsia="zh-CN"/>
        </w:rPr>
        <w:t>1</w:t>
      </w:r>
      <w:r>
        <w:rPr>
          <w:rFonts w:hint="default" w:ascii="Times New Roman" w:hAnsi="Times New Roman" w:cs="Times New Roman"/>
          <w:color w:val="auto"/>
          <w:kern w:val="2"/>
          <w:sz w:val="21"/>
          <w:szCs w:val="21"/>
          <w:highlight w:val="none"/>
          <w:u w:val="none" w:color="auto"/>
        </w:rPr>
        <w:t>年的交通噪声衰减情况进行预测，并绘制等声值线示意图。</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近、中、远期噪声贡献值预测结果</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（1）噪声贡献值预测结果</w:t>
      </w:r>
    </w:p>
    <w:p>
      <w:pPr>
        <w:pageBreakBefore w:val="0"/>
        <w:kinsoku/>
        <w:wordWrap/>
        <w:overflowPunct/>
        <w:topLinePunct w:val="0"/>
        <w:bidi w:val="0"/>
        <w:adjustRightInd w:val="0"/>
        <w:snapToGrid w:val="0"/>
        <w:spacing w:line="360" w:lineRule="auto"/>
        <w:ind w:firstLine="420" w:firstLineChars="200"/>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根据项目设计方案，本工程道路交通量按运营近、中、远期的交通量，对其典型设计断面进行衰减断面噪声预测，</w:t>
      </w:r>
      <w:r>
        <w:rPr>
          <w:rFonts w:hint="eastAsia" w:cs="Times New Roman"/>
          <w:color w:val="auto"/>
          <w:kern w:val="2"/>
          <w:sz w:val="21"/>
          <w:szCs w:val="21"/>
          <w:highlight w:val="none"/>
          <w:u w:val="none" w:color="auto"/>
          <w:lang w:val="en-US" w:eastAsia="zh-CN"/>
        </w:rPr>
        <w:t>其中</w:t>
      </w:r>
      <w:r>
        <w:rPr>
          <w:rFonts w:hint="default"/>
          <w:kern w:val="2"/>
          <w:sz w:val="21"/>
          <w:szCs w:val="21"/>
          <w:highlight w:val="none"/>
          <w:u w:val="none" w:color="auto"/>
          <w:lang w:val="en-US"/>
        </w:rPr>
        <w:t>萍阳北路延伸段</w:t>
      </w:r>
      <w:r>
        <w:rPr>
          <w:rFonts w:hint="default" w:ascii="Times New Roman" w:hAnsi="Times New Roman" w:cs="Times New Roman"/>
          <w:color w:val="auto"/>
          <w:kern w:val="2"/>
          <w:sz w:val="21"/>
          <w:szCs w:val="21"/>
          <w:highlight w:val="none"/>
          <w:u w:val="none" w:color="auto"/>
        </w:rPr>
        <w:t>该断面路基宽度</w:t>
      </w:r>
      <w:r>
        <w:rPr>
          <w:rFonts w:hint="eastAsia" w:cs="Times New Roman"/>
          <w:color w:val="auto"/>
          <w:kern w:val="2"/>
          <w:sz w:val="21"/>
          <w:szCs w:val="21"/>
          <w:highlight w:val="none"/>
          <w:u w:val="none" w:color="auto"/>
          <w:lang w:val="en-US" w:eastAsia="zh-CN"/>
        </w:rPr>
        <w:t>36</w:t>
      </w:r>
      <w:r>
        <w:rPr>
          <w:rFonts w:hint="default" w:ascii="Times New Roman" w:hAnsi="Times New Roman" w:cs="Times New Roman"/>
          <w:color w:val="auto"/>
          <w:kern w:val="2"/>
          <w:sz w:val="21"/>
          <w:szCs w:val="21"/>
          <w:highlight w:val="none"/>
          <w:u w:val="none" w:color="auto"/>
        </w:rPr>
        <w:t>m，为双向4车道，</w:t>
      </w:r>
      <w:r>
        <w:rPr>
          <w:rFonts w:hint="default"/>
          <w:kern w:val="2"/>
          <w:sz w:val="21"/>
          <w:szCs w:val="21"/>
          <w:highlight w:val="none"/>
          <w:u w:val="none" w:color="auto"/>
          <w:lang w:val="en-US"/>
        </w:rPr>
        <w:t>萍州大桥西匝道</w:t>
      </w:r>
      <w:r>
        <w:rPr>
          <w:rFonts w:hint="default" w:ascii="Times New Roman" w:hAnsi="Times New Roman" w:cs="Times New Roman"/>
          <w:color w:val="auto"/>
          <w:kern w:val="2"/>
          <w:sz w:val="21"/>
          <w:szCs w:val="21"/>
          <w:highlight w:val="none"/>
          <w:u w:val="none" w:color="auto"/>
        </w:rPr>
        <w:t>该断面路基宽度</w:t>
      </w:r>
      <w:r>
        <w:rPr>
          <w:rFonts w:hint="eastAsia" w:cs="Times New Roman"/>
          <w:color w:val="auto"/>
          <w:kern w:val="2"/>
          <w:sz w:val="21"/>
          <w:szCs w:val="21"/>
          <w:highlight w:val="none"/>
          <w:u w:val="none" w:color="auto"/>
          <w:lang w:val="en-US" w:eastAsia="zh-CN"/>
        </w:rPr>
        <w:t>18</w:t>
      </w:r>
      <w:r>
        <w:rPr>
          <w:rFonts w:hint="default" w:ascii="Times New Roman" w:hAnsi="Times New Roman" w:cs="Times New Roman"/>
          <w:color w:val="auto"/>
          <w:kern w:val="2"/>
          <w:sz w:val="21"/>
          <w:szCs w:val="21"/>
          <w:highlight w:val="none"/>
          <w:u w:val="none" w:color="auto"/>
        </w:rPr>
        <w:t>m，为双向</w:t>
      </w:r>
      <w:r>
        <w:rPr>
          <w:rFonts w:hint="eastAsia" w:cs="Times New Roman"/>
          <w:color w:val="auto"/>
          <w:kern w:val="2"/>
          <w:sz w:val="21"/>
          <w:szCs w:val="21"/>
          <w:highlight w:val="none"/>
          <w:u w:val="none" w:color="auto"/>
          <w:lang w:val="en-US" w:eastAsia="zh-CN"/>
        </w:rPr>
        <w:t>2</w:t>
      </w:r>
      <w:r>
        <w:rPr>
          <w:rFonts w:hint="default" w:ascii="Times New Roman" w:hAnsi="Times New Roman" w:cs="Times New Roman"/>
          <w:color w:val="auto"/>
          <w:kern w:val="2"/>
          <w:sz w:val="21"/>
          <w:szCs w:val="21"/>
          <w:highlight w:val="none"/>
          <w:u w:val="none" w:color="auto"/>
        </w:rPr>
        <w:t>车道</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则本工程沿线标高1.2m处的噪声贡献值预测结果见下表。</w:t>
      </w:r>
    </w:p>
    <w:p>
      <w:pPr>
        <w:pageBreakBefore w:val="0"/>
        <w:kinsoku/>
        <w:wordWrap/>
        <w:overflowPunct/>
        <w:topLinePunct w:val="0"/>
        <w:bidi w:val="0"/>
        <w:adjustRightInd w:val="0"/>
        <w:snapToGrid w:val="0"/>
        <w:spacing w:line="360" w:lineRule="auto"/>
        <w:ind w:firstLine="480"/>
        <w:rPr>
          <w:rFonts w:hint="default" w:ascii="Times New Roman" w:hAnsi="Times New Roman" w:cs="Times New Roman"/>
          <w:sz w:val="21"/>
          <w:szCs w:val="21"/>
          <w:highlight w:val="none"/>
          <w:u w:val="singl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u w:val="none" w:color="auto"/>
          <w:lang w:val="en-US" w:eastAsia="zh-CN" w:bidi="ar-SA"/>
        </w:rPr>
      </w:pPr>
      <w:r>
        <w:rPr>
          <w:rFonts w:hint="default" w:ascii="Times New Roman" w:hAnsi="Times New Roman" w:eastAsia="宋体" w:cs="Times New Roman"/>
          <w:b/>
          <w:color w:val="000000"/>
          <w:kern w:val="21"/>
          <w:sz w:val="21"/>
          <w:szCs w:val="21"/>
          <w:u w:val="none" w:color="auto"/>
          <w:lang w:val="en-US" w:eastAsia="zh-CN" w:bidi="ar-SA"/>
        </w:rPr>
        <w:t>表</w:t>
      </w:r>
      <w:r>
        <w:rPr>
          <w:rFonts w:hint="eastAsia" w:ascii="Times New Roman" w:hAnsi="Times New Roman" w:eastAsia="宋体" w:cs="Times New Roman"/>
          <w:b/>
          <w:color w:val="000000"/>
          <w:kern w:val="21"/>
          <w:sz w:val="21"/>
          <w:szCs w:val="21"/>
          <w:u w:val="none" w:color="auto"/>
          <w:lang w:val="en-US" w:eastAsia="zh-CN" w:bidi="ar-SA"/>
        </w:rPr>
        <w:t>4-5</w:t>
      </w:r>
      <w:r>
        <w:rPr>
          <w:rFonts w:hint="default" w:ascii="Times New Roman" w:hAnsi="Times New Roman" w:eastAsia="宋体" w:cs="Times New Roman"/>
          <w:b/>
          <w:color w:val="000000"/>
          <w:kern w:val="21"/>
          <w:sz w:val="21"/>
          <w:szCs w:val="21"/>
          <w:u w:val="none" w:color="auto"/>
          <w:lang w:val="en-US" w:eastAsia="zh-CN" w:bidi="ar-SA"/>
        </w:rPr>
        <w:t xml:space="preserve"> 近、中、远期噪声贡献值预测结果单位：dB(A)</w:t>
      </w:r>
    </w:p>
    <w:tbl>
      <w:tblPr>
        <w:tblStyle w:val="4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6"/>
        <w:gridCol w:w="650"/>
        <w:gridCol w:w="446"/>
        <w:gridCol w:w="702"/>
        <w:gridCol w:w="707"/>
        <w:gridCol w:w="707"/>
        <w:gridCol w:w="707"/>
        <w:gridCol w:w="707"/>
        <w:gridCol w:w="709"/>
        <w:gridCol w:w="913"/>
        <w:gridCol w:w="914"/>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路段</w:t>
            </w:r>
          </w:p>
        </w:tc>
        <w:tc>
          <w:tcPr>
            <w:tcW w:w="65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预测年</w:t>
            </w:r>
          </w:p>
        </w:tc>
        <w:tc>
          <w:tcPr>
            <w:tcW w:w="446"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时段</w:t>
            </w:r>
          </w:p>
        </w:tc>
        <w:tc>
          <w:tcPr>
            <w:tcW w:w="6980" w:type="dxa"/>
            <w:gridSpan w:val="9"/>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default" w:ascii="Times New Roman" w:hAnsi="Times New Roman" w:eastAsia="宋体" w:cs="Times New Roman"/>
                <w:b/>
                <w:bCs/>
                <w:kern w:val="2"/>
                <w:sz w:val="21"/>
                <w:szCs w:val="21"/>
                <w:u w:val="single" w:color="auto"/>
                <w:lang w:val="en-US" w:eastAsia="zh-CN" w:bidi="ar-SA"/>
              </w:rPr>
              <w:t>路中心线</w:t>
            </w:r>
            <w:r>
              <w:rPr>
                <w:rFonts w:hint="eastAsia" w:ascii="Times New Roman" w:hAnsi="Times New Roman" w:eastAsia="宋体" w:cs="Times New Roman"/>
                <w:b/>
                <w:bCs/>
                <w:kern w:val="2"/>
                <w:sz w:val="21"/>
                <w:szCs w:val="21"/>
                <w:u w:val="single" w:color="auto"/>
                <w:lang w:val="en-US" w:eastAsia="zh-CN" w:bidi="ar-SA"/>
              </w:rPr>
              <w:t>/边界线</w:t>
            </w:r>
            <w:r>
              <w:rPr>
                <w:rFonts w:hint="default" w:ascii="Times New Roman" w:hAnsi="Times New Roman" w:eastAsia="宋体" w:cs="Times New Roman"/>
                <w:b/>
                <w:bCs/>
                <w:kern w:val="2"/>
                <w:sz w:val="21"/>
                <w:szCs w:val="21"/>
                <w:u w:val="single" w:color="auto"/>
                <w:lang w:val="en-US" w:eastAsia="zh-CN" w:bidi="ar-SA"/>
              </w:rPr>
              <w:t>外不同水平距离处的交通噪声预测值（dB（A））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p>
        </w:tc>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p>
        </w:tc>
        <w:tc>
          <w:tcPr>
            <w:tcW w:w="70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18/0</w:t>
            </w:r>
          </w:p>
        </w:tc>
        <w:tc>
          <w:tcPr>
            <w:tcW w:w="70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28/10</w:t>
            </w:r>
          </w:p>
        </w:tc>
        <w:tc>
          <w:tcPr>
            <w:tcW w:w="70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38/20</w:t>
            </w:r>
          </w:p>
        </w:tc>
        <w:tc>
          <w:tcPr>
            <w:tcW w:w="70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48/30</w:t>
            </w:r>
          </w:p>
        </w:tc>
        <w:tc>
          <w:tcPr>
            <w:tcW w:w="70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68/50</w:t>
            </w:r>
          </w:p>
        </w:tc>
        <w:tc>
          <w:tcPr>
            <w:tcW w:w="70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98/80</w:t>
            </w:r>
          </w:p>
        </w:tc>
        <w:tc>
          <w:tcPr>
            <w:tcW w:w="91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118/100</w:t>
            </w:r>
          </w:p>
        </w:tc>
        <w:tc>
          <w:tcPr>
            <w:tcW w:w="914"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168/150</w:t>
            </w:r>
          </w:p>
        </w:tc>
        <w:tc>
          <w:tcPr>
            <w:tcW w:w="914"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21</w:t>
            </w:r>
            <w:r>
              <w:rPr>
                <w:rFonts w:hint="eastAsia" w:cs="Times New Roman"/>
                <w:b/>
                <w:bCs/>
                <w:kern w:val="2"/>
                <w:sz w:val="21"/>
                <w:szCs w:val="21"/>
                <w:u w:val="single" w:color="auto"/>
                <w:lang w:val="en-US" w:eastAsia="zh-CN" w:bidi="ar-SA"/>
              </w:rPr>
              <w:t>8</w:t>
            </w:r>
            <w:r>
              <w:rPr>
                <w:rFonts w:hint="eastAsia" w:ascii="Times New Roman" w:hAnsi="Times New Roman" w:eastAsia="宋体" w:cs="Times New Roman"/>
                <w:b/>
                <w:bCs/>
                <w:kern w:val="2"/>
                <w:sz w:val="21"/>
                <w:szCs w:val="21"/>
                <w:u w:val="single" w:color="auto"/>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eastAsia"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萍阳北路延伸段</w:t>
            </w:r>
          </w:p>
        </w:tc>
        <w:tc>
          <w:tcPr>
            <w:tcW w:w="65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202</w:t>
            </w:r>
            <w:r>
              <w:rPr>
                <w:rFonts w:hint="eastAsia" w:cs="Times New Roman"/>
                <w:kern w:val="2"/>
                <w:sz w:val="21"/>
                <w:szCs w:val="21"/>
                <w:u w:val="single" w:color="auto"/>
                <w:lang w:val="en-US" w:eastAsia="zh-CN" w:bidi="ar-SA"/>
              </w:rPr>
              <w:t>7</w:t>
            </w:r>
            <w:r>
              <w:rPr>
                <w:rFonts w:hint="eastAsia" w:ascii="Times New Roman" w:hAnsi="Times New Roman" w:eastAsia="宋体" w:cs="Times New Roman"/>
                <w:kern w:val="2"/>
                <w:sz w:val="21"/>
                <w:szCs w:val="21"/>
                <w:u w:val="single" w:color="auto"/>
                <w:lang w:val="en-US" w:eastAsia="zh-CN" w:bidi="ar-SA"/>
              </w:rPr>
              <w:t>年</w:t>
            </w: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昼间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59.86</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57.94</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56.61</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55.60</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84.08</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52.72</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51.69</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50.16</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夜间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53.39</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51.47</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50.14</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49.13</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47.62</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46.26</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45.22</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43.69</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203</w:t>
            </w:r>
            <w:r>
              <w:rPr>
                <w:rFonts w:hint="eastAsia" w:cs="Times New Roman"/>
                <w:kern w:val="2"/>
                <w:sz w:val="21"/>
                <w:szCs w:val="21"/>
                <w:u w:val="single" w:color="auto"/>
                <w:lang w:val="en-US" w:eastAsia="zh-CN" w:bidi="ar-SA"/>
              </w:rPr>
              <w:t>3</w:t>
            </w:r>
            <w:r>
              <w:rPr>
                <w:rFonts w:hint="eastAsia" w:ascii="Times New Roman" w:hAnsi="Times New Roman" w:eastAsia="宋体" w:cs="Times New Roman"/>
                <w:kern w:val="2"/>
                <w:sz w:val="21"/>
                <w:szCs w:val="21"/>
                <w:u w:val="single" w:color="auto"/>
                <w:lang w:val="en-US" w:eastAsia="zh-CN" w:bidi="ar-SA"/>
              </w:rPr>
              <w:t>年</w:t>
            </w: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昼间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61.28</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59.36</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58.04</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57.02</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55.51</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54.15</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53.12</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51.58</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夜间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54.87</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52.95</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51.62</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50.61</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49.09</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47.73</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46.70</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45.17</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204</w:t>
            </w:r>
            <w:r>
              <w:rPr>
                <w:rFonts w:hint="eastAsia" w:cs="Times New Roman"/>
                <w:kern w:val="2"/>
                <w:sz w:val="21"/>
                <w:szCs w:val="21"/>
                <w:u w:val="single" w:color="auto"/>
                <w:lang w:val="en-US" w:eastAsia="zh-CN" w:bidi="ar-SA"/>
              </w:rPr>
              <w:t>1</w:t>
            </w:r>
            <w:r>
              <w:rPr>
                <w:rFonts w:hint="eastAsia" w:ascii="Times New Roman" w:hAnsi="Times New Roman" w:eastAsia="宋体" w:cs="Times New Roman"/>
                <w:kern w:val="2"/>
                <w:sz w:val="21"/>
                <w:szCs w:val="21"/>
                <w:u w:val="single" w:color="auto"/>
                <w:lang w:val="en-US" w:eastAsia="zh-CN" w:bidi="ar-SA"/>
              </w:rPr>
              <w:t>年</w:t>
            </w: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昼间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63.06</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61.14</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59.81</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58.80</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57.28</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55.92</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54.89</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53.35</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夜间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56.76</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54.84</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53.51</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52.50</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50.99</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49.63</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48.59</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47.06</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cs="Times New Roman"/>
                <w:kern w:val="2"/>
                <w:sz w:val="21"/>
                <w:szCs w:val="21"/>
                <w:u w:val="single" w:color="auto"/>
                <w:lang w:val="en-US" w:eastAsia="zh-CN" w:bidi="ar-SA"/>
              </w:rPr>
              <w:t>45.93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44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路段</w:t>
            </w:r>
          </w:p>
        </w:tc>
        <w:tc>
          <w:tcPr>
            <w:tcW w:w="65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预测年</w:t>
            </w:r>
          </w:p>
        </w:tc>
        <w:tc>
          <w:tcPr>
            <w:tcW w:w="44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eastAsia"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时段</w:t>
            </w:r>
          </w:p>
        </w:tc>
        <w:tc>
          <w:tcPr>
            <w:tcW w:w="70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9/0</w:t>
            </w:r>
          </w:p>
        </w:tc>
        <w:tc>
          <w:tcPr>
            <w:tcW w:w="70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19/10</w:t>
            </w:r>
          </w:p>
        </w:tc>
        <w:tc>
          <w:tcPr>
            <w:tcW w:w="70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29/20</w:t>
            </w:r>
          </w:p>
        </w:tc>
        <w:tc>
          <w:tcPr>
            <w:tcW w:w="70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39/30</w:t>
            </w:r>
          </w:p>
        </w:tc>
        <w:tc>
          <w:tcPr>
            <w:tcW w:w="707"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59/50</w:t>
            </w:r>
          </w:p>
        </w:tc>
        <w:tc>
          <w:tcPr>
            <w:tcW w:w="709"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93/80</w:t>
            </w:r>
          </w:p>
        </w:tc>
        <w:tc>
          <w:tcPr>
            <w:tcW w:w="91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109/100</w:t>
            </w:r>
          </w:p>
        </w:tc>
        <w:tc>
          <w:tcPr>
            <w:tcW w:w="91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159/150</w:t>
            </w:r>
          </w:p>
        </w:tc>
        <w:tc>
          <w:tcPr>
            <w:tcW w:w="91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b/>
                <w:bCs/>
                <w:kern w:val="2"/>
                <w:sz w:val="21"/>
                <w:szCs w:val="21"/>
                <w:u w:val="single" w:color="auto"/>
                <w:lang w:val="en-US" w:eastAsia="zh-CN" w:bidi="ar-SA"/>
              </w:rPr>
            </w:pPr>
            <w:r>
              <w:rPr>
                <w:rFonts w:hint="eastAsia" w:ascii="Times New Roman" w:hAnsi="Times New Roman" w:eastAsia="宋体" w:cs="Times New Roman"/>
                <w:b/>
                <w:bCs/>
                <w:kern w:val="2"/>
                <w:sz w:val="21"/>
                <w:szCs w:val="21"/>
                <w:u w:val="single" w:color="auto"/>
                <w:lang w:val="en-US" w:eastAsia="zh-CN" w:bidi="ar-SA"/>
              </w:rPr>
              <w:t>209/200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446"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eastAsia"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萍州大桥西匝道</w:t>
            </w:r>
          </w:p>
        </w:tc>
        <w:tc>
          <w:tcPr>
            <w:tcW w:w="65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202</w:t>
            </w:r>
            <w:r>
              <w:rPr>
                <w:rFonts w:hint="eastAsia" w:cs="Times New Roman"/>
                <w:kern w:val="2"/>
                <w:sz w:val="21"/>
                <w:szCs w:val="21"/>
                <w:u w:val="single" w:color="auto"/>
                <w:lang w:val="en-US" w:eastAsia="zh-CN" w:bidi="ar-SA"/>
              </w:rPr>
              <w:t>7</w:t>
            </w:r>
            <w:r>
              <w:rPr>
                <w:rFonts w:hint="eastAsia" w:ascii="Times New Roman" w:hAnsi="Times New Roman" w:eastAsia="宋体" w:cs="Times New Roman"/>
                <w:kern w:val="2"/>
                <w:sz w:val="21"/>
                <w:szCs w:val="21"/>
                <w:u w:val="single" w:color="auto"/>
                <w:lang w:val="en-US" w:eastAsia="zh-CN" w:bidi="ar-SA"/>
              </w:rPr>
              <w:t>年</w:t>
            </w: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昼间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49.67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46.42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44.59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43.30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41.50 </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39.53 </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38.84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37.20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36.01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夜间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43.21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39.97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38.13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36.85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35.05 </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33.07 </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32.38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30.74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29.56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203</w:t>
            </w:r>
            <w:r>
              <w:rPr>
                <w:rFonts w:hint="eastAsia" w:cs="Times New Roman"/>
                <w:kern w:val="2"/>
                <w:sz w:val="21"/>
                <w:szCs w:val="21"/>
                <w:u w:val="single" w:color="auto"/>
                <w:lang w:val="en-US" w:eastAsia="zh-CN" w:bidi="ar-SA"/>
              </w:rPr>
              <w:t>3</w:t>
            </w:r>
            <w:r>
              <w:rPr>
                <w:rFonts w:hint="eastAsia" w:ascii="Times New Roman" w:hAnsi="Times New Roman" w:eastAsia="宋体" w:cs="Times New Roman"/>
                <w:kern w:val="2"/>
                <w:sz w:val="21"/>
                <w:szCs w:val="21"/>
                <w:u w:val="single" w:color="auto"/>
                <w:lang w:val="en-US" w:eastAsia="zh-CN" w:bidi="ar-SA"/>
              </w:rPr>
              <w:t>年</w:t>
            </w: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昼间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51.09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47.84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46.01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44.72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42.92 </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40.95 </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40.26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38.62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37.43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夜间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44.69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41.44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39.61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38.32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36.52 </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34.55 </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33.86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32.22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204</w:t>
            </w:r>
            <w:r>
              <w:rPr>
                <w:rFonts w:hint="eastAsia" w:cs="Times New Roman"/>
                <w:kern w:val="2"/>
                <w:sz w:val="21"/>
                <w:szCs w:val="21"/>
                <w:u w:val="single" w:color="auto"/>
                <w:lang w:val="en-US" w:eastAsia="zh-CN" w:bidi="ar-SA"/>
              </w:rPr>
              <w:t>1</w:t>
            </w:r>
            <w:r>
              <w:rPr>
                <w:rFonts w:hint="eastAsia" w:ascii="Times New Roman" w:hAnsi="Times New Roman" w:eastAsia="宋体" w:cs="Times New Roman"/>
                <w:kern w:val="2"/>
                <w:sz w:val="21"/>
                <w:szCs w:val="21"/>
                <w:u w:val="single" w:color="auto"/>
                <w:lang w:val="en-US" w:eastAsia="zh-CN" w:bidi="ar-SA"/>
              </w:rPr>
              <w:t>年</w:t>
            </w: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昼间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52.83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49.59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47.75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46.46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44.67 </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42.69 </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42.00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40.36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39.17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65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p>
        </w:tc>
        <w:tc>
          <w:tcPr>
            <w:tcW w:w="4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kern w:val="2"/>
                <w:sz w:val="21"/>
                <w:szCs w:val="21"/>
                <w:u w:val="single" w:color="auto"/>
                <w:lang w:val="en-US" w:eastAsia="zh-CN" w:bidi="ar-SA"/>
              </w:rPr>
              <w:t>夜间</w:t>
            </w:r>
          </w:p>
        </w:tc>
        <w:tc>
          <w:tcPr>
            <w:tcW w:w="702"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46.57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43.33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41.49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40.20 </w:t>
            </w:r>
          </w:p>
        </w:tc>
        <w:tc>
          <w:tcPr>
            <w:tcW w:w="707"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38.40 </w:t>
            </w:r>
          </w:p>
        </w:tc>
        <w:tc>
          <w:tcPr>
            <w:tcW w:w="709"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36.43 </w:t>
            </w:r>
          </w:p>
        </w:tc>
        <w:tc>
          <w:tcPr>
            <w:tcW w:w="913"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35.74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34.10 </w:t>
            </w:r>
          </w:p>
        </w:tc>
        <w:tc>
          <w:tcPr>
            <w:tcW w:w="914" w:type="dxa"/>
            <w:tcBorders>
              <w:tl2br w:val="nil"/>
              <w:tr2bl w:val="nil"/>
            </w:tcBorders>
            <w:shd w:val="clear" w:color="auto" w:fill="auto"/>
            <w:vAlign w:val="bottom"/>
          </w:tcPr>
          <w:p>
            <w:pPr>
              <w:pageBreakBefore w:val="0"/>
              <w:widowControl w:val="0"/>
              <w:kinsoku/>
              <w:wordWrap/>
              <w:overflowPunct/>
              <w:topLinePunct w:val="0"/>
              <w:autoSpaceDE w:val="0"/>
              <w:autoSpaceDN w:val="0"/>
              <w:bidi w:val="0"/>
              <w:adjustRightInd w:val="0"/>
              <w:snapToGrid w:val="0"/>
              <w:spacing w:after="0" w:line="240" w:lineRule="auto"/>
              <w:ind w:firstLine="0" w:firstLineChars="0"/>
              <w:jc w:val="center"/>
              <w:rPr>
                <w:rFonts w:hint="default" w:ascii="Times New Roman" w:hAnsi="Times New Roman" w:eastAsia="宋体" w:cs="Times New Roman"/>
                <w:kern w:val="2"/>
                <w:sz w:val="21"/>
                <w:szCs w:val="21"/>
                <w:u w:val="single" w:color="auto"/>
                <w:lang w:val="en-US" w:eastAsia="zh-CN" w:bidi="ar-SA"/>
              </w:rPr>
            </w:pPr>
            <w:r>
              <w:rPr>
                <w:rFonts w:hint="default" w:ascii="Times New Roman" w:hAnsi="Times New Roman" w:eastAsia="宋体" w:cs="Times New Roman"/>
                <w:kern w:val="2"/>
                <w:sz w:val="21"/>
                <w:szCs w:val="21"/>
                <w:u w:val="single" w:color="auto"/>
                <w:lang w:val="en-US" w:eastAsia="zh-CN" w:bidi="ar-SA"/>
              </w:rPr>
              <w:t xml:space="preserve">32.91 </w:t>
            </w:r>
          </w:p>
        </w:tc>
      </w:tr>
    </w:tbl>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从上表</w:t>
      </w:r>
      <w:r>
        <w:rPr>
          <w:rFonts w:hint="default" w:ascii="Times New Roman" w:hAnsi="Times New Roman" w:cs="Times New Roman"/>
          <w:color w:val="auto"/>
          <w:kern w:val="2"/>
          <w:sz w:val="21"/>
          <w:szCs w:val="21"/>
          <w:highlight w:val="none"/>
          <w:u w:val="none" w:color="auto"/>
          <w:lang w:eastAsia="zh-CN"/>
        </w:rPr>
        <w:t>可以</w:t>
      </w:r>
      <w:r>
        <w:rPr>
          <w:rFonts w:hint="default" w:ascii="Times New Roman" w:hAnsi="Times New Roman" w:cs="Times New Roman"/>
          <w:color w:val="auto"/>
          <w:kern w:val="2"/>
          <w:sz w:val="21"/>
          <w:szCs w:val="21"/>
          <w:highlight w:val="none"/>
          <w:u w:val="none" w:color="auto"/>
        </w:rPr>
        <w:t>看出：随着运营期的增长，车流量的增大，交通噪声声级值也随之增强；另一方面，随着距道路边界线距离的增加，交通噪声的影响逐渐减小。</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b w:val="0"/>
          <w:bCs w:val="0"/>
          <w:color w:val="auto"/>
          <w:kern w:val="2"/>
          <w:sz w:val="21"/>
          <w:szCs w:val="21"/>
          <w:highlight w:val="none"/>
          <w:u w:val="none" w:color="auto"/>
        </w:rPr>
      </w:pPr>
      <w:r>
        <w:rPr>
          <w:rFonts w:hint="default" w:ascii="Times New Roman" w:hAnsi="Times New Roman" w:cs="Times New Roman"/>
          <w:b w:val="0"/>
          <w:bCs w:val="0"/>
          <w:color w:val="auto"/>
          <w:kern w:val="2"/>
          <w:sz w:val="21"/>
          <w:szCs w:val="21"/>
          <w:highlight w:val="none"/>
          <w:u w:val="none" w:color="auto"/>
        </w:rPr>
        <w:t>（2）达标距离预测结果</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eastAsia"/>
          <w:kern w:val="2"/>
          <w:sz w:val="21"/>
          <w:szCs w:val="21"/>
          <w:highlight w:val="none"/>
          <w:u w:val="none" w:color="auto"/>
        </w:rPr>
        <w:t>萍阳北路延伸段标准段规划红线宽</w:t>
      </w:r>
      <w:r>
        <w:rPr>
          <w:rFonts w:hint="eastAsia" w:ascii="Times New Roman" w:eastAsia="宋体"/>
          <w:kern w:val="2"/>
          <w:sz w:val="21"/>
          <w:szCs w:val="21"/>
          <w:highlight w:val="none"/>
          <w:u w:val="none" w:color="auto"/>
          <w:lang w:val="en-US" w:eastAsia="zh-CN"/>
        </w:rPr>
        <w:t>36</w:t>
      </w:r>
      <w:r>
        <w:rPr>
          <w:rFonts w:hint="eastAsia"/>
          <w:kern w:val="2"/>
          <w:sz w:val="21"/>
          <w:szCs w:val="21"/>
          <w:highlight w:val="none"/>
          <w:u w:val="none" w:color="auto"/>
        </w:rPr>
        <w:t>m，</w:t>
      </w:r>
      <w:r>
        <w:rPr>
          <w:rFonts w:hint="eastAsia" w:ascii="Times New Roman" w:eastAsia="宋体"/>
          <w:kern w:val="2"/>
          <w:sz w:val="21"/>
          <w:szCs w:val="21"/>
          <w:highlight w:val="none"/>
          <w:u w:val="none" w:color="auto"/>
          <w:lang w:val="en-US" w:eastAsia="zh-CN"/>
        </w:rPr>
        <w:t>为城市主干道，</w:t>
      </w:r>
      <w:r>
        <w:rPr>
          <w:rFonts w:hint="eastAsia"/>
          <w:kern w:val="2"/>
          <w:sz w:val="21"/>
          <w:szCs w:val="21"/>
          <w:highlight w:val="none"/>
          <w:u w:val="none" w:color="auto"/>
        </w:rPr>
        <w:t>标准段车道规模为主路双向</w:t>
      </w:r>
      <w:r>
        <w:rPr>
          <w:rFonts w:hint="eastAsia" w:ascii="Times New Roman" w:eastAsia="宋体"/>
          <w:kern w:val="2"/>
          <w:sz w:val="21"/>
          <w:szCs w:val="21"/>
          <w:highlight w:val="none"/>
          <w:u w:val="none" w:color="auto"/>
          <w:lang w:val="en-US" w:eastAsia="zh-CN"/>
        </w:rPr>
        <w:t>4</w:t>
      </w:r>
      <w:r>
        <w:rPr>
          <w:rFonts w:hint="eastAsia"/>
          <w:kern w:val="2"/>
          <w:sz w:val="21"/>
          <w:szCs w:val="21"/>
          <w:highlight w:val="none"/>
          <w:u w:val="none" w:color="auto"/>
        </w:rPr>
        <w:t>车道，设计车速</w:t>
      </w:r>
      <w:r>
        <w:rPr>
          <w:rFonts w:hint="eastAsia" w:ascii="Times New Roman" w:eastAsia="宋体"/>
          <w:kern w:val="2"/>
          <w:sz w:val="21"/>
          <w:szCs w:val="21"/>
          <w:highlight w:val="none"/>
          <w:u w:val="none" w:color="auto"/>
          <w:lang w:val="en-US" w:eastAsia="zh-CN"/>
        </w:rPr>
        <w:t>50</w:t>
      </w:r>
      <w:r>
        <w:rPr>
          <w:rFonts w:hint="eastAsia"/>
          <w:kern w:val="2"/>
          <w:sz w:val="21"/>
          <w:szCs w:val="21"/>
          <w:highlight w:val="none"/>
          <w:u w:val="none" w:color="auto"/>
        </w:rPr>
        <w:t>km/h；萍州大桥西匝道双向</w:t>
      </w:r>
      <w:r>
        <w:rPr>
          <w:rFonts w:hint="eastAsia" w:ascii="Times New Roman" w:eastAsia="宋体"/>
          <w:kern w:val="2"/>
          <w:sz w:val="21"/>
          <w:szCs w:val="21"/>
          <w:highlight w:val="none"/>
          <w:u w:val="none" w:color="auto"/>
          <w:lang w:val="en-US" w:eastAsia="zh-CN"/>
        </w:rPr>
        <w:t>2</w:t>
      </w:r>
      <w:r>
        <w:rPr>
          <w:rFonts w:hint="eastAsia"/>
          <w:kern w:val="2"/>
          <w:sz w:val="21"/>
          <w:szCs w:val="21"/>
          <w:highlight w:val="none"/>
          <w:u w:val="none" w:color="auto"/>
        </w:rPr>
        <w:t>车道，</w:t>
      </w:r>
      <w:r>
        <w:rPr>
          <w:rFonts w:hint="eastAsia" w:ascii="Times New Roman" w:eastAsia="宋体"/>
          <w:kern w:val="2"/>
          <w:sz w:val="21"/>
          <w:szCs w:val="21"/>
          <w:highlight w:val="none"/>
          <w:u w:val="none" w:color="auto"/>
          <w:lang w:val="en-US" w:eastAsia="zh-CN"/>
        </w:rPr>
        <w:t>为</w:t>
      </w:r>
      <w:r>
        <w:rPr>
          <w:rFonts w:hint="eastAsia" w:cs="Times New Roman"/>
          <w:kern w:val="2"/>
          <w:sz w:val="21"/>
          <w:szCs w:val="21"/>
          <w:highlight w:val="none"/>
          <w:u w:val="none" w:color="auto"/>
          <w:lang w:eastAsia="zh-CN"/>
        </w:rPr>
        <w:t>城市支路，</w:t>
      </w:r>
      <w:r>
        <w:rPr>
          <w:rFonts w:hint="eastAsia"/>
          <w:kern w:val="2"/>
          <w:sz w:val="21"/>
          <w:szCs w:val="21"/>
          <w:highlight w:val="none"/>
          <w:u w:val="none" w:color="auto"/>
        </w:rPr>
        <w:t>设计速度</w:t>
      </w:r>
      <w:r>
        <w:rPr>
          <w:rFonts w:hint="eastAsia" w:ascii="Times New Roman" w:eastAsia="宋体"/>
          <w:kern w:val="2"/>
          <w:sz w:val="21"/>
          <w:szCs w:val="21"/>
          <w:highlight w:val="none"/>
          <w:u w:val="none" w:color="auto"/>
          <w:lang w:val="en-US" w:eastAsia="zh-CN"/>
        </w:rPr>
        <w:t>20</w:t>
      </w:r>
      <w:r>
        <w:rPr>
          <w:rFonts w:hint="eastAsia"/>
          <w:kern w:val="2"/>
          <w:sz w:val="21"/>
          <w:szCs w:val="21"/>
          <w:highlight w:val="none"/>
          <w:u w:val="none" w:color="auto"/>
        </w:rPr>
        <w:t>km/h</w:t>
      </w:r>
      <w:r>
        <w:rPr>
          <w:rFonts w:hint="default" w:ascii="Times New Roman" w:hAnsi="Times New Roman" w:cs="Times New Roman"/>
          <w:color w:val="auto"/>
          <w:kern w:val="2"/>
          <w:sz w:val="21"/>
          <w:szCs w:val="21"/>
          <w:highlight w:val="none"/>
          <w:u w:val="none" w:color="auto"/>
        </w:rPr>
        <w:t>，全部采用沥青混凝土路面。根据永州市人民政府办公室关于印发《永州市中心城区声环境功能区划分方案》的通知（永政办发</w:t>
      </w:r>
      <w:r>
        <w:rPr>
          <w:rFonts w:hint="eastAsia" w:cs="Times New Roman"/>
          <w:color w:val="auto"/>
          <w:kern w:val="2"/>
          <w:sz w:val="21"/>
          <w:szCs w:val="21"/>
          <w:highlight w:val="none"/>
          <w:u w:val="none" w:color="auto"/>
          <w:lang w:eastAsia="zh-CN"/>
        </w:rPr>
        <w:t>【</w:t>
      </w:r>
      <w:r>
        <w:rPr>
          <w:rFonts w:hint="eastAsia" w:cs="Times New Roman"/>
          <w:color w:val="auto"/>
          <w:kern w:val="2"/>
          <w:sz w:val="21"/>
          <w:szCs w:val="21"/>
          <w:highlight w:val="none"/>
          <w:u w:val="none" w:color="auto"/>
          <w:lang w:val="en-US" w:eastAsia="zh-CN"/>
        </w:rPr>
        <w:t>2020</w:t>
      </w:r>
      <w:r>
        <w:rPr>
          <w:rFonts w:hint="eastAsia" w:cs="Times New Roman"/>
          <w:color w:val="auto"/>
          <w:kern w:val="2"/>
          <w:sz w:val="21"/>
          <w:szCs w:val="21"/>
          <w:highlight w:val="none"/>
          <w:u w:val="none" w:color="auto"/>
          <w:lang w:eastAsia="zh-CN"/>
        </w:rPr>
        <w:t>】</w:t>
      </w:r>
      <w:r>
        <w:rPr>
          <w:rFonts w:hint="eastAsia" w:cs="Times New Roman"/>
          <w:color w:val="auto"/>
          <w:kern w:val="2"/>
          <w:sz w:val="21"/>
          <w:szCs w:val="21"/>
          <w:highlight w:val="none"/>
          <w:u w:val="none" w:color="auto"/>
          <w:lang w:val="en-US" w:eastAsia="zh-CN"/>
        </w:rPr>
        <w:t>25</w:t>
      </w:r>
      <w:r>
        <w:rPr>
          <w:rFonts w:hint="default" w:ascii="Times New Roman" w:hAnsi="Times New Roman" w:cs="Times New Roman"/>
          <w:color w:val="auto"/>
          <w:kern w:val="2"/>
          <w:sz w:val="21"/>
          <w:szCs w:val="21"/>
          <w:highlight w:val="none"/>
          <w:u w:val="none" w:color="auto"/>
        </w:rPr>
        <w:t>号）道路两侧</w:t>
      </w:r>
      <w:r>
        <w:rPr>
          <w:rFonts w:hint="eastAsia" w:cs="Times New Roman"/>
          <w:color w:val="auto"/>
          <w:kern w:val="2"/>
          <w:sz w:val="21"/>
          <w:szCs w:val="21"/>
          <w:highlight w:val="none"/>
          <w:u w:val="none" w:color="auto"/>
          <w:lang w:val="en-US" w:eastAsia="zh-CN"/>
        </w:rPr>
        <w:t>35</w:t>
      </w:r>
      <w:r>
        <w:rPr>
          <w:rFonts w:hint="default" w:ascii="Times New Roman" w:hAnsi="Times New Roman" w:cs="Times New Roman"/>
          <w:color w:val="auto"/>
          <w:kern w:val="2"/>
          <w:sz w:val="21"/>
          <w:szCs w:val="21"/>
          <w:highlight w:val="none"/>
          <w:u w:val="none" w:color="auto"/>
        </w:rPr>
        <w:t>m内的区域中①当临街建筑高于三层楼房以上（含三层）时，将临街建筑面向交通干线一侧至交通干线边界线的区域定为4a类声环境功能区；</w:t>
      </w:r>
      <w:r>
        <w:rPr>
          <w:rFonts w:hint="eastAsia" w:cs="Times New Roman"/>
          <w:color w:val="auto"/>
          <w:kern w:val="2"/>
          <w:sz w:val="21"/>
          <w:szCs w:val="21"/>
          <w:highlight w:val="none"/>
          <w:u w:val="none" w:color="auto"/>
          <w:lang w:val="en-US" w:eastAsia="zh-CN"/>
        </w:rPr>
        <w:t>②</w:t>
      </w:r>
      <w:r>
        <w:rPr>
          <w:rFonts w:hint="default" w:ascii="Times New Roman" w:hAnsi="Times New Roman" w:cs="Times New Roman"/>
          <w:color w:val="auto"/>
          <w:kern w:val="2"/>
          <w:sz w:val="21"/>
          <w:szCs w:val="21"/>
          <w:highlight w:val="none"/>
          <w:u w:val="none" w:color="auto"/>
        </w:rPr>
        <w:t>道路两侧</w:t>
      </w:r>
      <w:r>
        <w:rPr>
          <w:rFonts w:hint="eastAsia" w:cs="Times New Roman"/>
          <w:color w:val="auto"/>
          <w:kern w:val="2"/>
          <w:sz w:val="21"/>
          <w:szCs w:val="21"/>
          <w:highlight w:val="none"/>
          <w:u w:val="none" w:color="auto"/>
          <w:lang w:val="en-US" w:eastAsia="zh-CN"/>
        </w:rPr>
        <w:t>35</w:t>
      </w:r>
      <w:r>
        <w:rPr>
          <w:rFonts w:hint="default" w:ascii="Times New Roman" w:hAnsi="Times New Roman" w:cs="Times New Roman"/>
          <w:color w:val="auto"/>
          <w:kern w:val="2"/>
          <w:sz w:val="21"/>
          <w:szCs w:val="21"/>
          <w:highlight w:val="none"/>
          <w:u w:val="none" w:color="auto"/>
        </w:rPr>
        <w:t>m以外区域执行《声环境质量标准》(GB3096-2008)中的2类标准。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kern w:val="0"/>
          <w:sz w:val="21"/>
          <w:szCs w:val="21"/>
          <w:u w:val="none"/>
          <w:lang w:val="en-US" w:eastAsia="zh-CN" w:bidi="ar"/>
        </w:rPr>
      </w:pPr>
      <w:r>
        <w:rPr>
          <w:rFonts w:hint="eastAsia" w:ascii="Times New Roman" w:hAnsi="Times New Roman" w:eastAsia="宋体" w:cs="Times New Roman"/>
          <w:kern w:val="0"/>
          <w:sz w:val="21"/>
          <w:szCs w:val="21"/>
          <w:u w:val="none"/>
          <w:lang w:val="en-US" w:eastAsia="zh-CN" w:bidi="ar"/>
        </w:rPr>
        <w:t>由下表可知，拟建道路该路段两侧执行不同标准交通噪声达标距离见专项表4-6。</w:t>
      </w:r>
    </w:p>
    <w:p>
      <w:pPr>
        <w:pageBreakBefore w:val="0"/>
        <w:widowControl w:val="0"/>
        <w:kinsoku/>
        <w:wordWrap/>
        <w:overflowPunct/>
        <w:topLinePunct w:val="0"/>
        <w:autoSpaceDE w:val="0"/>
        <w:autoSpaceDN w:val="0"/>
        <w:bidi w:val="0"/>
        <w:adjustRightInd w:val="0"/>
        <w:snapToGrid w:val="0"/>
        <w:spacing w:before="156" w:beforeLines="50" w:line="240" w:lineRule="auto"/>
        <w:ind w:firstLine="480" w:firstLineChars="0"/>
        <w:jc w:val="center"/>
        <w:rPr>
          <w:rFonts w:hint="eastAsia" w:ascii="Times New Roman" w:hAnsi="Times New Roman" w:eastAsia="宋体" w:cs="Times New Roman"/>
          <w:b/>
          <w:color w:val="auto"/>
          <w:kern w:val="21"/>
          <w:sz w:val="21"/>
          <w:szCs w:val="21"/>
          <w:highlight w:val="none"/>
          <w:u w:val="none" w:color="auto"/>
          <w:lang w:val="en-US" w:eastAsia="zh-CN" w:bidi="ar-SA"/>
        </w:rPr>
      </w:pPr>
    </w:p>
    <w:p>
      <w:pPr>
        <w:pageBreakBefore w:val="0"/>
        <w:widowControl w:val="0"/>
        <w:kinsoku/>
        <w:wordWrap/>
        <w:overflowPunct/>
        <w:topLinePunct w:val="0"/>
        <w:autoSpaceDE w:val="0"/>
        <w:autoSpaceDN w:val="0"/>
        <w:bidi w:val="0"/>
        <w:adjustRightInd w:val="0"/>
        <w:snapToGrid w:val="0"/>
        <w:spacing w:before="156" w:beforeLines="50" w:line="240" w:lineRule="auto"/>
        <w:ind w:firstLine="480" w:firstLineChars="0"/>
        <w:jc w:val="center"/>
        <w:rPr>
          <w:rFonts w:hint="eastAsia" w:ascii="Times New Roman" w:hAnsi="Times New Roman" w:eastAsia="宋体" w:cs="Times New Roman"/>
          <w:b/>
          <w:color w:val="auto"/>
          <w:kern w:val="21"/>
          <w:sz w:val="21"/>
          <w:szCs w:val="21"/>
          <w:highlight w:val="none"/>
          <w:u w:val="none" w:color="auto"/>
          <w:lang w:val="en-US" w:eastAsia="zh-CN" w:bidi="ar-SA"/>
        </w:rPr>
      </w:pPr>
    </w:p>
    <w:p>
      <w:pPr>
        <w:pageBreakBefore w:val="0"/>
        <w:widowControl w:val="0"/>
        <w:kinsoku/>
        <w:wordWrap/>
        <w:overflowPunct/>
        <w:topLinePunct w:val="0"/>
        <w:autoSpaceDE w:val="0"/>
        <w:autoSpaceDN w:val="0"/>
        <w:bidi w:val="0"/>
        <w:adjustRightInd w:val="0"/>
        <w:snapToGrid w:val="0"/>
        <w:spacing w:before="156" w:beforeLines="50" w:line="240" w:lineRule="auto"/>
        <w:ind w:firstLine="480" w:firstLineChars="0"/>
        <w:jc w:val="center"/>
        <w:rPr>
          <w:rFonts w:hint="eastAsia" w:ascii="Times New Roman" w:hAnsi="Times New Roman" w:eastAsia="宋体" w:cs="Times New Roman"/>
          <w:b/>
          <w:color w:val="auto"/>
          <w:kern w:val="21"/>
          <w:sz w:val="21"/>
          <w:szCs w:val="21"/>
          <w:highlight w:val="none"/>
          <w:u w:val="none" w:color="auto"/>
          <w:lang w:val="en-US" w:eastAsia="zh-CN" w:bidi="ar-SA"/>
        </w:rPr>
      </w:pPr>
    </w:p>
    <w:p>
      <w:pPr>
        <w:pageBreakBefore w:val="0"/>
        <w:widowControl w:val="0"/>
        <w:kinsoku/>
        <w:wordWrap/>
        <w:overflowPunct/>
        <w:topLinePunct w:val="0"/>
        <w:autoSpaceDE w:val="0"/>
        <w:autoSpaceDN w:val="0"/>
        <w:bidi w:val="0"/>
        <w:adjustRightInd w:val="0"/>
        <w:snapToGrid w:val="0"/>
        <w:spacing w:before="156" w:beforeLines="50" w:line="240" w:lineRule="auto"/>
        <w:ind w:firstLine="480" w:firstLineChars="0"/>
        <w:jc w:val="center"/>
        <w:rPr>
          <w:rFonts w:hint="default" w:ascii="Times New Roman" w:hAnsi="Times New Roman" w:eastAsia="宋体" w:cs="Times New Roman"/>
          <w:b/>
          <w:color w:val="auto"/>
          <w:kern w:val="21"/>
          <w:sz w:val="21"/>
          <w:szCs w:val="21"/>
          <w:highlight w:val="none"/>
          <w:u w:val="single" w:color="auto"/>
          <w:lang w:val="en-US" w:eastAsia="zh-CN" w:bidi="ar-SA"/>
        </w:rPr>
      </w:pPr>
      <w:r>
        <w:rPr>
          <w:rFonts w:hint="eastAsia" w:ascii="Times New Roman" w:hAnsi="Times New Roman" w:eastAsia="宋体" w:cs="Times New Roman"/>
          <w:b/>
          <w:color w:val="auto"/>
          <w:kern w:val="21"/>
          <w:sz w:val="21"/>
          <w:szCs w:val="21"/>
          <w:highlight w:val="none"/>
          <w:u w:val="single" w:color="auto"/>
          <w:lang w:val="en-US" w:eastAsia="zh-CN" w:bidi="ar-SA"/>
        </w:rPr>
        <w:t>表4-6</w:t>
      </w:r>
      <w:r>
        <w:rPr>
          <w:rFonts w:hint="default" w:ascii="Times New Roman" w:hAnsi="Times New Roman" w:eastAsia="宋体" w:cs="Times New Roman"/>
          <w:b/>
          <w:color w:val="auto"/>
          <w:kern w:val="21"/>
          <w:sz w:val="21"/>
          <w:szCs w:val="21"/>
          <w:highlight w:val="none"/>
          <w:u w:val="single" w:color="auto"/>
          <w:lang w:val="en-US" w:eastAsia="zh-CN" w:bidi="ar-SA"/>
        </w:rPr>
        <w:t xml:space="preserve"> 预测达标距离（距道路边界）一览表</w:t>
      </w:r>
      <w:r>
        <w:rPr>
          <w:rFonts w:hint="eastAsia" w:cs="Times New Roman"/>
          <w:b/>
          <w:color w:val="auto"/>
          <w:kern w:val="21"/>
          <w:sz w:val="21"/>
          <w:szCs w:val="21"/>
          <w:highlight w:val="none"/>
          <w:u w:val="single" w:color="auto"/>
          <w:lang w:val="en-US" w:eastAsia="zh-CN" w:bidi="ar-SA"/>
        </w:rPr>
        <w:t xml:space="preserve"> </w:t>
      </w:r>
      <w:r>
        <w:rPr>
          <w:rFonts w:hint="default" w:ascii="Times New Roman" w:hAnsi="Times New Roman" w:eastAsia="宋体" w:cs="Times New Roman"/>
          <w:b/>
          <w:color w:val="auto"/>
          <w:kern w:val="21"/>
          <w:sz w:val="21"/>
          <w:szCs w:val="21"/>
          <w:highlight w:val="none"/>
          <w:u w:val="single" w:color="auto"/>
          <w:lang w:val="en-US" w:eastAsia="zh-CN" w:bidi="ar-SA"/>
        </w:rPr>
        <w:t>单位：m</w:t>
      </w:r>
    </w:p>
    <w:tbl>
      <w:tblPr>
        <w:tblStyle w:val="4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1405"/>
        <w:gridCol w:w="856"/>
        <w:gridCol w:w="856"/>
        <w:gridCol w:w="856"/>
        <w:gridCol w:w="856"/>
        <w:gridCol w:w="856"/>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393" w:type="dxa"/>
            <w:gridSpan w:val="2"/>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项目</w:t>
            </w:r>
          </w:p>
        </w:tc>
        <w:tc>
          <w:tcPr>
            <w:tcW w:w="1712"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近期</w:t>
            </w:r>
          </w:p>
        </w:tc>
        <w:tc>
          <w:tcPr>
            <w:tcW w:w="1712"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中期</w:t>
            </w:r>
          </w:p>
        </w:tc>
        <w:tc>
          <w:tcPr>
            <w:tcW w:w="1705"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393" w:type="dxa"/>
            <w:gridSpan w:val="2"/>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昼间</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夜间</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昼间</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夜间</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昼间</w:t>
            </w:r>
          </w:p>
        </w:tc>
        <w:tc>
          <w:tcPr>
            <w:tcW w:w="8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988"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萍阳北路延伸段</w:t>
            </w:r>
          </w:p>
        </w:tc>
        <w:tc>
          <w:tcPr>
            <w:tcW w:w="140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4a类标准</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1988"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p>
        </w:tc>
        <w:tc>
          <w:tcPr>
            <w:tcW w:w="140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2类标准</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30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10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50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20</w:t>
            </w:r>
          </w:p>
        </w:tc>
        <w:tc>
          <w:tcPr>
            <w:tcW w:w="8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cs="Times New Roman"/>
                <w:color w:val="auto"/>
                <w:kern w:val="2"/>
                <w:sz w:val="21"/>
                <w:szCs w:val="21"/>
                <w:highlight w:val="none"/>
                <w:u w:val="single" w:color="auto"/>
                <w:lang w:val="en-US" w:eastAsia="zh-CN" w:bidi="ar-SA"/>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1988"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萍州大桥西匝道</w:t>
            </w:r>
          </w:p>
        </w:tc>
        <w:tc>
          <w:tcPr>
            <w:tcW w:w="1405"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4a类标准</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1988"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1405"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2类标准</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5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c>
          <w:tcPr>
            <w:tcW w:w="84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eastAsia" w:ascii="Times New Roman" w:hAnsi="Times New Roman" w:eastAsia="宋体" w:cs="Times New Roman"/>
                <w:color w:val="auto"/>
                <w:kern w:val="2"/>
                <w:sz w:val="21"/>
                <w:szCs w:val="21"/>
                <w:highlight w:val="none"/>
                <w:u w:val="single" w:color="auto"/>
                <w:lang w:val="en-US" w:eastAsia="zh-CN" w:bidi="ar-SA"/>
              </w:rPr>
              <w:t>0</w:t>
            </w:r>
          </w:p>
        </w:tc>
      </w:tr>
    </w:tbl>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根据上表，可得出以下结论：</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在未考虑任何建筑物遮挡、未叠加背景噪声的情况下：</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4a类标准：</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eastAsia" w:cs="Times New Roman"/>
          <w:color w:val="auto"/>
          <w:kern w:val="2"/>
          <w:sz w:val="21"/>
          <w:szCs w:val="21"/>
          <w:highlight w:val="none"/>
          <w:u w:val="none" w:color="auto"/>
          <w:lang w:val="en-US" w:eastAsia="zh-CN"/>
        </w:rPr>
        <w:t>①</w:t>
      </w:r>
      <w:r>
        <w:rPr>
          <w:rFonts w:hint="default"/>
          <w:kern w:val="2"/>
          <w:sz w:val="21"/>
          <w:szCs w:val="21"/>
          <w:highlight w:val="none"/>
          <w:u w:val="none" w:color="auto"/>
          <w:lang w:val="en-US"/>
        </w:rPr>
        <w:t>萍阳北路延伸段</w:t>
      </w:r>
      <w:r>
        <w:rPr>
          <w:rFonts w:hint="eastAsia" w:ascii="Times New Roman" w:eastAsia="宋体"/>
          <w:kern w:val="2"/>
          <w:sz w:val="21"/>
          <w:szCs w:val="21"/>
          <w:highlight w:val="none"/>
          <w:u w:val="none" w:color="auto"/>
          <w:lang w:val="en-US" w:eastAsia="zh-CN"/>
        </w:rPr>
        <w:t>：</w:t>
      </w:r>
      <w:r>
        <w:rPr>
          <w:rFonts w:hint="default" w:ascii="Times New Roman" w:hAnsi="Times New Roman" w:cs="Times New Roman"/>
          <w:color w:val="auto"/>
          <w:kern w:val="2"/>
          <w:sz w:val="21"/>
          <w:szCs w:val="21"/>
          <w:highlight w:val="none"/>
          <w:u w:val="none" w:color="auto"/>
        </w:rPr>
        <w:t>202</w:t>
      </w:r>
      <w:r>
        <w:rPr>
          <w:rFonts w:hint="eastAsia" w:cs="Times New Roman"/>
          <w:color w:val="auto"/>
          <w:kern w:val="2"/>
          <w:sz w:val="21"/>
          <w:szCs w:val="21"/>
          <w:highlight w:val="none"/>
          <w:u w:val="none" w:color="auto"/>
          <w:lang w:val="en-US" w:eastAsia="zh-CN"/>
        </w:rPr>
        <w:t>7</w:t>
      </w:r>
      <w:r>
        <w:rPr>
          <w:rFonts w:hint="default" w:ascii="Times New Roman" w:hAnsi="Times New Roman" w:cs="Times New Roman"/>
          <w:color w:val="auto"/>
          <w:kern w:val="2"/>
          <w:sz w:val="21"/>
          <w:szCs w:val="21"/>
          <w:highlight w:val="none"/>
          <w:u w:val="none" w:color="auto"/>
        </w:rPr>
        <w:t>年、203</w:t>
      </w:r>
      <w:r>
        <w:rPr>
          <w:rFonts w:hint="eastAsia" w:cs="Times New Roman"/>
          <w:color w:val="auto"/>
          <w:kern w:val="2"/>
          <w:sz w:val="21"/>
          <w:szCs w:val="21"/>
          <w:highlight w:val="none"/>
          <w:u w:val="none" w:color="auto"/>
          <w:lang w:val="en-US" w:eastAsia="zh-CN"/>
        </w:rPr>
        <w:t>3</w:t>
      </w:r>
      <w:r>
        <w:rPr>
          <w:rFonts w:hint="default" w:ascii="Times New Roman" w:hAnsi="Times New Roman" w:cs="Times New Roman"/>
          <w:color w:val="auto"/>
          <w:kern w:val="2"/>
          <w:sz w:val="21"/>
          <w:szCs w:val="21"/>
          <w:highlight w:val="none"/>
          <w:u w:val="none" w:color="auto"/>
        </w:rPr>
        <w:t>年、20</w:t>
      </w:r>
      <w:r>
        <w:rPr>
          <w:rFonts w:hint="default" w:ascii="Times New Roman" w:hAnsi="Times New Roman" w:cs="Times New Roman"/>
          <w:color w:val="auto"/>
          <w:kern w:val="2"/>
          <w:sz w:val="21"/>
          <w:szCs w:val="21"/>
          <w:highlight w:val="none"/>
          <w:u w:val="none" w:color="auto"/>
          <w:lang w:val="en-US" w:eastAsia="zh-CN"/>
        </w:rPr>
        <w:t>4</w:t>
      </w:r>
      <w:r>
        <w:rPr>
          <w:rFonts w:hint="eastAsia" w:cs="Times New Roman"/>
          <w:color w:val="auto"/>
          <w:kern w:val="2"/>
          <w:sz w:val="21"/>
          <w:szCs w:val="21"/>
          <w:highlight w:val="none"/>
          <w:u w:val="none" w:color="auto"/>
          <w:lang w:val="en-US" w:eastAsia="zh-CN"/>
        </w:rPr>
        <w:t>1</w:t>
      </w:r>
      <w:r>
        <w:rPr>
          <w:rFonts w:hint="default" w:ascii="Times New Roman" w:hAnsi="Times New Roman" w:cs="Times New Roman"/>
          <w:color w:val="auto"/>
          <w:kern w:val="2"/>
          <w:sz w:val="21"/>
          <w:szCs w:val="21"/>
          <w:highlight w:val="none"/>
          <w:u w:val="none" w:color="auto"/>
        </w:rPr>
        <w:t>年的昼间噪声贡献值分别可在距离道路边界线0m、0m、0m以内达到《声环境质量标准》</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GB3096-2008）4a类标准（昼间70dB(A)）的要求</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夜间噪声贡献值分别可在距离道路边界线0m、</w:t>
      </w:r>
      <w:r>
        <w:rPr>
          <w:rFonts w:hint="eastAsia" w:cs="Times New Roman"/>
          <w:color w:val="auto"/>
          <w:kern w:val="2"/>
          <w:sz w:val="21"/>
          <w:szCs w:val="21"/>
          <w:highlight w:val="none"/>
          <w:u w:val="none" w:color="auto"/>
          <w:lang w:val="en-US" w:eastAsia="zh-CN"/>
        </w:rPr>
        <w:t>0</w:t>
      </w:r>
      <w:r>
        <w:rPr>
          <w:rFonts w:hint="default" w:ascii="Times New Roman" w:hAnsi="Times New Roman" w:cs="Times New Roman"/>
          <w:color w:val="auto"/>
          <w:kern w:val="2"/>
          <w:sz w:val="21"/>
          <w:szCs w:val="21"/>
          <w:highlight w:val="none"/>
          <w:u w:val="none" w:color="auto"/>
        </w:rPr>
        <w:t>m、</w:t>
      </w:r>
      <w:r>
        <w:rPr>
          <w:rFonts w:hint="eastAsia" w:cs="Times New Roman"/>
          <w:color w:val="auto"/>
          <w:kern w:val="2"/>
          <w:sz w:val="21"/>
          <w:szCs w:val="21"/>
          <w:highlight w:val="none"/>
          <w:u w:val="none" w:color="auto"/>
          <w:lang w:val="en-US" w:eastAsia="zh-CN"/>
        </w:rPr>
        <w:t>10</w:t>
      </w:r>
      <w:r>
        <w:rPr>
          <w:rFonts w:hint="default" w:ascii="Times New Roman" w:hAnsi="Times New Roman" w:cs="Times New Roman"/>
          <w:color w:val="auto"/>
          <w:kern w:val="2"/>
          <w:sz w:val="21"/>
          <w:szCs w:val="21"/>
          <w:highlight w:val="none"/>
          <w:u w:val="none" w:color="auto"/>
        </w:rPr>
        <w:t>m以内达到《声环境质量标准》</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GB3096-2008）4a类标准（夜间55dB(A)）的要求。</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eastAsia" w:cs="Times New Roman"/>
          <w:color w:val="auto"/>
          <w:kern w:val="2"/>
          <w:sz w:val="21"/>
          <w:szCs w:val="21"/>
          <w:highlight w:val="none"/>
          <w:u w:val="none" w:color="auto"/>
          <w:lang w:val="en-US" w:eastAsia="zh-CN"/>
        </w:rPr>
        <w:t>②</w:t>
      </w:r>
      <w:r>
        <w:rPr>
          <w:rFonts w:hint="default"/>
          <w:kern w:val="2"/>
          <w:sz w:val="21"/>
          <w:szCs w:val="21"/>
          <w:highlight w:val="none"/>
          <w:u w:val="none" w:color="auto"/>
          <w:lang w:val="en-US"/>
        </w:rPr>
        <w:t>萍州大桥西匝道</w:t>
      </w:r>
      <w:r>
        <w:rPr>
          <w:rFonts w:hint="eastAsia" w:ascii="Times New Roman" w:eastAsia="宋体"/>
          <w:kern w:val="2"/>
          <w:sz w:val="21"/>
          <w:szCs w:val="21"/>
          <w:highlight w:val="none"/>
          <w:u w:val="none" w:color="auto"/>
          <w:lang w:val="en-US" w:eastAsia="zh-CN"/>
        </w:rPr>
        <w:t>：</w:t>
      </w:r>
      <w:r>
        <w:rPr>
          <w:rFonts w:hint="default" w:ascii="Times New Roman" w:hAnsi="Times New Roman" w:cs="Times New Roman"/>
          <w:color w:val="auto"/>
          <w:kern w:val="2"/>
          <w:sz w:val="21"/>
          <w:szCs w:val="21"/>
          <w:highlight w:val="none"/>
          <w:u w:val="none" w:color="auto"/>
        </w:rPr>
        <w:t>202</w:t>
      </w:r>
      <w:r>
        <w:rPr>
          <w:rFonts w:hint="eastAsia" w:cs="Times New Roman"/>
          <w:color w:val="auto"/>
          <w:kern w:val="2"/>
          <w:sz w:val="21"/>
          <w:szCs w:val="21"/>
          <w:highlight w:val="none"/>
          <w:u w:val="none" w:color="auto"/>
          <w:lang w:val="en-US" w:eastAsia="zh-CN"/>
        </w:rPr>
        <w:t>7</w:t>
      </w:r>
      <w:r>
        <w:rPr>
          <w:rFonts w:hint="default" w:ascii="Times New Roman" w:hAnsi="Times New Roman" w:cs="Times New Roman"/>
          <w:color w:val="auto"/>
          <w:kern w:val="2"/>
          <w:sz w:val="21"/>
          <w:szCs w:val="21"/>
          <w:highlight w:val="none"/>
          <w:u w:val="none" w:color="auto"/>
        </w:rPr>
        <w:t>年、203</w:t>
      </w:r>
      <w:r>
        <w:rPr>
          <w:rFonts w:hint="eastAsia" w:cs="Times New Roman"/>
          <w:color w:val="auto"/>
          <w:kern w:val="2"/>
          <w:sz w:val="21"/>
          <w:szCs w:val="21"/>
          <w:highlight w:val="none"/>
          <w:u w:val="none" w:color="auto"/>
          <w:lang w:val="en-US" w:eastAsia="zh-CN"/>
        </w:rPr>
        <w:t>3</w:t>
      </w:r>
      <w:r>
        <w:rPr>
          <w:rFonts w:hint="default" w:ascii="Times New Roman" w:hAnsi="Times New Roman" w:cs="Times New Roman"/>
          <w:color w:val="auto"/>
          <w:kern w:val="2"/>
          <w:sz w:val="21"/>
          <w:szCs w:val="21"/>
          <w:highlight w:val="none"/>
          <w:u w:val="none" w:color="auto"/>
        </w:rPr>
        <w:t>年、20</w:t>
      </w:r>
      <w:r>
        <w:rPr>
          <w:rFonts w:hint="default" w:ascii="Times New Roman" w:hAnsi="Times New Roman" w:cs="Times New Roman"/>
          <w:color w:val="auto"/>
          <w:kern w:val="2"/>
          <w:sz w:val="21"/>
          <w:szCs w:val="21"/>
          <w:highlight w:val="none"/>
          <w:u w:val="none" w:color="auto"/>
          <w:lang w:val="en-US" w:eastAsia="zh-CN"/>
        </w:rPr>
        <w:t>4</w:t>
      </w:r>
      <w:r>
        <w:rPr>
          <w:rFonts w:hint="eastAsia" w:cs="Times New Roman"/>
          <w:color w:val="auto"/>
          <w:kern w:val="2"/>
          <w:sz w:val="21"/>
          <w:szCs w:val="21"/>
          <w:highlight w:val="none"/>
          <w:u w:val="none" w:color="auto"/>
          <w:lang w:val="en-US" w:eastAsia="zh-CN"/>
        </w:rPr>
        <w:t>1</w:t>
      </w:r>
      <w:r>
        <w:rPr>
          <w:rFonts w:hint="default" w:ascii="Times New Roman" w:hAnsi="Times New Roman" w:cs="Times New Roman"/>
          <w:color w:val="auto"/>
          <w:kern w:val="2"/>
          <w:sz w:val="21"/>
          <w:szCs w:val="21"/>
          <w:highlight w:val="none"/>
          <w:u w:val="none" w:color="auto"/>
        </w:rPr>
        <w:t>年的昼间噪声贡献值分别可在距离道路边界线0m、0m、0m以内达到《声环境质量标准》</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GB3096-2008）4a类标准（昼间70dB(A)）的要求</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夜间噪声贡献值分别可在距离道路边界线0m、</w:t>
      </w:r>
      <w:r>
        <w:rPr>
          <w:rFonts w:hint="eastAsia" w:cs="Times New Roman"/>
          <w:color w:val="auto"/>
          <w:kern w:val="2"/>
          <w:sz w:val="21"/>
          <w:szCs w:val="21"/>
          <w:highlight w:val="none"/>
          <w:u w:val="none" w:color="auto"/>
          <w:lang w:val="en-US" w:eastAsia="zh-CN"/>
        </w:rPr>
        <w:t>0</w:t>
      </w:r>
      <w:r>
        <w:rPr>
          <w:rFonts w:hint="default" w:ascii="Times New Roman" w:hAnsi="Times New Roman" w:cs="Times New Roman"/>
          <w:color w:val="auto"/>
          <w:kern w:val="2"/>
          <w:sz w:val="21"/>
          <w:szCs w:val="21"/>
          <w:highlight w:val="none"/>
          <w:u w:val="none" w:color="auto"/>
        </w:rPr>
        <w:t>m、</w:t>
      </w:r>
      <w:r>
        <w:rPr>
          <w:rFonts w:hint="eastAsia" w:cs="Times New Roman"/>
          <w:color w:val="auto"/>
          <w:kern w:val="2"/>
          <w:sz w:val="21"/>
          <w:szCs w:val="21"/>
          <w:highlight w:val="none"/>
          <w:u w:val="none" w:color="auto"/>
          <w:lang w:val="en-US" w:eastAsia="zh-CN"/>
        </w:rPr>
        <w:t>0</w:t>
      </w:r>
      <w:r>
        <w:rPr>
          <w:rFonts w:hint="default" w:ascii="Times New Roman" w:hAnsi="Times New Roman" w:cs="Times New Roman"/>
          <w:color w:val="auto"/>
          <w:kern w:val="2"/>
          <w:sz w:val="21"/>
          <w:szCs w:val="21"/>
          <w:highlight w:val="none"/>
          <w:u w:val="none" w:color="auto"/>
        </w:rPr>
        <w:t>m以内达到《声环境质量标准》</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GB3096-2008）4a类标准（夜间55dB(A)）的要求。</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none" w:color="auto"/>
          <w:lang w:val="en-US" w:eastAsia="zh-CN" w:bidi="ar"/>
        </w:rPr>
      </w:pPr>
      <w:r>
        <w:rPr>
          <w:rFonts w:hint="default" w:ascii="Times New Roman" w:hAnsi="Times New Roman" w:eastAsia="宋体" w:cs="Times New Roman"/>
          <w:color w:val="auto"/>
          <w:kern w:val="0"/>
          <w:sz w:val="21"/>
          <w:szCs w:val="21"/>
          <w:highlight w:val="none"/>
          <w:u w:val="none" w:color="auto"/>
          <w:lang w:val="en-US" w:eastAsia="zh-CN" w:bidi="ar"/>
        </w:rPr>
        <w:t>2类标准：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none" w:color="auto"/>
          <w:lang w:val="en-US" w:eastAsia="zh-CN" w:bidi="ar"/>
        </w:rPr>
      </w:pPr>
      <w:r>
        <w:rPr>
          <w:rFonts w:hint="eastAsia" w:ascii="Times New Roman" w:hAnsi="Times New Roman" w:eastAsia="宋体" w:cs="Times New Roman"/>
          <w:color w:val="auto"/>
          <w:kern w:val="0"/>
          <w:sz w:val="21"/>
          <w:szCs w:val="21"/>
          <w:highlight w:val="none"/>
          <w:u w:val="none" w:color="auto"/>
          <w:lang w:val="en-US" w:eastAsia="zh-CN" w:bidi="ar"/>
        </w:rPr>
        <w:t>①</w:t>
      </w:r>
      <w:r>
        <w:rPr>
          <w:rFonts w:hint="default" w:ascii="Times New Roman" w:hAnsi="Times New Roman" w:eastAsia="宋体" w:cs="Times New Roman"/>
          <w:kern w:val="0"/>
          <w:sz w:val="21"/>
          <w:szCs w:val="21"/>
          <w:highlight w:val="none"/>
          <w:u w:val="none" w:color="auto"/>
          <w:lang w:val="en-US" w:eastAsia="zh-CN" w:bidi="ar"/>
        </w:rPr>
        <w:t>萍阳北路延伸段</w:t>
      </w:r>
      <w:r>
        <w:rPr>
          <w:rFonts w:hint="eastAsia" w:ascii="Times New Roman" w:hAnsi="Times New Roman" w:eastAsia="宋体" w:cs="Times New Roman"/>
          <w:kern w:val="0"/>
          <w:sz w:val="21"/>
          <w:szCs w:val="21"/>
          <w:highlight w:val="none"/>
          <w:u w:val="none" w:color="auto"/>
          <w:lang w:val="en-US" w:eastAsia="zh-CN" w:bidi="ar"/>
        </w:rPr>
        <w:t>：</w:t>
      </w:r>
      <w:r>
        <w:rPr>
          <w:rFonts w:hint="default" w:ascii="Times New Roman" w:hAnsi="Times New Roman" w:cs="Times New Roman"/>
          <w:color w:val="auto"/>
          <w:kern w:val="2"/>
          <w:sz w:val="21"/>
          <w:szCs w:val="21"/>
          <w:highlight w:val="none"/>
          <w:u w:val="none" w:color="auto"/>
        </w:rPr>
        <w:t>202</w:t>
      </w:r>
      <w:r>
        <w:rPr>
          <w:rFonts w:hint="eastAsia" w:cs="Times New Roman"/>
          <w:color w:val="auto"/>
          <w:kern w:val="2"/>
          <w:sz w:val="21"/>
          <w:szCs w:val="21"/>
          <w:highlight w:val="none"/>
          <w:u w:val="none" w:color="auto"/>
          <w:lang w:val="en-US" w:eastAsia="zh-CN"/>
        </w:rPr>
        <w:t>7</w:t>
      </w:r>
      <w:r>
        <w:rPr>
          <w:rFonts w:hint="default" w:ascii="Times New Roman" w:hAnsi="Times New Roman" w:cs="Times New Roman"/>
          <w:color w:val="auto"/>
          <w:kern w:val="2"/>
          <w:sz w:val="21"/>
          <w:szCs w:val="21"/>
          <w:highlight w:val="none"/>
          <w:u w:val="none" w:color="auto"/>
        </w:rPr>
        <w:t>年、203</w:t>
      </w:r>
      <w:r>
        <w:rPr>
          <w:rFonts w:hint="eastAsia" w:cs="Times New Roman"/>
          <w:color w:val="auto"/>
          <w:kern w:val="2"/>
          <w:sz w:val="21"/>
          <w:szCs w:val="21"/>
          <w:highlight w:val="none"/>
          <w:u w:val="none" w:color="auto"/>
          <w:lang w:val="en-US" w:eastAsia="zh-CN"/>
        </w:rPr>
        <w:t>3</w:t>
      </w:r>
      <w:r>
        <w:rPr>
          <w:rFonts w:hint="default" w:ascii="Times New Roman" w:hAnsi="Times New Roman" w:cs="Times New Roman"/>
          <w:color w:val="auto"/>
          <w:kern w:val="2"/>
          <w:sz w:val="21"/>
          <w:szCs w:val="21"/>
          <w:highlight w:val="none"/>
          <w:u w:val="none" w:color="auto"/>
        </w:rPr>
        <w:t>年、20</w:t>
      </w:r>
      <w:r>
        <w:rPr>
          <w:rFonts w:hint="default" w:ascii="Times New Roman" w:hAnsi="Times New Roman" w:cs="Times New Roman"/>
          <w:color w:val="auto"/>
          <w:kern w:val="2"/>
          <w:sz w:val="21"/>
          <w:szCs w:val="21"/>
          <w:highlight w:val="none"/>
          <w:u w:val="none" w:color="auto"/>
          <w:lang w:val="en-US" w:eastAsia="zh-CN"/>
        </w:rPr>
        <w:t>4</w:t>
      </w:r>
      <w:r>
        <w:rPr>
          <w:rFonts w:hint="eastAsia" w:cs="Times New Roman"/>
          <w:color w:val="auto"/>
          <w:kern w:val="2"/>
          <w:sz w:val="21"/>
          <w:szCs w:val="21"/>
          <w:highlight w:val="none"/>
          <w:u w:val="none" w:color="auto"/>
          <w:lang w:val="en-US" w:eastAsia="zh-CN"/>
        </w:rPr>
        <w:t>1</w:t>
      </w:r>
      <w:r>
        <w:rPr>
          <w:rFonts w:hint="default" w:ascii="Times New Roman" w:hAnsi="Times New Roman" w:cs="Times New Roman"/>
          <w:color w:val="auto"/>
          <w:kern w:val="2"/>
          <w:sz w:val="21"/>
          <w:szCs w:val="21"/>
          <w:highlight w:val="none"/>
          <w:u w:val="none" w:color="auto"/>
        </w:rPr>
        <w:t>年</w:t>
      </w:r>
      <w:r>
        <w:rPr>
          <w:rFonts w:hint="default" w:ascii="Times New Roman" w:hAnsi="Times New Roman" w:eastAsia="宋体" w:cs="Times New Roman"/>
          <w:color w:val="auto"/>
          <w:kern w:val="0"/>
          <w:sz w:val="21"/>
          <w:szCs w:val="21"/>
          <w:highlight w:val="none"/>
          <w:u w:val="none" w:color="auto"/>
          <w:lang w:val="en-US" w:eastAsia="zh-CN" w:bidi="ar"/>
        </w:rPr>
        <w:t>的昼间噪声贡献值分别在距离道路边界线约</w:t>
      </w:r>
      <w:r>
        <w:rPr>
          <w:rFonts w:hint="eastAsia" w:ascii="Times New Roman" w:hAnsi="Times New Roman" w:eastAsia="宋体" w:cs="Times New Roman"/>
          <w:color w:val="auto"/>
          <w:kern w:val="0"/>
          <w:sz w:val="21"/>
          <w:szCs w:val="21"/>
          <w:highlight w:val="none"/>
          <w:u w:val="none" w:color="auto"/>
          <w:lang w:val="en-US" w:eastAsia="zh-CN" w:bidi="ar"/>
        </w:rPr>
        <w:t>0</w:t>
      </w:r>
      <w:r>
        <w:rPr>
          <w:rFonts w:hint="default" w:ascii="Times New Roman" w:hAnsi="Times New Roman" w:eastAsia="宋体" w:cs="Times New Roman"/>
          <w:color w:val="auto"/>
          <w:kern w:val="0"/>
          <w:sz w:val="21"/>
          <w:szCs w:val="21"/>
          <w:highlight w:val="none"/>
          <w:u w:val="none" w:color="auto"/>
          <w:lang w:val="en-US" w:eastAsia="zh-CN" w:bidi="ar"/>
        </w:rPr>
        <w:t>m、</w:t>
      </w:r>
      <w:r>
        <w:rPr>
          <w:rFonts w:hint="eastAsia" w:cs="Times New Roman"/>
          <w:color w:val="auto"/>
          <w:kern w:val="0"/>
          <w:sz w:val="21"/>
          <w:szCs w:val="21"/>
          <w:highlight w:val="none"/>
          <w:u w:val="none" w:color="auto"/>
          <w:lang w:val="en-US" w:eastAsia="zh-CN" w:bidi="ar"/>
        </w:rPr>
        <w:t>1</w:t>
      </w:r>
      <w:r>
        <w:rPr>
          <w:rFonts w:hint="eastAsia" w:ascii="Times New Roman" w:hAnsi="Times New Roman" w:eastAsia="宋体" w:cs="Times New Roman"/>
          <w:color w:val="auto"/>
          <w:kern w:val="0"/>
          <w:sz w:val="21"/>
          <w:szCs w:val="21"/>
          <w:highlight w:val="none"/>
          <w:u w:val="none" w:color="auto"/>
          <w:lang w:val="en-US" w:eastAsia="zh-CN" w:bidi="ar"/>
        </w:rPr>
        <w:t>0</w:t>
      </w:r>
      <w:r>
        <w:rPr>
          <w:rFonts w:hint="default" w:ascii="Times New Roman" w:hAnsi="Times New Roman" w:eastAsia="宋体" w:cs="Times New Roman"/>
          <w:color w:val="auto"/>
          <w:kern w:val="0"/>
          <w:sz w:val="21"/>
          <w:szCs w:val="21"/>
          <w:highlight w:val="none"/>
          <w:u w:val="none" w:color="auto"/>
          <w:lang w:val="en-US" w:eastAsia="zh-CN" w:bidi="ar"/>
        </w:rPr>
        <w:t>m、</w:t>
      </w:r>
      <w:r>
        <w:rPr>
          <w:rFonts w:hint="eastAsia" w:cs="Times New Roman"/>
          <w:color w:val="auto"/>
          <w:kern w:val="0"/>
          <w:sz w:val="21"/>
          <w:szCs w:val="21"/>
          <w:highlight w:val="none"/>
          <w:u w:val="none" w:color="auto"/>
          <w:lang w:val="en-US" w:eastAsia="zh-CN" w:bidi="ar"/>
        </w:rPr>
        <w:t>2</w:t>
      </w:r>
      <w:r>
        <w:rPr>
          <w:rFonts w:hint="eastAsia" w:ascii="Times New Roman" w:hAnsi="Times New Roman" w:eastAsia="宋体" w:cs="Times New Roman"/>
          <w:color w:val="auto"/>
          <w:kern w:val="0"/>
          <w:sz w:val="21"/>
          <w:szCs w:val="21"/>
          <w:highlight w:val="none"/>
          <w:u w:val="none" w:color="auto"/>
          <w:lang w:val="en-US" w:eastAsia="zh-CN" w:bidi="ar"/>
        </w:rPr>
        <w:t>0</w:t>
      </w:r>
      <w:r>
        <w:rPr>
          <w:rFonts w:hint="default" w:ascii="Times New Roman" w:hAnsi="Times New Roman" w:eastAsia="宋体" w:cs="Times New Roman"/>
          <w:color w:val="auto"/>
          <w:kern w:val="0"/>
          <w:sz w:val="21"/>
          <w:szCs w:val="21"/>
          <w:highlight w:val="none"/>
          <w:u w:val="none" w:color="auto"/>
          <w:lang w:val="en-US" w:eastAsia="zh-CN" w:bidi="ar"/>
        </w:rPr>
        <w:t>m以外达到《声环境质量标准》（GB3096-2008）2类标准（昼间60dB(A)）的要求；在距离道路边界线约</w:t>
      </w:r>
      <w:r>
        <w:rPr>
          <w:rFonts w:hint="eastAsia" w:cs="Times New Roman"/>
          <w:color w:val="auto"/>
          <w:kern w:val="0"/>
          <w:sz w:val="21"/>
          <w:szCs w:val="21"/>
          <w:highlight w:val="none"/>
          <w:u w:val="none" w:color="auto"/>
          <w:lang w:val="en-US" w:eastAsia="zh-CN" w:bidi="ar"/>
        </w:rPr>
        <w:t>30</w:t>
      </w:r>
      <w:r>
        <w:rPr>
          <w:rFonts w:hint="default" w:ascii="Times New Roman" w:hAnsi="Times New Roman" w:eastAsia="宋体" w:cs="Times New Roman"/>
          <w:color w:val="auto"/>
          <w:kern w:val="0"/>
          <w:sz w:val="21"/>
          <w:szCs w:val="21"/>
          <w:highlight w:val="none"/>
          <w:u w:val="none" w:color="auto"/>
          <w:lang w:val="en-US" w:eastAsia="zh-CN" w:bidi="ar"/>
        </w:rPr>
        <w:t>m、</w:t>
      </w:r>
      <w:r>
        <w:rPr>
          <w:rFonts w:hint="eastAsia" w:cs="Times New Roman"/>
          <w:color w:val="auto"/>
          <w:kern w:val="0"/>
          <w:sz w:val="21"/>
          <w:szCs w:val="21"/>
          <w:highlight w:val="none"/>
          <w:u w:val="none" w:color="auto"/>
          <w:lang w:val="en-US" w:eastAsia="zh-CN" w:bidi="ar"/>
        </w:rPr>
        <w:t>50</w:t>
      </w:r>
      <w:r>
        <w:rPr>
          <w:rFonts w:hint="default" w:ascii="Times New Roman" w:hAnsi="Times New Roman" w:eastAsia="宋体" w:cs="Times New Roman"/>
          <w:color w:val="auto"/>
          <w:kern w:val="0"/>
          <w:sz w:val="21"/>
          <w:szCs w:val="21"/>
          <w:highlight w:val="none"/>
          <w:u w:val="none" w:color="auto"/>
          <w:lang w:val="en-US" w:eastAsia="zh-CN" w:bidi="ar"/>
        </w:rPr>
        <w:t>m、</w:t>
      </w:r>
      <w:r>
        <w:rPr>
          <w:rFonts w:hint="eastAsia" w:cs="Times New Roman"/>
          <w:color w:val="auto"/>
          <w:kern w:val="0"/>
          <w:sz w:val="21"/>
          <w:szCs w:val="21"/>
          <w:highlight w:val="none"/>
          <w:u w:val="none" w:color="auto"/>
          <w:lang w:val="en-US" w:eastAsia="zh-CN" w:bidi="ar"/>
        </w:rPr>
        <w:t>80</w:t>
      </w:r>
      <w:r>
        <w:rPr>
          <w:rFonts w:hint="default" w:ascii="Times New Roman" w:hAnsi="Times New Roman" w:eastAsia="宋体" w:cs="Times New Roman"/>
          <w:color w:val="auto"/>
          <w:kern w:val="0"/>
          <w:sz w:val="21"/>
          <w:szCs w:val="21"/>
          <w:highlight w:val="none"/>
          <w:u w:val="none" w:color="auto"/>
          <w:lang w:val="en-US" w:eastAsia="zh-CN" w:bidi="ar"/>
        </w:rPr>
        <w:t>m以外达到《声环境质量标准》(GB3096-2008)2类标准（夜间50dB(A)）的要求。</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 w:val="21"/>
          <w:szCs w:val="21"/>
          <w:highlight w:val="none"/>
          <w:u w:val="none" w:color="auto"/>
          <w:lang w:val="en-US" w:eastAsia="zh-CN" w:bidi="ar"/>
        </w:rPr>
      </w:pPr>
      <w:r>
        <w:rPr>
          <w:rFonts w:hint="eastAsia" w:ascii="Times New Roman" w:hAnsi="Times New Roman" w:eastAsia="宋体" w:cs="Times New Roman"/>
          <w:color w:val="auto"/>
          <w:kern w:val="0"/>
          <w:sz w:val="21"/>
          <w:szCs w:val="21"/>
          <w:highlight w:val="none"/>
          <w:u w:val="none" w:color="auto"/>
          <w:lang w:val="en-US" w:eastAsia="zh-CN" w:bidi="ar"/>
        </w:rPr>
        <w:t>②</w:t>
      </w:r>
      <w:r>
        <w:rPr>
          <w:rFonts w:hint="default" w:ascii="Times New Roman" w:hAnsi="Times New Roman" w:eastAsia="宋体" w:cs="Times New Roman"/>
          <w:kern w:val="0"/>
          <w:sz w:val="21"/>
          <w:szCs w:val="21"/>
          <w:highlight w:val="none"/>
          <w:u w:val="none" w:color="auto"/>
          <w:lang w:val="en-US" w:eastAsia="zh-CN" w:bidi="ar"/>
        </w:rPr>
        <w:t>萍州大桥西匝道</w:t>
      </w:r>
      <w:r>
        <w:rPr>
          <w:rFonts w:hint="eastAsia" w:ascii="Times New Roman" w:hAnsi="Times New Roman" w:eastAsia="宋体" w:cs="Times New Roman"/>
          <w:kern w:val="0"/>
          <w:sz w:val="21"/>
          <w:szCs w:val="21"/>
          <w:highlight w:val="none"/>
          <w:u w:val="none" w:color="auto"/>
          <w:lang w:val="en-US" w:eastAsia="zh-CN" w:bidi="ar"/>
        </w:rPr>
        <w:t>：</w:t>
      </w:r>
      <w:r>
        <w:rPr>
          <w:rFonts w:hint="default" w:ascii="Times New Roman" w:hAnsi="Times New Roman" w:cs="Times New Roman"/>
          <w:color w:val="auto"/>
          <w:kern w:val="2"/>
          <w:sz w:val="21"/>
          <w:szCs w:val="21"/>
          <w:highlight w:val="none"/>
          <w:u w:val="none" w:color="auto"/>
        </w:rPr>
        <w:t>202</w:t>
      </w:r>
      <w:r>
        <w:rPr>
          <w:rFonts w:hint="eastAsia" w:cs="Times New Roman"/>
          <w:color w:val="auto"/>
          <w:kern w:val="2"/>
          <w:sz w:val="21"/>
          <w:szCs w:val="21"/>
          <w:highlight w:val="none"/>
          <w:u w:val="none" w:color="auto"/>
          <w:lang w:val="en-US" w:eastAsia="zh-CN"/>
        </w:rPr>
        <w:t>7</w:t>
      </w:r>
      <w:r>
        <w:rPr>
          <w:rFonts w:hint="default" w:ascii="Times New Roman" w:hAnsi="Times New Roman" w:cs="Times New Roman"/>
          <w:color w:val="auto"/>
          <w:kern w:val="2"/>
          <w:sz w:val="21"/>
          <w:szCs w:val="21"/>
          <w:highlight w:val="none"/>
          <w:u w:val="none" w:color="auto"/>
        </w:rPr>
        <w:t>年、203</w:t>
      </w:r>
      <w:r>
        <w:rPr>
          <w:rFonts w:hint="eastAsia" w:cs="Times New Roman"/>
          <w:color w:val="auto"/>
          <w:kern w:val="2"/>
          <w:sz w:val="21"/>
          <w:szCs w:val="21"/>
          <w:highlight w:val="none"/>
          <w:u w:val="none" w:color="auto"/>
          <w:lang w:val="en-US" w:eastAsia="zh-CN"/>
        </w:rPr>
        <w:t>3</w:t>
      </w:r>
      <w:r>
        <w:rPr>
          <w:rFonts w:hint="default" w:ascii="Times New Roman" w:hAnsi="Times New Roman" w:cs="Times New Roman"/>
          <w:color w:val="auto"/>
          <w:kern w:val="2"/>
          <w:sz w:val="21"/>
          <w:szCs w:val="21"/>
          <w:highlight w:val="none"/>
          <w:u w:val="none" w:color="auto"/>
        </w:rPr>
        <w:t>年、20</w:t>
      </w:r>
      <w:r>
        <w:rPr>
          <w:rFonts w:hint="default" w:ascii="Times New Roman" w:hAnsi="Times New Roman" w:cs="Times New Roman"/>
          <w:color w:val="auto"/>
          <w:kern w:val="2"/>
          <w:sz w:val="21"/>
          <w:szCs w:val="21"/>
          <w:highlight w:val="none"/>
          <w:u w:val="none" w:color="auto"/>
          <w:lang w:val="en-US" w:eastAsia="zh-CN"/>
        </w:rPr>
        <w:t>4</w:t>
      </w:r>
      <w:r>
        <w:rPr>
          <w:rFonts w:hint="eastAsia" w:cs="Times New Roman"/>
          <w:color w:val="auto"/>
          <w:kern w:val="2"/>
          <w:sz w:val="21"/>
          <w:szCs w:val="21"/>
          <w:highlight w:val="none"/>
          <w:u w:val="none" w:color="auto"/>
          <w:lang w:val="en-US" w:eastAsia="zh-CN"/>
        </w:rPr>
        <w:t>1</w:t>
      </w:r>
      <w:r>
        <w:rPr>
          <w:rFonts w:hint="default" w:ascii="Times New Roman" w:hAnsi="Times New Roman" w:cs="Times New Roman"/>
          <w:color w:val="auto"/>
          <w:kern w:val="2"/>
          <w:sz w:val="21"/>
          <w:szCs w:val="21"/>
          <w:highlight w:val="none"/>
          <w:u w:val="none" w:color="auto"/>
        </w:rPr>
        <w:t>年</w:t>
      </w:r>
      <w:r>
        <w:rPr>
          <w:rFonts w:hint="default" w:ascii="Times New Roman" w:hAnsi="Times New Roman" w:eastAsia="宋体" w:cs="Times New Roman"/>
          <w:color w:val="auto"/>
          <w:kern w:val="0"/>
          <w:sz w:val="21"/>
          <w:szCs w:val="21"/>
          <w:highlight w:val="none"/>
          <w:u w:val="none" w:color="auto"/>
          <w:lang w:val="en-US" w:eastAsia="zh-CN" w:bidi="ar"/>
        </w:rPr>
        <w:t>的昼间噪声贡献值分别在距离道路边界线约</w:t>
      </w:r>
      <w:r>
        <w:rPr>
          <w:rFonts w:hint="eastAsia" w:ascii="Times New Roman" w:hAnsi="Times New Roman" w:eastAsia="宋体" w:cs="Times New Roman"/>
          <w:color w:val="auto"/>
          <w:kern w:val="0"/>
          <w:sz w:val="21"/>
          <w:szCs w:val="21"/>
          <w:highlight w:val="none"/>
          <w:u w:val="none" w:color="auto"/>
          <w:lang w:val="en-US" w:eastAsia="zh-CN" w:bidi="ar"/>
        </w:rPr>
        <w:t>0</w:t>
      </w:r>
      <w:r>
        <w:rPr>
          <w:rFonts w:hint="default" w:ascii="Times New Roman" w:hAnsi="Times New Roman" w:eastAsia="宋体" w:cs="Times New Roman"/>
          <w:color w:val="auto"/>
          <w:kern w:val="0"/>
          <w:sz w:val="21"/>
          <w:szCs w:val="21"/>
          <w:highlight w:val="none"/>
          <w:u w:val="none" w:color="auto"/>
          <w:lang w:val="en-US" w:eastAsia="zh-CN" w:bidi="ar"/>
        </w:rPr>
        <w:t>m、</w:t>
      </w:r>
      <w:r>
        <w:rPr>
          <w:rFonts w:hint="eastAsia" w:ascii="Times New Roman" w:hAnsi="Times New Roman" w:eastAsia="宋体" w:cs="Times New Roman"/>
          <w:color w:val="auto"/>
          <w:kern w:val="0"/>
          <w:sz w:val="21"/>
          <w:szCs w:val="21"/>
          <w:highlight w:val="none"/>
          <w:u w:val="none" w:color="auto"/>
          <w:lang w:val="en-US" w:eastAsia="zh-CN" w:bidi="ar"/>
        </w:rPr>
        <w:t>0</w:t>
      </w:r>
      <w:r>
        <w:rPr>
          <w:rFonts w:hint="default" w:ascii="Times New Roman" w:hAnsi="Times New Roman" w:eastAsia="宋体" w:cs="Times New Roman"/>
          <w:color w:val="auto"/>
          <w:kern w:val="0"/>
          <w:sz w:val="21"/>
          <w:szCs w:val="21"/>
          <w:highlight w:val="none"/>
          <w:u w:val="none" w:color="auto"/>
          <w:lang w:val="en-US" w:eastAsia="zh-CN" w:bidi="ar"/>
        </w:rPr>
        <w:t>m、</w:t>
      </w:r>
      <w:r>
        <w:rPr>
          <w:rFonts w:hint="eastAsia" w:ascii="Times New Roman" w:hAnsi="Times New Roman" w:eastAsia="宋体" w:cs="Times New Roman"/>
          <w:color w:val="auto"/>
          <w:kern w:val="0"/>
          <w:sz w:val="21"/>
          <w:szCs w:val="21"/>
          <w:highlight w:val="none"/>
          <w:u w:val="none" w:color="auto"/>
          <w:lang w:val="en-US" w:eastAsia="zh-CN" w:bidi="ar"/>
        </w:rPr>
        <w:t>0</w:t>
      </w:r>
      <w:r>
        <w:rPr>
          <w:rFonts w:hint="default" w:ascii="Times New Roman" w:hAnsi="Times New Roman" w:eastAsia="宋体" w:cs="Times New Roman"/>
          <w:color w:val="auto"/>
          <w:kern w:val="0"/>
          <w:sz w:val="21"/>
          <w:szCs w:val="21"/>
          <w:highlight w:val="none"/>
          <w:u w:val="none" w:color="auto"/>
          <w:lang w:val="en-US" w:eastAsia="zh-CN" w:bidi="ar"/>
        </w:rPr>
        <w:t>m以外达到《声环境质量标准》（GB3096-2008）2类标准（昼间60dB(A)）的要求；在距离道路边界线约</w:t>
      </w:r>
      <w:r>
        <w:rPr>
          <w:rFonts w:hint="eastAsia" w:ascii="Times New Roman" w:hAnsi="Times New Roman" w:eastAsia="宋体" w:cs="Times New Roman"/>
          <w:color w:val="auto"/>
          <w:kern w:val="0"/>
          <w:sz w:val="21"/>
          <w:szCs w:val="21"/>
          <w:highlight w:val="none"/>
          <w:u w:val="none" w:color="auto"/>
          <w:lang w:val="en-US" w:eastAsia="zh-CN" w:bidi="ar"/>
        </w:rPr>
        <w:t>00</w:t>
      </w:r>
      <w:r>
        <w:rPr>
          <w:rFonts w:hint="default" w:ascii="Times New Roman" w:hAnsi="Times New Roman" w:eastAsia="宋体" w:cs="Times New Roman"/>
          <w:color w:val="auto"/>
          <w:kern w:val="0"/>
          <w:sz w:val="21"/>
          <w:szCs w:val="21"/>
          <w:highlight w:val="none"/>
          <w:u w:val="none" w:color="auto"/>
          <w:lang w:val="en-US" w:eastAsia="zh-CN" w:bidi="ar"/>
        </w:rPr>
        <w:t>m、</w:t>
      </w:r>
      <w:r>
        <w:rPr>
          <w:rFonts w:hint="eastAsia" w:ascii="Times New Roman" w:hAnsi="Times New Roman" w:eastAsia="宋体" w:cs="Times New Roman"/>
          <w:color w:val="auto"/>
          <w:kern w:val="0"/>
          <w:sz w:val="21"/>
          <w:szCs w:val="21"/>
          <w:highlight w:val="none"/>
          <w:u w:val="none" w:color="auto"/>
          <w:lang w:val="en-US" w:eastAsia="zh-CN" w:bidi="ar"/>
        </w:rPr>
        <w:t>00</w:t>
      </w:r>
      <w:r>
        <w:rPr>
          <w:rFonts w:hint="default" w:ascii="Times New Roman" w:hAnsi="Times New Roman" w:eastAsia="宋体" w:cs="Times New Roman"/>
          <w:color w:val="auto"/>
          <w:kern w:val="0"/>
          <w:sz w:val="21"/>
          <w:szCs w:val="21"/>
          <w:highlight w:val="none"/>
          <w:u w:val="none" w:color="auto"/>
          <w:lang w:val="en-US" w:eastAsia="zh-CN" w:bidi="ar"/>
        </w:rPr>
        <w:t>m、</w:t>
      </w:r>
      <w:r>
        <w:rPr>
          <w:rFonts w:hint="eastAsia" w:ascii="Times New Roman" w:hAnsi="Times New Roman" w:eastAsia="宋体" w:cs="Times New Roman"/>
          <w:color w:val="auto"/>
          <w:kern w:val="0"/>
          <w:sz w:val="21"/>
          <w:szCs w:val="21"/>
          <w:highlight w:val="none"/>
          <w:u w:val="none" w:color="auto"/>
          <w:lang w:val="en-US" w:eastAsia="zh-CN" w:bidi="ar"/>
        </w:rPr>
        <w:t>00</w:t>
      </w:r>
      <w:r>
        <w:rPr>
          <w:rFonts w:hint="default" w:ascii="Times New Roman" w:hAnsi="Times New Roman" w:eastAsia="宋体" w:cs="Times New Roman"/>
          <w:color w:val="auto"/>
          <w:kern w:val="0"/>
          <w:sz w:val="21"/>
          <w:szCs w:val="21"/>
          <w:highlight w:val="none"/>
          <w:u w:val="none" w:color="auto"/>
          <w:lang w:val="en-US" w:eastAsia="zh-CN" w:bidi="ar"/>
        </w:rPr>
        <w:t>m以外达到《声环境质量标准》(GB3096-2008)2类标准（夜间50dB(A)）的要求。</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kern w:val="0"/>
          <w:sz w:val="21"/>
          <w:szCs w:val="21"/>
          <w:u w:val="none" w:color="auto"/>
          <w:lang w:val="en-US" w:eastAsia="zh-CN" w:bidi="ar"/>
        </w:rPr>
      </w:pPr>
      <w:r>
        <w:rPr>
          <w:rFonts w:hint="eastAsia" w:ascii="Times New Roman" w:hAnsi="Times New Roman" w:eastAsia="宋体" w:cs="Times New Roman"/>
          <w:kern w:val="0"/>
          <w:sz w:val="21"/>
          <w:szCs w:val="21"/>
          <w:u w:val="none" w:color="auto"/>
          <w:lang w:val="en-US" w:eastAsia="zh-CN" w:bidi="ar"/>
        </w:rPr>
        <w:t>（3）等声级线图</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rPr>
          <w:rFonts w:ascii="Times New Roman" w:hAnsi="Times New Roman" w:eastAsia="宋体" w:cs="Times New Roman"/>
          <w:kern w:val="0"/>
          <w:sz w:val="21"/>
          <w:szCs w:val="21"/>
          <w:u w:val="none" w:color="auto"/>
          <w:lang w:val="en-US" w:eastAsia="zh-CN" w:bidi="ar"/>
        </w:rPr>
      </w:pPr>
      <w:r>
        <w:rPr>
          <w:rFonts w:hint="eastAsia" w:ascii="Times New Roman" w:hAnsi="Times New Roman" w:eastAsia="宋体" w:cs="Times New Roman"/>
          <w:kern w:val="0"/>
          <w:sz w:val="21"/>
          <w:szCs w:val="21"/>
          <w:u w:val="none" w:color="auto"/>
          <w:lang w:val="en-US" w:eastAsia="zh-CN" w:bidi="ar"/>
        </w:rPr>
        <w:t>近、中、远期昼间及夜间噪声等声级线图见附图。</w:t>
      </w:r>
    </w:p>
    <w:p>
      <w:pPr>
        <w:keepNext/>
        <w:keepLines/>
        <w:pageBreakBefore w:val="0"/>
        <w:widowControl w:val="0"/>
        <w:numPr>
          <w:ilvl w:val="3"/>
          <w:numId w:val="3"/>
        </w:numPr>
        <w:tabs>
          <w:tab w:val="left" w:pos="0"/>
        </w:tabs>
        <w:kinsoku/>
        <w:wordWrap/>
        <w:overflowPunct/>
        <w:topLinePunct w:val="0"/>
        <w:bidi w:val="0"/>
        <w:adjustRightInd w:val="0"/>
        <w:snapToGrid w:val="0"/>
        <w:spacing w:beforeLines="0" w:beforeAutospacing="0" w:afterLines="0" w:afterAutospacing="0" w:line="360" w:lineRule="auto"/>
        <w:ind w:left="0" w:leftChars="0" w:firstLine="420" w:firstLineChars="200"/>
        <w:jc w:val="both"/>
        <w:outlineLvl w:val="3"/>
        <w:rPr>
          <w:rFonts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敏感点预测结果</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rPr>
          <w:rFonts w:hint="default" w:cs="Times New Roman"/>
          <w:color w:val="auto"/>
          <w:sz w:val="21"/>
          <w:szCs w:val="21"/>
          <w:highlight w:val="none"/>
          <w:u w:val="none" w:color="auto"/>
          <w:lang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color w:val="auto"/>
          <w:kern w:val="0"/>
          <w:sz w:val="21"/>
          <w:szCs w:val="21"/>
          <w:highlight w:val="none"/>
          <w:u w:val="none" w:color="auto"/>
          <w:lang w:val="en-US" w:eastAsia="zh-CN" w:bidi="ar"/>
        </w:rPr>
        <w:t>根据声环境敏感目标调查情况，对各声环境敏感点声功能区进行划分，声功能区划分、人口分布及相关特征。本次评价采用噪声环境影响评价系统软件对交通噪声进行预测和评价。本次预测对各敏感点在不同时间段的交通噪声影响值进行预测，并以现状监测环境噪声值作为背景值进行叠加，各保护目标处的噪声贡献值及预测值结果见下表</w:t>
      </w:r>
      <w:r>
        <w:rPr>
          <w:rFonts w:hint="eastAsia" w:ascii="Times New Roman" w:hAnsi="Times New Roman" w:eastAsia="宋体" w:cs="Times New Roman"/>
          <w:color w:val="auto"/>
          <w:kern w:val="0"/>
          <w:sz w:val="21"/>
          <w:szCs w:val="21"/>
          <w:highlight w:val="none"/>
          <w:u w:val="none" w:color="auto"/>
          <w:lang w:val="en-US" w:eastAsia="zh-CN" w:bidi="ar"/>
        </w:rPr>
        <w:t>。</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kern w:val="0"/>
          <w:sz w:val="21"/>
          <w:szCs w:val="21"/>
          <w:highlight w:val="none"/>
          <w:u w:val="single" w:color="auto"/>
          <w:lang w:val="en-US" w:eastAsia="zh-CN" w:bidi="ar"/>
        </w:rPr>
      </w:pP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ascii="Times New Roman" w:hAnsi="Times New Roman" w:eastAsia="宋体" w:cs="Times New Roman"/>
          <w:b/>
          <w:color w:val="000000"/>
          <w:kern w:val="21"/>
          <w:sz w:val="21"/>
          <w:szCs w:val="21"/>
          <w:u w:val="single" w:color="auto"/>
          <w:lang w:val="en-US" w:eastAsia="zh-CN" w:bidi="ar-SA"/>
        </w:rPr>
      </w:pPr>
      <w:r>
        <w:rPr>
          <w:rFonts w:ascii="Times New Roman" w:hAnsi="Times New Roman" w:eastAsia="宋体" w:cs="Times New Roman"/>
          <w:b/>
          <w:color w:val="000000"/>
          <w:kern w:val="21"/>
          <w:sz w:val="21"/>
          <w:szCs w:val="21"/>
          <w:u w:val="single" w:color="auto"/>
          <w:lang w:val="en-US" w:eastAsia="zh-CN" w:bidi="ar-SA"/>
        </w:rPr>
        <w:t>表</w:t>
      </w:r>
      <w:r>
        <w:rPr>
          <w:rFonts w:hint="eastAsia" w:ascii="Times New Roman" w:hAnsi="Times New Roman" w:eastAsia="宋体" w:cs="Times New Roman"/>
          <w:b/>
          <w:color w:val="000000"/>
          <w:kern w:val="21"/>
          <w:sz w:val="21"/>
          <w:szCs w:val="21"/>
          <w:u w:val="single" w:color="auto"/>
          <w:lang w:val="en-US" w:eastAsia="zh-CN" w:bidi="ar-SA"/>
        </w:rPr>
        <w:t>4-7</w:t>
      </w:r>
      <w:r>
        <w:rPr>
          <w:rFonts w:ascii="Times New Roman" w:hAnsi="Times New Roman" w:eastAsia="宋体" w:cs="Times New Roman"/>
          <w:b/>
          <w:color w:val="000000"/>
          <w:kern w:val="21"/>
          <w:sz w:val="21"/>
          <w:szCs w:val="21"/>
          <w:u w:val="single" w:color="auto"/>
          <w:lang w:val="en-US" w:eastAsia="zh-CN" w:bidi="ar-SA"/>
        </w:rPr>
        <w:t xml:space="preserve"> 沿线声环境敏感点环境噪声预测结果 单位</w:t>
      </w:r>
      <w:r>
        <w:rPr>
          <w:rFonts w:hint="eastAsia" w:ascii="Times New Roman" w:hAnsi="Times New Roman" w:eastAsia="宋体" w:cs="Times New Roman"/>
          <w:b/>
          <w:color w:val="000000"/>
          <w:kern w:val="21"/>
          <w:sz w:val="21"/>
          <w:szCs w:val="21"/>
          <w:u w:val="single" w:color="auto"/>
          <w:lang w:val="en-US" w:eastAsia="zh-CN" w:bidi="ar-SA"/>
        </w:rPr>
        <w:t>：</w:t>
      </w:r>
      <w:r>
        <w:rPr>
          <w:rFonts w:ascii="Times New Roman" w:hAnsi="Times New Roman" w:eastAsia="宋体" w:cs="Times New Roman"/>
          <w:b/>
          <w:color w:val="000000"/>
          <w:kern w:val="21"/>
          <w:sz w:val="21"/>
          <w:szCs w:val="21"/>
          <w:u w:val="single" w:color="auto"/>
          <w:lang w:val="en-US" w:eastAsia="zh-CN" w:bidi="ar-SA"/>
        </w:rPr>
        <w:t>dB(A)</w:t>
      </w:r>
    </w:p>
    <w:tbl>
      <w:tblPr>
        <w:tblStyle w:val="40"/>
        <w:tblW w:w="141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736"/>
        <w:gridCol w:w="1500"/>
        <w:gridCol w:w="596"/>
        <w:gridCol w:w="601"/>
        <w:gridCol w:w="689"/>
        <w:gridCol w:w="689"/>
        <w:gridCol w:w="689"/>
        <w:gridCol w:w="689"/>
        <w:gridCol w:w="689"/>
        <w:gridCol w:w="689"/>
        <w:gridCol w:w="689"/>
        <w:gridCol w:w="689"/>
        <w:gridCol w:w="689"/>
        <w:gridCol w:w="689"/>
        <w:gridCol w:w="689"/>
        <w:gridCol w:w="689"/>
        <w:gridCol w:w="488"/>
        <w:gridCol w:w="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8"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序号</w:t>
            </w:r>
          </w:p>
        </w:tc>
        <w:tc>
          <w:tcPr>
            <w:tcW w:w="1736"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保护目标名称</w:t>
            </w:r>
          </w:p>
        </w:tc>
        <w:tc>
          <w:tcPr>
            <w:tcW w:w="1500"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第一排房屋距道路边界线/中心线/m</w:t>
            </w:r>
          </w:p>
        </w:tc>
        <w:tc>
          <w:tcPr>
            <w:tcW w:w="1197" w:type="dxa"/>
            <w:gridSpan w:val="2"/>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背景噪声</w:t>
            </w:r>
          </w:p>
        </w:tc>
        <w:tc>
          <w:tcPr>
            <w:tcW w:w="4134" w:type="dxa"/>
            <w:gridSpan w:val="6"/>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交通噪声贡献值</w:t>
            </w:r>
          </w:p>
        </w:tc>
        <w:tc>
          <w:tcPr>
            <w:tcW w:w="4134" w:type="dxa"/>
            <w:gridSpan w:val="6"/>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交通噪声预测值</w:t>
            </w:r>
          </w:p>
        </w:tc>
        <w:tc>
          <w:tcPr>
            <w:tcW w:w="985" w:type="dxa"/>
            <w:gridSpan w:val="2"/>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8"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173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150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1197" w:type="dxa"/>
            <w:gridSpan w:val="2"/>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1378"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近期</w:t>
            </w:r>
          </w:p>
        </w:tc>
        <w:tc>
          <w:tcPr>
            <w:tcW w:w="1378"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中期</w:t>
            </w:r>
          </w:p>
        </w:tc>
        <w:tc>
          <w:tcPr>
            <w:tcW w:w="1378"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远期</w:t>
            </w:r>
          </w:p>
        </w:tc>
        <w:tc>
          <w:tcPr>
            <w:tcW w:w="1378"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近期</w:t>
            </w:r>
          </w:p>
        </w:tc>
        <w:tc>
          <w:tcPr>
            <w:tcW w:w="1378"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中期</w:t>
            </w:r>
          </w:p>
        </w:tc>
        <w:tc>
          <w:tcPr>
            <w:tcW w:w="1378"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远期</w:t>
            </w:r>
          </w:p>
        </w:tc>
        <w:tc>
          <w:tcPr>
            <w:tcW w:w="985" w:type="dxa"/>
            <w:gridSpan w:val="2"/>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jc w:val="center"/>
        </w:trPr>
        <w:tc>
          <w:tcPr>
            <w:tcW w:w="488"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1736"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1500"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59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昼间</w:t>
            </w:r>
          </w:p>
        </w:tc>
        <w:tc>
          <w:tcPr>
            <w:tcW w:w="601"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夜间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昼间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夜间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昼间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夜间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昼间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夜间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昼间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夜间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昼间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夜间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昼间</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u w:val="single" w:color="auto"/>
                <w:lang w:val="en-US" w:eastAsia="zh-CN" w:bidi="ar-SA"/>
              </w:rPr>
            </w:pPr>
            <w:r>
              <w:rPr>
                <w:rFonts w:hint="default" w:ascii="Times New Roman" w:hAnsi="Times New Roman" w:eastAsia="宋体" w:cs="Times New Roman"/>
                <w:color w:val="auto"/>
                <w:kern w:val="2"/>
                <w:sz w:val="21"/>
                <w:szCs w:val="21"/>
                <w:highlight w:val="none"/>
                <w:u w:val="single" w:color="auto"/>
                <w:lang w:val="en-US" w:eastAsia="zh-CN" w:bidi="ar-SA"/>
              </w:rPr>
              <w:t>夜间</w:t>
            </w:r>
          </w:p>
        </w:tc>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昼间</w:t>
            </w:r>
          </w:p>
        </w:tc>
        <w:tc>
          <w:tcPr>
            <w:tcW w:w="49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1</w:t>
            </w:r>
          </w:p>
        </w:tc>
        <w:tc>
          <w:tcPr>
            <w:tcW w:w="173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老渡口社区居民委员会及居民委员会旁居民</w:t>
            </w:r>
          </w:p>
        </w:tc>
        <w:tc>
          <w:tcPr>
            <w:tcW w:w="150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9/34</w:t>
            </w:r>
          </w:p>
        </w:tc>
        <w:tc>
          <w:tcPr>
            <w:tcW w:w="59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57.7</w:t>
            </w:r>
          </w:p>
        </w:tc>
        <w:tc>
          <w:tcPr>
            <w:tcW w:w="601"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47.3</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60.77</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53.74</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59.67</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52.69</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61.07</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54.1</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62.51</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54.63</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61.81</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53.79</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62.72</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54.92</w:t>
            </w:r>
          </w:p>
        </w:tc>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70</w:t>
            </w:r>
          </w:p>
        </w:tc>
        <w:tc>
          <w:tcPr>
            <w:tcW w:w="49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2</w:t>
            </w:r>
          </w:p>
        </w:tc>
        <w:tc>
          <w:tcPr>
            <w:tcW w:w="173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萍阳北路居民点</w:t>
            </w:r>
          </w:p>
        </w:tc>
        <w:tc>
          <w:tcPr>
            <w:tcW w:w="150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82/110</w:t>
            </w:r>
          </w:p>
        </w:tc>
        <w:tc>
          <w:tcPr>
            <w:tcW w:w="59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55.6</w:t>
            </w:r>
          </w:p>
        </w:tc>
        <w:tc>
          <w:tcPr>
            <w:tcW w:w="601"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46.9</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49.42</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37.9</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48.51</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37.12</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49.67</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38.18</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56.54</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47.42</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56.37</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47.33</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56.59</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47.45</w:t>
            </w:r>
          </w:p>
        </w:tc>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60</w:t>
            </w:r>
          </w:p>
        </w:tc>
        <w:tc>
          <w:tcPr>
            <w:tcW w:w="49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3</w:t>
            </w:r>
          </w:p>
        </w:tc>
        <w:tc>
          <w:tcPr>
            <w:tcW w:w="173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梨头尖居民点</w:t>
            </w:r>
          </w:p>
        </w:tc>
        <w:tc>
          <w:tcPr>
            <w:tcW w:w="150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4/20</w:t>
            </w:r>
          </w:p>
        </w:tc>
        <w:tc>
          <w:tcPr>
            <w:tcW w:w="59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55.7</w:t>
            </w:r>
          </w:p>
        </w:tc>
        <w:tc>
          <w:tcPr>
            <w:tcW w:w="601"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46.2</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53.92</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47.05</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53.01</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46.14</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54.17</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47.37</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57.91</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49.66</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57.57</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49.18</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58.01</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49.83</w:t>
            </w:r>
          </w:p>
        </w:tc>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70</w:t>
            </w:r>
          </w:p>
        </w:tc>
        <w:tc>
          <w:tcPr>
            <w:tcW w:w="49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4</w:t>
            </w:r>
          </w:p>
        </w:tc>
        <w:tc>
          <w:tcPr>
            <w:tcW w:w="173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君诚学校</w:t>
            </w:r>
          </w:p>
        </w:tc>
        <w:tc>
          <w:tcPr>
            <w:tcW w:w="150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144/168</w:t>
            </w:r>
          </w:p>
        </w:tc>
        <w:tc>
          <w:tcPr>
            <w:tcW w:w="59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57.6</w:t>
            </w:r>
          </w:p>
        </w:tc>
        <w:tc>
          <w:tcPr>
            <w:tcW w:w="601"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45.2</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45.94</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32.81</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44.86</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31.79</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46.24</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33.17</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57.89</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45.44</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57.83</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45.39</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57.91</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45.46</w:t>
            </w:r>
          </w:p>
        </w:tc>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60</w:t>
            </w:r>
          </w:p>
        </w:tc>
        <w:tc>
          <w:tcPr>
            <w:tcW w:w="49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5</w:t>
            </w:r>
          </w:p>
        </w:tc>
        <w:tc>
          <w:tcPr>
            <w:tcW w:w="173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原化工集团宿舍</w:t>
            </w:r>
          </w:p>
        </w:tc>
        <w:tc>
          <w:tcPr>
            <w:tcW w:w="150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62/83</w:t>
            </w:r>
          </w:p>
        </w:tc>
        <w:tc>
          <w:tcPr>
            <w:tcW w:w="596"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55.4</w:t>
            </w:r>
          </w:p>
        </w:tc>
        <w:tc>
          <w:tcPr>
            <w:tcW w:w="601"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45.2</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48.83</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36.77</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47.73</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35.73</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49.13</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cs="Times New Roman"/>
                <w:kern w:val="2"/>
                <w:sz w:val="21"/>
                <w:szCs w:val="21"/>
                <w:highlight w:val="none"/>
                <w:u w:val="single" w:color="auto"/>
                <w:lang w:val="en-US" w:eastAsia="zh-CN" w:bidi="ar-SA"/>
              </w:rPr>
              <w:t>37.13</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56.26</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45.78</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56.09</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45.66</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56.32</w:t>
            </w:r>
          </w:p>
        </w:tc>
        <w:tc>
          <w:tcPr>
            <w:tcW w:w="68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b w:val="0"/>
                <w:bCs w:val="0"/>
                <w:color w:val="auto"/>
                <w:kern w:val="2"/>
                <w:sz w:val="21"/>
                <w:szCs w:val="21"/>
                <w:highlight w:val="none"/>
                <w:u w:val="single" w:color="auto"/>
                <w:lang w:val="en-US" w:eastAsia="zh-CN" w:bidi="ar-SA"/>
              </w:rPr>
            </w:pPr>
            <w:r>
              <w:rPr>
                <w:rFonts w:hint="eastAsia" w:cs="Times New Roman"/>
                <w:b w:val="0"/>
                <w:bCs w:val="0"/>
                <w:color w:val="auto"/>
                <w:kern w:val="2"/>
                <w:sz w:val="21"/>
                <w:szCs w:val="21"/>
                <w:highlight w:val="none"/>
                <w:u w:val="single" w:color="auto"/>
                <w:lang w:val="en-US" w:eastAsia="zh-CN" w:bidi="ar-SA"/>
              </w:rPr>
              <w:t>45.83</w:t>
            </w:r>
          </w:p>
        </w:tc>
        <w:tc>
          <w:tcPr>
            <w:tcW w:w="48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60</w:t>
            </w:r>
          </w:p>
        </w:tc>
        <w:tc>
          <w:tcPr>
            <w:tcW w:w="49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50</w:t>
            </w:r>
          </w:p>
        </w:tc>
      </w:tr>
    </w:tbl>
    <w:p>
      <w:pPr>
        <w:pageBreakBefore w:val="0"/>
        <w:widowControl w:val="0"/>
        <w:kinsoku/>
        <w:wordWrap/>
        <w:overflowPunct/>
        <w:topLinePunct w:val="0"/>
        <w:autoSpaceDE w:val="0"/>
        <w:autoSpaceDN w:val="0"/>
        <w:bidi w:val="0"/>
        <w:adjustRightInd w:val="0"/>
        <w:snapToGrid w:val="0"/>
        <w:spacing w:before="163" w:beforeLines="50" w:line="240" w:lineRule="auto"/>
        <w:ind w:firstLine="480" w:firstLineChars="0"/>
        <w:jc w:val="center"/>
        <w:rPr>
          <w:rFonts w:hint="default" w:ascii="Times New Roman" w:hAnsi="Times New Roman" w:eastAsia="宋体" w:cs="Times New Roman"/>
          <w:b/>
          <w:color w:val="auto"/>
          <w:kern w:val="21"/>
          <w:sz w:val="21"/>
          <w:szCs w:val="21"/>
          <w:highlight w:val="none"/>
          <w:u w:val="single" w:color="auto"/>
          <w:lang w:val="en-US" w:eastAsia="zh-CN" w:bidi="ar-SA"/>
        </w:rPr>
      </w:pPr>
      <w:r>
        <w:rPr>
          <w:rFonts w:ascii="Times New Roman" w:hAnsi="Times New Roman" w:eastAsia="宋体" w:cs="Times New Roman"/>
          <w:b/>
          <w:bCs w:val="0"/>
          <w:color w:val="000000"/>
          <w:kern w:val="21"/>
          <w:sz w:val="21"/>
          <w:szCs w:val="21"/>
          <w:u w:val="single" w:color="auto"/>
          <w:lang w:val="en-US" w:eastAsia="zh-CN" w:bidi="ar-SA"/>
        </w:rPr>
        <w:t>表</w:t>
      </w:r>
      <w:r>
        <w:rPr>
          <w:rFonts w:hint="eastAsia" w:ascii="Times New Roman" w:hAnsi="Times New Roman" w:eastAsia="宋体" w:cs="Times New Roman"/>
          <w:b/>
          <w:bCs w:val="0"/>
          <w:color w:val="000000"/>
          <w:kern w:val="21"/>
          <w:sz w:val="21"/>
          <w:szCs w:val="21"/>
          <w:u w:val="single" w:color="auto"/>
          <w:lang w:val="en-US" w:eastAsia="zh-CN" w:bidi="ar-SA"/>
        </w:rPr>
        <w:t>4-8</w:t>
      </w:r>
      <w:r>
        <w:rPr>
          <w:rFonts w:hint="default" w:ascii="Times New Roman" w:hAnsi="Times New Roman" w:eastAsia="宋体" w:cs="Times New Roman"/>
          <w:b/>
          <w:bCs w:val="0"/>
          <w:color w:val="auto"/>
          <w:kern w:val="21"/>
          <w:sz w:val="21"/>
          <w:szCs w:val="21"/>
          <w:highlight w:val="none"/>
          <w:u w:val="single" w:color="auto"/>
          <w:lang w:val="en-US" w:eastAsia="zh-CN" w:bidi="ar-SA"/>
        </w:rPr>
        <w:t xml:space="preserve"> </w:t>
      </w:r>
      <w:r>
        <w:rPr>
          <w:rFonts w:ascii="Times New Roman" w:hAnsi="Times New Roman" w:eastAsia="宋体" w:cs="Times New Roman"/>
          <w:b/>
          <w:color w:val="000000"/>
          <w:kern w:val="21"/>
          <w:sz w:val="21"/>
          <w:szCs w:val="21"/>
          <w:u w:val="single" w:color="auto"/>
          <w:lang w:val="en-US" w:eastAsia="zh-CN" w:bidi="ar-SA"/>
        </w:rPr>
        <w:t>声环境敏感点</w:t>
      </w:r>
      <w:r>
        <w:rPr>
          <w:rFonts w:hint="default" w:ascii="Times New Roman" w:hAnsi="Times New Roman" w:eastAsia="宋体" w:cs="Times New Roman"/>
          <w:b/>
          <w:bCs w:val="0"/>
          <w:color w:val="auto"/>
          <w:kern w:val="21"/>
          <w:sz w:val="21"/>
          <w:szCs w:val="21"/>
          <w:highlight w:val="none"/>
          <w:u w:val="single" w:color="auto"/>
          <w:lang w:val="en-US" w:eastAsia="zh-CN" w:bidi="ar-SA"/>
        </w:rPr>
        <w:t>交通噪声达标情况统计一览表单位：dB(A)</w:t>
      </w:r>
    </w:p>
    <w:tbl>
      <w:tblPr>
        <w:tblStyle w:val="40"/>
        <w:tblW w:w="14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4458"/>
        <w:gridCol w:w="3643"/>
        <w:gridCol w:w="672"/>
        <w:gridCol w:w="675"/>
        <w:gridCol w:w="672"/>
        <w:gridCol w:w="675"/>
        <w:gridCol w:w="672"/>
        <w:gridCol w:w="683"/>
        <w:gridCol w:w="672"/>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71"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序号</w:t>
            </w:r>
          </w:p>
        </w:tc>
        <w:tc>
          <w:tcPr>
            <w:tcW w:w="4458"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保护目标名称</w:t>
            </w:r>
          </w:p>
        </w:tc>
        <w:tc>
          <w:tcPr>
            <w:tcW w:w="3643" w:type="dxa"/>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第一排房屋</w:t>
            </w:r>
          </w:p>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距道路边界线/中心线/m</w:t>
            </w:r>
          </w:p>
        </w:tc>
        <w:tc>
          <w:tcPr>
            <w:tcW w:w="4049" w:type="dxa"/>
            <w:gridSpan w:val="6"/>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交通噪声预测值</w:t>
            </w:r>
          </w:p>
        </w:tc>
        <w:tc>
          <w:tcPr>
            <w:tcW w:w="1347" w:type="dxa"/>
            <w:gridSpan w:val="2"/>
            <w:vMerge w:val="restart"/>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4458"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364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1347"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近期</w:t>
            </w:r>
          </w:p>
        </w:tc>
        <w:tc>
          <w:tcPr>
            <w:tcW w:w="1347"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中期</w:t>
            </w:r>
          </w:p>
        </w:tc>
        <w:tc>
          <w:tcPr>
            <w:tcW w:w="1355" w:type="dxa"/>
            <w:gridSpan w:val="2"/>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远期</w:t>
            </w:r>
          </w:p>
        </w:tc>
        <w:tc>
          <w:tcPr>
            <w:tcW w:w="1347" w:type="dxa"/>
            <w:gridSpan w:val="2"/>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4458"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3643" w:type="dxa"/>
            <w:vMerge w:val="continue"/>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昼间</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夜间</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昼间</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夜间</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昼间</w:t>
            </w:r>
          </w:p>
        </w:tc>
        <w:tc>
          <w:tcPr>
            <w:tcW w:w="68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夜间</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昼间</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1</w:t>
            </w:r>
          </w:p>
        </w:tc>
        <w:tc>
          <w:tcPr>
            <w:tcW w:w="44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老渡口社区居民委员会及居民委员会旁居民</w:t>
            </w:r>
          </w:p>
        </w:tc>
        <w:tc>
          <w:tcPr>
            <w:tcW w:w="364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9/34</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8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70</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2</w:t>
            </w:r>
          </w:p>
        </w:tc>
        <w:tc>
          <w:tcPr>
            <w:tcW w:w="44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萍阳北路居民点</w:t>
            </w:r>
          </w:p>
        </w:tc>
        <w:tc>
          <w:tcPr>
            <w:tcW w:w="364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82/110</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8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60</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3</w:t>
            </w:r>
          </w:p>
        </w:tc>
        <w:tc>
          <w:tcPr>
            <w:tcW w:w="44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梨头尖居民点</w:t>
            </w:r>
          </w:p>
        </w:tc>
        <w:tc>
          <w:tcPr>
            <w:tcW w:w="364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4/20</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8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b w:val="0"/>
                <w:bCs w:val="0"/>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70</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671"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4</w:t>
            </w:r>
          </w:p>
        </w:tc>
        <w:tc>
          <w:tcPr>
            <w:tcW w:w="44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君诚学校</w:t>
            </w:r>
          </w:p>
        </w:tc>
        <w:tc>
          <w:tcPr>
            <w:tcW w:w="364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144/168</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8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60</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5</w:t>
            </w:r>
          </w:p>
        </w:tc>
        <w:tc>
          <w:tcPr>
            <w:tcW w:w="445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原化工集团宿舍</w:t>
            </w:r>
          </w:p>
        </w:tc>
        <w:tc>
          <w:tcPr>
            <w:tcW w:w="364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eastAsia" w:ascii="Times New Roman" w:hAnsi="Times New Roman" w:eastAsia="宋体" w:cs="Times New Roman"/>
                <w:kern w:val="2"/>
                <w:sz w:val="21"/>
                <w:szCs w:val="21"/>
                <w:highlight w:val="none"/>
                <w:u w:val="single" w:color="auto"/>
                <w:lang w:val="en-US" w:eastAsia="zh-CN" w:bidi="ar-SA"/>
              </w:rPr>
              <w:t>62/83</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8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达标</w:t>
            </w:r>
          </w:p>
        </w:tc>
        <w:tc>
          <w:tcPr>
            <w:tcW w:w="672"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60</w:t>
            </w:r>
          </w:p>
        </w:tc>
        <w:tc>
          <w:tcPr>
            <w:tcW w:w="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single" w:color="auto"/>
                <w:lang w:val="en-US" w:eastAsia="zh-CN" w:bidi="ar-SA"/>
              </w:rPr>
            </w:pPr>
            <w:r>
              <w:rPr>
                <w:rFonts w:hint="default" w:ascii="Times New Roman" w:hAnsi="Times New Roman" w:eastAsia="宋体" w:cs="Times New Roman"/>
                <w:kern w:val="2"/>
                <w:sz w:val="21"/>
                <w:szCs w:val="21"/>
                <w:highlight w:val="none"/>
                <w:u w:val="single" w:color="auto"/>
                <w:lang w:val="en-US" w:eastAsia="zh-CN" w:bidi="ar-SA"/>
              </w:rPr>
              <w:t>50</w:t>
            </w:r>
          </w:p>
        </w:tc>
      </w:tr>
    </w:tbl>
    <w:p>
      <w:pPr>
        <w:pageBreakBefore w:val="0"/>
        <w:kinsoku/>
        <w:wordWrap/>
        <w:overflowPunct/>
        <w:topLinePunct w:val="0"/>
        <w:bidi w:val="0"/>
        <w:adjustRightInd w:val="0"/>
        <w:snapToGrid w:val="0"/>
        <w:spacing w:line="360" w:lineRule="auto"/>
        <w:rPr>
          <w:rFonts w:hint="default"/>
          <w:sz w:val="21"/>
          <w:szCs w:val="21"/>
          <w:u w:val="single" w:color="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从上表</w:t>
      </w:r>
      <w:r>
        <w:rPr>
          <w:rFonts w:hint="default" w:ascii="Times New Roman" w:hAnsi="Times New Roman" w:cs="Times New Roman"/>
          <w:color w:val="auto"/>
          <w:kern w:val="2"/>
          <w:sz w:val="21"/>
          <w:szCs w:val="21"/>
          <w:highlight w:val="none"/>
          <w:u w:val="none" w:color="auto"/>
          <w:lang w:eastAsia="zh-CN"/>
        </w:rPr>
        <w:t>可以</w:t>
      </w:r>
      <w:r>
        <w:rPr>
          <w:rFonts w:hint="default" w:ascii="Times New Roman" w:hAnsi="Times New Roman" w:cs="Times New Roman"/>
          <w:color w:val="auto"/>
          <w:kern w:val="2"/>
          <w:sz w:val="21"/>
          <w:szCs w:val="21"/>
          <w:highlight w:val="none"/>
          <w:u w:val="none" w:color="auto"/>
        </w:rPr>
        <w:t>看出：随着运营期的增长，车流量的增大，交通噪声声级值也随之增强；另一方面，随着距道路边界线距离的增加，交通噪声的影响逐渐减小。</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结合现状监测的数据及预测结果分析上表可知：</w:t>
      </w:r>
    </w:p>
    <w:p>
      <w:pPr>
        <w:pageBreakBefore w:val="0"/>
        <w:kinsoku/>
        <w:wordWrap/>
        <w:overflowPunct/>
        <w:topLinePunct w:val="0"/>
        <w:bidi w:val="0"/>
        <w:adjustRightInd w:val="0"/>
        <w:snapToGrid w:val="0"/>
        <w:spacing w:line="360" w:lineRule="auto"/>
        <w:ind w:firstLine="422" w:firstLineChars="200"/>
        <w:rPr>
          <w:rFonts w:hint="default" w:ascii="Times New Roman" w:hAnsi="Times New Roman" w:cs="Times New Roman"/>
          <w:b/>
          <w:bCs/>
          <w:color w:val="auto"/>
          <w:kern w:val="2"/>
          <w:sz w:val="21"/>
          <w:szCs w:val="21"/>
          <w:highlight w:val="none"/>
          <w:u w:val="none" w:color="auto"/>
          <w:lang w:eastAsia="zh-CN"/>
        </w:rPr>
      </w:pPr>
      <w:r>
        <w:rPr>
          <w:rFonts w:hint="default" w:ascii="Times New Roman" w:hAnsi="Times New Roman" w:cs="Times New Roman"/>
          <w:b/>
          <w:bCs/>
          <w:color w:val="auto"/>
          <w:kern w:val="2"/>
          <w:sz w:val="21"/>
          <w:szCs w:val="21"/>
          <w:highlight w:val="none"/>
          <w:u w:val="none" w:color="auto"/>
          <w:lang w:val="en-US" w:eastAsia="zh-CN"/>
        </w:rPr>
        <w:t>4a类标准</w:t>
      </w:r>
      <w:r>
        <w:rPr>
          <w:rFonts w:hint="default" w:ascii="Times New Roman" w:hAnsi="Times New Roman" w:cs="Times New Roman"/>
          <w:b/>
          <w:bCs/>
          <w:color w:val="auto"/>
          <w:kern w:val="2"/>
          <w:sz w:val="21"/>
          <w:szCs w:val="21"/>
          <w:highlight w:val="none"/>
          <w:u w:val="none" w:color="auto"/>
          <w:lang w:eastAsia="zh-CN"/>
        </w:rPr>
        <w:t>：</w:t>
      </w:r>
    </w:p>
    <w:p>
      <w:pPr>
        <w:pageBreakBefore w:val="0"/>
        <w:kinsoku/>
        <w:wordWrap/>
        <w:overflowPunct/>
        <w:topLinePunct w:val="0"/>
        <w:bidi w:val="0"/>
        <w:adjustRightInd w:val="0"/>
        <w:snapToGrid w:val="0"/>
        <w:spacing w:line="360" w:lineRule="auto"/>
        <w:ind w:firstLine="420" w:firstLineChars="200"/>
        <w:rPr>
          <w:rFonts w:hint="eastAsia"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老渡口社区居民委员会及居民委员会旁居民</w:t>
      </w:r>
      <w:r>
        <w:rPr>
          <w:rFonts w:hint="eastAsia" w:cs="Times New Roman"/>
          <w:color w:val="auto"/>
          <w:kern w:val="2"/>
          <w:sz w:val="21"/>
          <w:szCs w:val="21"/>
          <w:highlight w:val="none"/>
          <w:u w:val="none" w:color="auto"/>
          <w:lang w:eastAsia="zh-CN"/>
        </w:rPr>
        <w:t>、</w:t>
      </w:r>
      <w:r>
        <w:rPr>
          <w:rFonts w:hint="default"/>
          <w:kern w:val="2"/>
          <w:sz w:val="21"/>
          <w:szCs w:val="21"/>
          <w:highlight w:val="none"/>
          <w:u w:val="none" w:color="auto"/>
          <w:lang w:val="en-US" w:eastAsia="zh-CN"/>
        </w:rPr>
        <w:t>梨头尖居民点</w:t>
      </w:r>
      <w:r>
        <w:rPr>
          <w:rFonts w:hint="default" w:ascii="Times New Roman" w:hAnsi="Times New Roman" w:cs="Times New Roman"/>
          <w:color w:val="auto"/>
          <w:kern w:val="2"/>
          <w:sz w:val="21"/>
          <w:szCs w:val="21"/>
          <w:highlight w:val="none"/>
          <w:u w:val="none" w:color="auto"/>
        </w:rPr>
        <w:t>营运近期、中期、远期昼间</w:t>
      </w:r>
      <w:r>
        <w:rPr>
          <w:rFonts w:hint="default" w:ascii="Times New Roman" w:hAnsi="Times New Roman" w:cs="Times New Roman"/>
          <w:color w:val="auto"/>
          <w:kern w:val="2"/>
          <w:sz w:val="21"/>
          <w:szCs w:val="21"/>
          <w:highlight w:val="none"/>
          <w:u w:val="none" w:color="auto"/>
          <w:lang w:val="en-US" w:eastAsia="zh-CN"/>
        </w:rPr>
        <w:t>夜间</w:t>
      </w:r>
      <w:r>
        <w:rPr>
          <w:rFonts w:hint="default" w:ascii="Times New Roman" w:hAnsi="Times New Roman" w:cs="Times New Roman"/>
          <w:color w:val="auto"/>
          <w:kern w:val="2"/>
          <w:sz w:val="21"/>
          <w:szCs w:val="21"/>
          <w:highlight w:val="none"/>
          <w:u w:val="none" w:color="auto"/>
        </w:rPr>
        <w:t>噪声预测值均能满足</w:t>
      </w:r>
      <w:r>
        <w:rPr>
          <w:rFonts w:hint="default" w:ascii="Times New Roman" w:hAnsi="Times New Roman" w:cs="Times New Roman"/>
          <w:color w:val="auto"/>
          <w:kern w:val="0"/>
          <w:sz w:val="21"/>
          <w:szCs w:val="21"/>
          <w:highlight w:val="none"/>
          <w:u w:val="none" w:color="auto"/>
          <w:lang w:bidi="ar"/>
        </w:rPr>
        <w:t>《声环境质量标准</w:t>
      </w:r>
      <w:r>
        <w:rPr>
          <w:rFonts w:hint="default" w:ascii="Times New Roman" w:hAnsi="Times New Roman" w:cs="Times New Roman"/>
          <w:color w:val="auto"/>
          <w:kern w:val="2"/>
          <w:sz w:val="21"/>
          <w:szCs w:val="21"/>
          <w:highlight w:val="none"/>
          <w:u w:val="none" w:color="auto"/>
        </w:rPr>
        <w:t>》（GB3096-2008）中</w:t>
      </w:r>
      <w:r>
        <w:rPr>
          <w:rFonts w:hint="default" w:ascii="Times New Roman" w:hAnsi="Times New Roman" w:cs="Times New Roman"/>
          <w:color w:val="auto"/>
          <w:kern w:val="2"/>
          <w:sz w:val="21"/>
          <w:szCs w:val="21"/>
          <w:highlight w:val="none"/>
          <w:u w:val="none" w:color="auto"/>
          <w:lang w:val="en-US" w:eastAsia="zh-CN"/>
        </w:rPr>
        <w:t>4a类</w:t>
      </w:r>
      <w:r>
        <w:rPr>
          <w:rFonts w:hint="default" w:ascii="Times New Roman" w:hAnsi="Times New Roman" w:cs="Times New Roman"/>
          <w:color w:val="auto"/>
          <w:kern w:val="2"/>
          <w:sz w:val="21"/>
          <w:szCs w:val="21"/>
          <w:highlight w:val="none"/>
          <w:u w:val="none" w:color="auto"/>
        </w:rPr>
        <w:t>质量标准要求</w:t>
      </w:r>
      <w:r>
        <w:rPr>
          <w:rFonts w:hint="eastAsia" w:cs="Times New Roman"/>
          <w:color w:val="auto"/>
          <w:kern w:val="2"/>
          <w:sz w:val="21"/>
          <w:szCs w:val="21"/>
          <w:highlight w:val="none"/>
          <w:u w:val="none" w:color="auto"/>
          <w:lang w:eastAsia="zh-CN"/>
        </w:rPr>
        <w:t>。</w:t>
      </w:r>
    </w:p>
    <w:p>
      <w:pPr>
        <w:pageBreakBefore w:val="0"/>
        <w:kinsoku/>
        <w:wordWrap/>
        <w:overflowPunct/>
        <w:topLinePunct w:val="0"/>
        <w:bidi w:val="0"/>
        <w:adjustRightInd w:val="0"/>
        <w:snapToGrid w:val="0"/>
        <w:spacing w:line="360" w:lineRule="auto"/>
        <w:ind w:firstLine="422" w:firstLineChars="200"/>
        <w:rPr>
          <w:rFonts w:hint="default" w:ascii="Times New Roman" w:hAnsi="Times New Roman" w:cs="Times New Roman"/>
          <w:color w:val="auto"/>
          <w:kern w:val="2"/>
          <w:sz w:val="21"/>
          <w:szCs w:val="21"/>
          <w:highlight w:val="none"/>
          <w:u w:val="none" w:color="auto"/>
          <w:lang w:eastAsia="zh-CN"/>
        </w:rPr>
      </w:pPr>
      <w:r>
        <w:rPr>
          <w:rFonts w:hint="default" w:ascii="Times New Roman" w:hAnsi="Times New Roman" w:cs="Times New Roman"/>
          <w:b/>
          <w:bCs/>
          <w:color w:val="auto"/>
          <w:kern w:val="2"/>
          <w:sz w:val="21"/>
          <w:szCs w:val="21"/>
          <w:highlight w:val="none"/>
          <w:u w:val="none" w:color="auto"/>
          <w:lang w:val="en-US" w:eastAsia="zh-CN"/>
        </w:rPr>
        <w:t>2类标准</w:t>
      </w:r>
      <w:r>
        <w:rPr>
          <w:rFonts w:hint="default" w:ascii="Times New Roman" w:hAnsi="Times New Roman" w:cs="Times New Roman"/>
          <w:color w:val="auto"/>
          <w:kern w:val="2"/>
          <w:sz w:val="21"/>
          <w:szCs w:val="21"/>
          <w:highlight w:val="none"/>
          <w:u w:val="none" w:color="auto"/>
          <w:lang w:eastAsia="zh-CN"/>
        </w:rPr>
        <w:t>：</w:t>
      </w:r>
    </w:p>
    <w:p>
      <w:pPr>
        <w:pageBreakBefore w:val="0"/>
        <w:kinsoku/>
        <w:wordWrap/>
        <w:overflowPunct/>
        <w:topLinePunct w:val="0"/>
        <w:bidi w:val="0"/>
        <w:adjustRightInd w:val="0"/>
        <w:snapToGrid w:val="0"/>
        <w:spacing w:line="360" w:lineRule="auto"/>
        <w:ind w:firstLine="420" w:firstLineChars="200"/>
        <w:rPr>
          <w:rFonts w:hint="default"/>
          <w:kern w:val="2"/>
          <w:sz w:val="21"/>
          <w:szCs w:val="21"/>
          <w:u w:val="none" w:color="auto"/>
          <w:lang w:val="en-US" w:eastAsia="zh-CN"/>
        </w:rPr>
      </w:pPr>
      <w:r>
        <w:rPr>
          <w:rFonts w:hint="eastAsia" w:ascii="Times New Roman" w:eastAsia="宋体"/>
          <w:kern w:val="2"/>
          <w:sz w:val="21"/>
          <w:szCs w:val="21"/>
          <w:highlight w:val="none"/>
          <w:u w:val="none" w:color="auto"/>
          <w:lang w:val="en-US" w:eastAsia="zh-CN"/>
        </w:rPr>
        <w:t>萍阳北路居民点、</w:t>
      </w:r>
      <w:r>
        <w:rPr>
          <w:rFonts w:hint="default"/>
          <w:kern w:val="2"/>
          <w:sz w:val="21"/>
          <w:szCs w:val="21"/>
          <w:highlight w:val="none"/>
          <w:u w:val="none" w:color="auto"/>
          <w:lang w:val="en-US" w:eastAsia="zh-CN"/>
        </w:rPr>
        <w:t>君诚学校</w:t>
      </w:r>
      <w:r>
        <w:rPr>
          <w:rFonts w:hint="eastAsia" w:ascii="Times New Roman" w:eastAsia="宋体"/>
          <w:kern w:val="2"/>
          <w:sz w:val="21"/>
          <w:szCs w:val="21"/>
          <w:highlight w:val="none"/>
          <w:u w:val="none" w:color="auto"/>
          <w:lang w:val="en-US" w:eastAsia="zh-CN"/>
        </w:rPr>
        <w:t>、</w:t>
      </w:r>
      <w:r>
        <w:rPr>
          <w:rFonts w:hint="default"/>
          <w:kern w:val="2"/>
          <w:sz w:val="21"/>
          <w:szCs w:val="21"/>
          <w:highlight w:val="none"/>
          <w:u w:val="none" w:color="auto"/>
          <w:lang w:val="en-US" w:eastAsia="zh-CN"/>
        </w:rPr>
        <w:t>原化工集团宿舍</w:t>
      </w:r>
      <w:r>
        <w:rPr>
          <w:rFonts w:hint="eastAsia" w:ascii="Times New Roman" w:eastAsia="宋体"/>
          <w:kern w:val="2"/>
          <w:sz w:val="21"/>
          <w:szCs w:val="21"/>
          <w:u w:val="none" w:color="auto"/>
          <w:lang w:val="en-US" w:eastAsia="zh-CN"/>
        </w:rPr>
        <w:t>营运近期、中期、远期昼间、夜间噪声预测值均能满足《声环境质量标准》（GB3096-2008）中2类质量标准要求。</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lang w:val="en-US" w:eastAsia="zh-CN"/>
        </w:rPr>
      </w:pPr>
    </w:p>
    <w:p>
      <w:pPr>
        <w:pageBreakBefore w:val="0"/>
        <w:kinsoku/>
        <w:wordWrap/>
        <w:overflowPunct/>
        <w:topLinePunct w:val="0"/>
        <w:bidi w:val="0"/>
        <w:adjustRightInd w:val="0"/>
        <w:snapToGrid w:val="0"/>
        <w:spacing w:line="360" w:lineRule="auto"/>
        <w:rPr>
          <w:rFonts w:hint="default" w:ascii="Times New Roman" w:hAnsi="Times New Roman" w:cs="Times New Roman"/>
          <w:color w:val="auto"/>
          <w:sz w:val="21"/>
          <w:szCs w:val="21"/>
          <w:highlight w:val="none"/>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keepNext/>
        <w:keepLines/>
        <w:pageBreakBefore w:val="0"/>
        <w:widowControl w:val="0"/>
        <w:numPr>
          <w:ilvl w:val="0"/>
          <w:numId w:val="3"/>
        </w:numPr>
        <w:kinsoku/>
        <w:wordWrap/>
        <w:overflowPunct/>
        <w:topLinePunct w:val="0"/>
        <w:bidi w:val="0"/>
        <w:adjustRightInd w:val="0"/>
        <w:snapToGrid w:val="0"/>
        <w:spacing w:line="360" w:lineRule="auto"/>
        <w:ind w:left="0" w:firstLine="0" w:firstLineChars="0"/>
        <w:jc w:val="both"/>
        <w:outlineLvl w:val="0"/>
        <w:rPr>
          <w:rFonts w:hint="default" w:ascii="Times New Roman" w:hAnsi="Times New Roman" w:eastAsia="宋体" w:cs="Times New Roman"/>
          <w:b/>
          <w:bCs/>
          <w:kern w:val="44"/>
          <w:sz w:val="21"/>
          <w:szCs w:val="21"/>
          <w:highlight w:val="none"/>
          <w:u w:val="none" w:color="auto"/>
          <w:lang w:val="en-US" w:eastAsia="zh-CN" w:bidi="ar-SA"/>
        </w:rPr>
      </w:pPr>
      <w:bookmarkStart w:id="117" w:name="_Toc6529"/>
      <w:bookmarkStart w:id="118" w:name="_Toc14724"/>
      <w:bookmarkStart w:id="119" w:name="_Toc11112"/>
      <w:r>
        <w:rPr>
          <w:rFonts w:hint="default" w:ascii="Times New Roman" w:hAnsi="Times New Roman" w:eastAsia="宋体" w:cs="Times New Roman"/>
          <w:b/>
          <w:bCs/>
          <w:kern w:val="44"/>
          <w:sz w:val="21"/>
          <w:szCs w:val="21"/>
          <w:highlight w:val="none"/>
          <w:u w:val="none" w:color="auto"/>
          <w:lang w:val="en-US" w:eastAsia="zh-CN" w:bidi="ar-SA"/>
        </w:rPr>
        <w:t>声环境防治对策</w:t>
      </w:r>
      <w:bookmarkEnd w:id="117"/>
      <w:bookmarkEnd w:id="118"/>
      <w:bookmarkEnd w:id="119"/>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施工期环境保护措施</w:t>
      </w:r>
    </w:p>
    <w:p>
      <w:pPr>
        <w:pageBreakBefore w:val="0"/>
        <w:kinsoku/>
        <w:wordWrap/>
        <w:overflowPunct/>
        <w:topLinePunct w:val="0"/>
        <w:bidi w:val="0"/>
        <w:adjustRightInd w:val="0"/>
        <w:snapToGrid w:val="0"/>
        <w:spacing w:line="360" w:lineRule="auto"/>
        <w:ind w:firstLine="420" w:firstLineChars="200"/>
        <w:rPr>
          <w:rFonts w:hint="default"/>
          <w:kern w:val="2"/>
          <w:sz w:val="21"/>
          <w:szCs w:val="21"/>
          <w:highlight w:val="none"/>
          <w:u w:val="none" w:color="auto"/>
        </w:rPr>
      </w:pPr>
      <w:r>
        <w:rPr>
          <w:rFonts w:hint="default"/>
          <w:kern w:val="2"/>
          <w:sz w:val="21"/>
          <w:szCs w:val="21"/>
          <w:highlight w:val="none"/>
          <w:u w:val="none" w:color="auto"/>
        </w:rPr>
        <w:t>（1）尽量采用低噪声机械设备，对超过国家标准的机械应禁止其入场施工，施工过程中还应经常对设备进行维修保养，避免由于设备性能变差而导致噪声增加。</w:t>
      </w:r>
    </w:p>
    <w:p>
      <w:pPr>
        <w:pageBreakBefore w:val="0"/>
        <w:kinsoku/>
        <w:wordWrap/>
        <w:overflowPunct/>
        <w:topLinePunct w:val="0"/>
        <w:bidi w:val="0"/>
        <w:adjustRightInd w:val="0"/>
        <w:snapToGrid w:val="0"/>
        <w:spacing w:line="360" w:lineRule="auto"/>
        <w:ind w:firstLine="420" w:firstLineChars="200"/>
        <w:rPr>
          <w:rFonts w:hint="default"/>
          <w:kern w:val="2"/>
          <w:sz w:val="21"/>
          <w:szCs w:val="21"/>
          <w:highlight w:val="none"/>
          <w:u w:val="none" w:color="auto"/>
        </w:rPr>
      </w:pPr>
      <w:r>
        <w:rPr>
          <w:rFonts w:hint="default"/>
          <w:kern w:val="2"/>
          <w:sz w:val="21"/>
          <w:szCs w:val="21"/>
          <w:highlight w:val="none"/>
          <w:u w:val="none" w:color="auto"/>
        </w:rPr>
        <w:t>（2）合理选择运输路线进行施工物资运输，应并尽量在昼间进行运输。此外，在途经敏感点时，应减速慢行，禁止鸣笛等。建设单位应对施工承包商的运输路线提出要求，要求承包商必须提供建材运输路线，并请环保监理或环保专业人员确认施工路线在减缓噪声影响方面的合理性。建设单位根据确定后的运输路线进行监督，并可联合地方环保部门加强监督力度。</w:t>
      </w:r>
    </w:p>
    <w:p>
      <w:pPr>
        <w:pageBreakBefore w:val="0"/>
        <w:kinsoku/>
        <w:wordWrap/>
        <w:overflowPunct/>
        <w:topLinePunct w:val="0"/>
        <w:bidi w:val="0"/>
        <w:adjustRightInd w:val="0"/>
        <w:snapToGrid w:val="0"/>
        <w:spacing w:line="360" w:lineRule="auto"/>
        <w:ind w:firstLine="420" w:firstLineChars="200"/>
        <w:rPr>
          <w:rFonts w:hint="default"/>
          <w:kern w:val="2"/>
          <w:sz w:val="21"/>
          <w:szCs w:val="21"/>
          <w:highlight w:val="none"/>
          <w:u w:val="none" w:color="auto"/>
        </w:rPr>
      </w:pPr>
      <w:r>
        <w:rPr>
          <w:rFonts w:hint="default"/>
          <w:kern w:val="2"/>
          <w:sz w:val="21"/>
          <w:szCs w:val="21"/>
          <w:highlight w:val="none"/>
          <w:u w:val="none" w:color="auto"/>
        </w:rPr>
        <w:t>（3）施工期噪声影响是短期行为，主要为夜间施工干扰居民休息，因此，高噪声施工机械夜间</w:t>
      </w:r>
      <w:r>
        <w:rPr>
          <w:rFonts w:hint="default"/>
          <w:kern w:val="2"/>
          <w:sz w:val="21"/>
          <w:szCs w:val="21"/>
          <w:highlight w:val="none"/>
          <w:u w:val="none" w:color="auto"/>
          <w:lang w:eastAsia="zh-CN"/>
        </w:rPr>
        <w:t>（</w:t>
      </w:r>
      <w:r>
        <w:rPr>
          <w:rFonts w:hint="default"/>
          <w:kern w:val="2"/>
          <w:sz w:val="21"/>
          <w:szCs w:val="21"/>
          <w:highlight w:val="none"/>
          <w:u w:val="none" w:color="auto"/>
        </w:rPr>
        <w:t>22:00至次日6:00）严禁在沿线的声环境敏感点附近施工；昼间施工时也要进行良好的施工管理和采取必要的降噪措施，考虑本项目周边环境敏感点较多，在项目临近敏感目标处施工时，施工机械运行时临近敏感目标侧设置临时声屏障围护，以符合《建筑施工场界环境噪声排放标准》相关标准；如必须连续施工作业的工点，施工单位应视具体情况及时向当地生态环境主管部门取得联系，按规定申领夜间施工证，同时发布公告最大限度地争取民众支持。</w:t>
      </w:r>
    </w:p>
    <w:p>
      <w:pPr>
        <w:pageBreakBefore w:val="0"/>
        <w:kinsoku/>
        <w:wordWrap/>
        <w:overflowPunct/>
        <w:topLinePunct w:val="0"/>
        <w:bidi w:val="0"/>
        <w:adjustRightInd w:val="0"/>
        <w:snapToGrid w:val="0"/>
        <w:spacing w:line="360" w:lineRule="auto"/>
        <w:ind w:firstLine="420" w:firstLineChars="200"/>
        <w:rPr>
          <w:rFonts w:hint="default"/>
          <w:kern w:val="2"/>
          <w:sz w:val="21"/>
          <w:szCs w:val="21"/>
          <w:highlight w:val="none"/>
          <w:u w:val="none" w:color="auto"/>
        </w:rPr>
      </w:pPr>
      <w:r>
        <w:rPr>
          <w:rFonts w:hint="default"/>
          <w:kern w:val="2"/>
          <w:sz w:val="21"/>
          <w:szCs w:val="21"/>
          <w:highlight w:val="none"/>
          <w:u w:val="none" w:color="auto"/>
        </w:rPr>
        <w:t>（4）加强施工期噪声监测，若发现噪声污染，及时采取有效的噪声污染防治措施。受施工噪声影响较重的敏感点在施工时，应在靠近敏感点进行施工作业时，施工场地应尽量远离敏感点，同时建议在施工场界距离敏感点一侧设置移动式声屏障，降低项目施工噪声对居民生活造成的不利影响。</w:t>
      </w:r>
    </w:p>
    <w:p>
      <w:pPr>
        <w:pageBreakBefore w:val="0"/>
        <w:kinsoku/>
        <w:wordWrap/>
        <w:overflowPunct/>
        <w:topLinePunct w:val="0"/>
        <w:bidi w:val="0"/>
        <w:adjustRightInd w:val="0"/>
        <w:snapToGrid w:val="0"/>
        <w:spacing w:line="360" w:lineRule="auto"/>
        <w:ind w:firstLine="420" w:firstLineChars="200"/>
        <w:rPr>
          <w:rFonts w:hint="default"/>
          <w:kern w:val="2"/>
          <w:sz w:val="21"/>
          <w:szCs w:val="21"/>
          <w:highlight w:val="none"/>
          <w:u w:val="none" w:color="auto"/>
        </w:rPr>
      </w:pPr>
      <w:r>
        <w:rPr>
          <w:rFonts w:hint="default"/>
          <w:kern w:val="2"/>
          <w:sz w:val="21"/>
          <w:szCs w:val="21"/>
          <w:highlight w:val="none"/>
          <w:u w:val="none" w:color="auto"/>
        </w:rPr>
        <w:t>（5）合理安排施工活动，尽量避免多台机械同时同地施工，合理设置施工营地和安排施工活动，防止施工噪声扰民。</w:t>
      </w:r>
    </w:p>
    <w:p>
      <w:pPr>
        <w:pageBreakBefore w:val="0"/>
        <w:kinsoku/>
        <w:wordWrap/>
        <w:overflowPunct/>
        <w:topLinePunct w:val="0"/>
        <w:bidi w:val="0"/>
        <w:adjustRightInd w:val="0"/>
        <w:snapToGrid w:val="0"/>
        <w:spacing w:line="360" w:lineRule="auto"/>
        <w:ind w:firstLine="420" w:firstLineChars="200"/>
        <w:rPr>
          <w:rFonts w:hint="default"/>
          <w:kern w:val="2"/>
          <w:sz w:val="21"/>
          <w:szCs w:val="21"/>
          <w:highlight w:val="none"/>
          <w:u w:val="none" w:color="auto"/>
        </w:rPr>
      </w:pPr>
      <w:r>
        <w:rPr>
          <w:rFonts w:hint="default"/>
          <w:kern w:val="2"/>
          <w:sz w:val="21"/>
          <w:szCs w:val="21"/>
          <w:highlight w:val="none"/>
          <w:u w:val="none" w:color="auto"/>
        </w:rPr>
        <w:t>在采取上述措施后，可以确保项目施工过程中，施工场界及周边敏感点声环境质量满足相应标准要求。</w:t>
      </w:r>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运营期环境保护措施</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敏感点保护措施</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kern w:val="2"/>
          <w:sz w:val="21"/>
          <w:szCs w:val="21"/>
          <w:u w:val="none" w:color="auto"/>
        </w:rPr>
      </w:pPr>
      <w:r>
        <w:rPr>
          <w:rFonts w:hint="default"/>
          <w:kern w:val="2"/>
          <w:sz w:val="21"/>
          <w:szCs w:val="21"/>
          <w:u w:val="none" w:color="auto"/>
        </w:rPr>
        <w:t>根据噪声预测及技术经济论证</w:t>
      </w:r>
      <w:r>
        <w:rPr>
          <w:rFonts w:hint="eastAsia" w:eastAsia="宋体"/>
          <w:kern w:val="2"/>
          <w:sz w:val="21"/>
          <w:szCs w:val="21"/>
          <w:u w:val="none" w:color="auto"/>
          <w:lang w:eastAsia="zh-CN"/>
        </w:rPr>
        <w:t>，</w:t>
      </w:r>
      <w:r>
        <w:rPr>
          <w:rFonts w:hint="default"/>
          <w:kern w:val="2"/>
          <w:sz w:val="21"/>
          <w:szCs w:val="21"/>
          <w:u w:val="none" w:color="auto"/>
        </w:rPr>
        <w:t xml:space="preserve">各类降噪措施对于本项目的适用性见表 </w:t>
      </w:r>
      <w:r>
        <w:rPr>
          <w:rFonts w:hint="eastAsia" w:ascii="Times New Roman" w:eastAsia="宋体"/>
          <w:kern w:val="2"/>
          <w:sz w:val="21"/>
          <w:szCs w:val="21"/>
          <w:u w:val="none" w:color="auto"/>
          <w:lang w:val="en-US" w:eastAsia="zh-CN"/>
        </w:rPr>
        <w:t>5.2-1</w:t>
      </w:r>
      <w:r>
        <w:rPr>
          <w:rFonts w:hint="default"/>
          <w:kern w:val="2"/>
          <w:sz w:val="21"/>
          <w:szCs w:val="21"/>
          <w:u w:val="none" w:color="auto"/>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ascii="Times New Roman" w:hAnsi="Times New Roman" w:eastAsia="宋体" w:cs="Times New Roman"/>
          <w:b/>
          <w:color w:val="000000"/>
          <w:kern w:val="21"/>
          <w:sz w:val="21"/>
          <w:szCs w:val="21"/>
          <w:u w:val="none" w:color="auto"/>
          <w:lang w:val="en-US" w:eastAsia="zh-CN" w:bidi="ar-SA"/>
        </w:rPr>
      </w:pPr>
      <w:r>
        <w:rPr>
          <w:rFonts w:ascii="Times New Roman" w:hAnsi="Times New Roman" w:eastAsia="宋体" w:cs="Times New Roman"/>
          <w:b/>
          <w:color w:val="000000"/>
          <w:kern w:val="21"/>
          <w:sz w:val="21"/>
          <w:szCs w:val="21"/>
          <w:u w:val="none" w:color="auto"/>
          <w:lang w:val="en-US" w:eastAsia="zh-CN" w:bidi="ar-SA"/>
        </w:rPr>
        <w:t>表</w:t>
      </w:r>
      <w:r>
        <w:rPr>
          <w:rFonts w:hint="eastAsia" w:ascii="Times New Roman" w:hAnsi="Times New Roman" w:eastAsia="宋体" w:cs="Times New Roman"/>
          <w:b/>
          <w:color w:val="000000"/>
          <w:kern w:val="21"/>
          <w:sz w:val="21"/>
          <w:szCs w:val="21"/>
          <w:u w:val="none" w:color="auto"/>
          <w:lang w:val="en-US" w:eastAsia="zh-CN" w:bidi="ar-SA"/>
        </w:rPr>
        <w:t>5.2-1</w:t>
      </w:r>
      <w:r>
        <w:rPr>
          <w:rFonts w:ascii="Times New Roman" w:hAnsi="Times New Roman" w:eastAsia="宋体" w:cs="Times New Roman"/>
          <w:b/>
          <w:color w:val="000000"/>
          <w:kern w:val="21"/>
          <w:sz w:val="21"/>
          <w:szCs w:val="21"/>
          <w:u w:val="none" w:color="auto"/>
          <w:lang w:val="en-US" w:eastAsia="zh-CN" w:bidi="ar-SA"/>
        </w:rPr>
        <w:t xml:space="preserve"> 常见噪声防治措施分析表</w:t>
      </w:r>
    </w:p>
    <w:tbl>
      <w:tblPr>
        <w:tblStyle w:val="267"/>
        <w:tblW w:w="8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0"/>
        <w:gridCol w:w="2569"/>
        <w:gridCol w:w="1013"/>
        <w:gridCol w:w="2018"/>
        <w:gridCol w:w="1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08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措施方案</w:t>
            </w:r>
          </w:p>
        </w:tc>
        <w:tc>
          <w:tcPr>
            <w:tcW w:w="256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适用情况</w:t>
            </w:r>
          </w:p>
        </w:tc>
        <w:tc>
          <w:tcPr>
            <w:tcW w:w="101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降噪效果</w:t>
            </w:r>
          </w:p>
        </w:tc>
        <w:tc>
          <w:tcPr>
            <w:tcW w:w="201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优点</w:t>
            </w:r>
          </w:p>
        </w:tc>
        <w:tc>
          <w:tcPr>
            <w:tcW w:w="1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08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住房搬迁</w:t>
            </w:r>
          </w:p>
        </w:tc>
        <w:tc>
          <w:tcPr>
            <w:tcW w:w="256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将超标的住户搬迁到不受噪声影响的地方</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适用于敏感点规模小</w:t>
            </w:r>
          </w:p>
        </w:tc>
        <w:tc>
          <w:tcPr>
            <w:tcW w:w="101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好</w:t>
            </w:r>
          </w:p>
        </w:tc>
        <w:tc>
          <w:tcPr>
            <w:tcW w:w="201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降噪彻底</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可以完全消除噪声影响</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但仅适用于零星分散超标的住户</w:t>
            </w:r>
          </w:p>
        </w:tc>
        <w:tc>
          <w:tcPr>
            <w:tcW w:w="1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费用较高</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适用性受到限制且对居民生活的影响较大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08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调整房屋使用功能</w:t>
            </w:r>
          </w:p>
        </w:tc>
        <w:tc>
          <w:tcPr>
            <w:tcW w:w="256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超标住户少且有置换条件的敏感点</w:t>
            </w:r>
          </w:p>
        </w:tc>
        <w:tc>
          <w:tcPr>
            <w:tcW w:w="101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较好</w:t>
            </w:r>
          </w:p>
        </w:tc>
        <w:tc>
          <w:tcPr>
            <w:tcW w:w="201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降噪较好</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基本消除噪声影响</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对居民生活的影响较小</w:t>
            </w:r>
          </w:p>
        </w:tc>
        <w:tc>
          <w:tcPr>
            <w:tcW w:w="1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受现有房屋布局的限制较大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08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声屏障</w:t>
            </w:r>
          </w:p>
        </w:tc>
        <w:tc>
          <w:tcPr>
            <w:tcW w:w="256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在路边修建一定高度、长度的声屏障</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适用于超标严重、距路较近的集中敏感点</w:t>
            </w:r>
          </w:p>
        </w:tc>
        <w:tc>
          <w:tcPr>
            <w:tcW w:w="101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5～12dB</w:t>
            </w:r>
          </w:p>
        </w:tc>
        <w:tc>
          <w:tcPr>
            <w:tcW w:w="201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效果较好</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直接设在道路路肩</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易于实施且受益人口多</w:t>
            </w:r>
          </w:p>
        </w:tc>
        <w:tc>
          <w:tcPr>
            <w:tcW w:w="1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投资较高</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某些形式的声屏障对景观产生影响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08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修建或加高围墙</w:t>
            </w:r>
          </w:p>
        </w:tc>
        <w:tc>
          <w:tcPr>
            <w:tcW w:w="256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适用于超标量小、距离路较近的敏感点</w:t>
            </w:r>
          </w:p>
        </w:tc>
        <w:tc>
          <w:tcPr>
            <w:tcW w:w="101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3～5dB</w:t>
            </w:r>
          </w:p>
        </w:tc>
        <w:tc>
          <w:tcPr>
            <w:tcW w:w="201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效果一般</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费用较低</w:t>
            </w:r>
          </w:p>
        </w:tc>
        <w:tc>
          <w:tcPr>
            <w:tcW w:w="1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降噪能力有限</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适用范围小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08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断桥铝双层隔声窗</w:t>
            </w:r>
          </w:p>
        </w:tc>
        <w:tc>
          <w:tcPr>
            <w:tcW w:w="256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适用于房屋分布分散受较严重影响的敏感点</w:t>
            </w:r>
          </w:p>
        </w:tc>
        <w:tc>
          <w:tcPr>
            <w:tcW w:w="101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25dB以上</w:t>
            </w:r>
          </w:p>
        </w:tc>
        <w:tc>
          <w:tcPr>
            <w:tcW w:w="201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效果较好</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费用适中</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适用性强</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对居民生活影响小</w:t>
            </w:r>
          </w:p>
        </w:tc>
        <w:tc>
          <w:tcPr>
            <w:tcW w:w="1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要求房屋结构好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08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限速</w:t>
            </w:r>
          </w:p>
        </w:tc>
        <w:tc>
          <w:tcPr>
            <w:tcW w:w="256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适用于超标量小</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距离路较近</w:t>
            </w:r>
          </w:p>
        </w:tc>
        <w:tc>
          <w:tcPr>
            <w:tcW w:w="101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2~5dB(A)</w:t>
            </w:r>
          </w:p>
        </w:tc>
        <w:tc>
          <w:tcPr>
            <w:tcW w:w="201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效果较好</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费用较低</w:t>
            </w:r>
          </w:p>
        </w:tc>
        <w:tc>
          <w:tcPr>
            <w:tcW w:w="1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受车辆驾驶人、驾驶速度的影响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08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跟踪监测、预留费用</w:t>
            </w:r>
          </w:p>
        </w:tc>
        <w:tc>
          <w:tcPr>
            <w:tcW w:w="256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超标量小</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距离较远</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房屋分散的敏感点</w:t>
            </w:r>
          </w:p>
        </w:tc>
        <w:tc>
          <w:tcPr>
            <w:tcW w:w="101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w:t>
            </w:r>
          </w:p>
        </w:tc>
        <w:tc>
          <w:tcPr>
            <w:tcW w:w="201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效果较好</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费用有效利用率高</w:t>
            </w:r>
          </w:p>
        </w:tc>
        <w:tc>
          <w:tcPr>
            <w:tcW w:w="1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费用的留存较难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08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绿化降噪林</w:t>
            </w:r>
          </w:p>
        </w:tc>
        <w:tc>
          <w:tcPr>
            <w:tcW w:w="256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噪声超标轻微、有绿化条件的集中居民点或学校、医院</w:t>
            </w:r>
          </w:p>
        </w:tc>
        <w:tc>
          <w:tcPr>
            <w:tcW w:w="1013"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20m宽绿化带可降噪2~3dB(A)</w:t>
            </w:r>
          </w:p>
        </w:tc>
        <w:tc>
          <w:tcPr>
            <w:tcW w:w="2018"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既可降噪</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又可净化空气、美化路容</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改善生态</w:t>
            </w:r>
          </w:p>
        </w:tc>
        <w:tc>
          <w:tcPr>
            <w:tcW w:w="1675"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占用土地面积较</w:t>
            </w:r>
          </w:p>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ascii="Times New Roman" w:hAnsi="Times New Roman" w:eastAsia="宋体" w:cs="Times New Roman"/>
                <w:kern w:val="2"/>
                <w:sz w:val="21"/>
                <w:szCs w:val="21"/>
                <w:u w:val="none" w:color="auto"/>
                <w:lang w:val="en-US" w:eastAsia="zh-CN" w:bidi="ar-SA"/>
              </w:rPr>
            </w:pPr>
            <w:r>
              <w:rPr>
                <w:rFonts w:ascii="Times New Roman" w:hAnsi="Times New Roman" w:eastAsia="宋体" w:cs="Times New Roman"/>
                <w:kern w:val="2"/>
                <w:sz w:val="21"/>
                <w:szCs w:val="21"/>
                <w:u w:val="none" w:color="auto"/>
                <w:lang w:val="en-US" w:eastAsia="zh-CN" w:bidi="ar-SA"/>
              </w:rPr>
              <w:t>大</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要达到一定降噪效果需较长时间</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降噪效果季节性变化大</w:t>
            </w:r>
            <w:r>
              <w:rPr>
                <w:rFonts w:hint="eastAsia" w:ascii="Times New Roman" w:hAnsi="Times New Roman" w:eastAsia="宋体" w:cs="Times New Roman"/>
                <w:kern w:val="2"/>
                <w:sz w:val="21"/>
                <w:szCs w:val="21"/>
                <w:u w:val="none" w:color="auto"/>
                <w:lang w:val="en-US" w:eastAsia="zh-CN" w:bidi="ar-SA"/>
              </w:rPr>
              <w:t>，</w:t>
            </w:r>
            <w:r>
              <w:rPr>
                <w:rFonts w:ascii="Times New Roman" w:hAnsi="Times New Roman" w:eastAsia="宋体" w:cs="Times New Roman"/>
                <w:kern w:val="2"/>
                <w:sz w:val="21"/>
                <w:szCs w:val="21"/>
                <w:u w:val="none" w:color="auto"/>
                <w:lang w:val="en-US" w:eastAsia="zh-CN" w:bidi="ar-SA"/>
              </w:rPr>
              <w:t>适用性受到限制</w:t>
            </w:r>
          </w:p>
        </w:tc>
      </w:tr>
    </w:tbl>
    <w:p>
      <w:pPr>
        <w:pageBreakBefore w:val="0"/>
        <w:kinsoku/>
        <w:wordWrap/>
        <w:overflowPunct/>
        <w:topLinePunct w:val="0"/>
        <w:bidi w:val="0"/>
        <w:adjustRightInd w:val="0"/>
        <w:snapToGrid w:val="0"/>
        <w:spacing w:line="360" w:lineRule="auto"/>
        <w:ind w:firstLine="420" w:firstLineChars="200"/>
        <w:rPr>
          <w:rFonts w:hint="default" w:eastAsia="宋体"/>
          <w:kern w:val="2"/>
          <w:sz w:val="21"/>
          <w:szCs w:val="21"/>
          <w:u w:val="single" w:color="auto"/>
          <w:lang w:val="en-US" w:eastAsia="zh-CN"/>
        </w:rPr>
      </w:pPr>
      <w:r>
        <w:rPr>
          <w:rFonts w:hint="eastAsia" w:ascii="Times New Roman" w:eastAsia="宋体"/>
          <w:kern w:val="2"/>
          <w:sz w:val="21"/>
          <w:szCs w:val="21"/>
          <w:u w:val="single" w:color="auto"/>
          <w:lang w:val="en-US" w:eastAsia="zh-CN"/>
        </w:rPr>
        <w:t>根据表4-7、表4-8</w:t>
      </w:r>
      <w:r>
        <w:rPr>
          <w:rFonts w:hint="default"/>
          <w:kern w:val="2"/>
          <w:sz w:val="21"/>
          <w:szCs w:val="21"/>
          <w:u w:val="single" w:color="auto"/>
        </w:rPr>
        <w:t>声环境敏感点环境噪声预测结果</w:t>
      </w:r>
      <w:r>
        <w:rPr>
          <w:rFonts w:hint="eastAsia" w:ascii="Times New Roman" w:eastAsia="宋体"/>
          <w:kern w:val="2"/>
          <w:sz w:val="21"/>
          <w:szCs w:val="21"/>
          <w:u w:val="single" w:color="auto"/>
          <w:lang w:val="en-US" w:eastAsia="zh-CN"/>
        </w:rPr>
        <w:t>及达标分析，本项目</w:t>
      </w:r>
      <w:r>
        <w:rPr>
          <w:rFonts w:hint="default"/>
          <w:kern w:val="2"/>
          <w:sz w:val="21"/>
          <w:szCs w:val="21"/>
          <w:u w:val="single" w:color="auto"/>
        </w:rPr>
        <w:t>声环境敏感点</w:t>
      </w:r>
      <w:r>
        <w:rPr>
          <w:rFonts w:hint="eastAsia" w:ascii="Times New Roman" w:eastAsia="宋体"/>
          <w:kern w:val="2"/>
          <w:sz w:val="21"/>
          <w:szCs w:val="21"/>
          <w:u w:val="single" w:color="auto"/>
          <w:lang w:val="en-US" w:eastAsia="zh-CN"/>
        </w:rPr>
        <w:t>营运近期、中期、远期昼间、夜间噪声均可以满足声环境质量标准的相应标准要求。</w:t>
      </w:r>
    </w:p>
    <w:p>
      <w:pPr>
        <w:pageBreakBefore w:val="0"/>
        <w:kinsoku/>
        <w:wordWrap/>
        <w:overflowPunct/>
        <w:topLinePunct w:val="0"/>
        <w:bidi w:val="0"/>
        <w:adjustRightInd w:val="0"/>
        <w:snapToGrid w:val="0"/>
        <w:spacing w:line="360" w:lineRule="auto"/>
        <w:ind w:firstLine="420" w:firstLineChars="200"/>
        <w:rPr>
          <w:rFonts w:hint="default" w:eastAsia="宋体"/>
          <w:kern w:val="2"/>
          <w:sz w:val="21"/>
          <w:szCs w:val="21"/>
          <w:u w:val="single" w:color="auto"/>
          <w:lang w:val="en-US" w:eastAsia="zh-CN"/>
        </w:rPr>
      </w:pPr>
      <w:r>
        <w:rPr>
          <w:rFonts w:hint="eastAsia" w:eastAsia="宋体"/>
          <w:kern w:val="2"/>
          <w:sz w:val="21"/>
          <w:szCs w:val="21"/>
          <w:u w:val="single" w:color="auto"/>
          <w:lang w:val="en-US" w:eastAsia="zh-CN"/>
        </w:rPr>
        <w:t>考虑到目前</w:t>
      </w:r>
      <w:r>
        <w:rPr>
          <w:rFonts w:hint="eastAsia" w:ascii="Times New Roman" w:eastAsia="宋体"/>
          <w:kern w:val="2"/>
          <w:sz w:val="21"/>
          <w:szCs w:val="21"/>
          <w:u w:val="single" w:color="auto"/>
          <w:lang w:val="en-US" w:eastAsia="zh-CN"/>
        </w:rPr>
        <w:t>近期、中期、</w:t>
      </w:r>
      <w:r>
        <w:rPr>
          <w:rFonts w:hint="eastAsia" w:eastAsia="宋体"/>
          <w:kern w:val="2"/>
          <w:sz w:val="21"/>
          <w:szCs w:val="21"/>
          <w:u w:val="single" w:color="auto"/>
          <w:lang w:val="en-US" w:eastAsia="zh-CN"/>
        </w:rPr>
        <w:t>远期车流量仅是预测车流量，实际营运过程中情况可能发生较大变化，对于噪声预测结果也存在较大的不确定性</w:t>
      </w:r>
      <w:r>
        <w:rPr>
          <w:rFonts w:hint="eastAsia" w:ascii="Times New Roman" w:eastAsia="宋体"/>
          <w:kern w:val="2"/>
          <w:sz w:val="21"/>
          <w:szCs w:val="21"/>
          <w:u w:val="single" w:color="auto"/>
          <w:lang w:val="en-US" w:eastAsia="zh-CN"/>
        </w:rPr>
        <w:t>，故本次评价建议建设单位采取以下措施进一步确保噪声满足指标标准限值：</w:t>
      </w:r>
    </w:p>
    <w:p>
      <w:pPr>
        <w:pageBreakBefore w:val="0"/>
        <w:kinsoku/>
        <w:wordWrap/>
        <w:overflowPunct/>
        <w:topLinePunct w:val="0"/>
        <w:bidi w:val="0"/>
        <w:adjustRightInd w:val="0"/>
        <w:snapToGrid w:val="0"/>
        <w:spacing w:line="360" w:lineRule="auto"/>
        <w:ind w:firstLine="420" w:firstLineChars="200"/>
        <w:rPr>
          <w:rFonts w:hint="default"/>
          <w:kern w:val="2"/>
          <w:sz w:val="21"/>
          <w:szCs w:val="21"/>
          <w:u w:val="single" w:color="auto"/>
        </w:rPr>
      </w:pPr>
      <w:r>
        <w:rPr>
          <w:rFonts w:hint="eastAsia" w:ascii="Times New Roman" w:eastAsia="宋体"/>
          <w:kern w:val="2"/>
          <w:sz w:val="21"/>
          <w:szCs w:val="21"/>
          <w:u w:val="single" w:color="auto"/>
          <w:lang w:val="en-US" w:eastAsia="zh-CN"/>
        </w:rPr>
        <w:t>①</w:t>
      </w:r>
      <w:r>
        <w:rPr>
          <w:rFonts w:hint="default"/>
          <w:kern w:val="2"/>
          <w:sz w:val="21"/>
          <w:szCs w:val="21"/>
          <w:u w:val="single" w:color="auto"/>
        </w:rPr>
        <w:t>加强道路交通管理</w:t>
      </w:r>
      <w:r>
        <w:rPr>
          <w:rFonts w:hint="eastAsia" w:eastAsia="宋体"/>
          <w:kern w:val="2"/>
          <w:sz w:val="21"/>
          <w:szCs w:val="21"/>
          <w:u w:val="single" w:color="auto"/>
          <w:lang w:eastAsia="zh-CN"/>
        </w:rPr>
        <w:t>，</w:t>
      </w:r>
      <w:r>
        <w:rPr>
          <w:rFonts w:hint="default"/>
          <w:kern w:val="2"/>
          <w:sz w:val="21"/>
          <w:szCs w:val="21"/>
          <w:u w:val="single" w:color="auto"/>
        </w:rPr>
        <w:t>如限制性能差的车辆进入道路</w:t>
      </w:r>
      <w:r>
        <w:rPr>
          <w:rFonts w:hint="eastAsia" w:eastAsia="宋体"/>
          <w:kern w:val="2"/>
          <w:sz w:val="21"/>
          <w:szCs w:val="21"/>
          <w:u w:val="single" w:color="auto"/>
          <w:lang w:eastAsia="zh-CN"/>
        </w:rPr>
        <w:t>，</w:t>
      </w:r>
      <w:r>
        <w:rPr>
          <w:rFonts w:hint="default"/>
          <w:kern w:val="2"/>
          <w:sz w:val="21"/>
          <w:szCs w:val="21"/>
          <w:u w:val="single" w:color="auto"/>
        </w:rPr>
        <w:t>在重要敏感点附近路段设置限速、禁鸣标志</w:t>
      </w:r>
      <w:r>
        <w:rPr>
          <w:rFonts w:hint="eastAsia" w:eastAsia="宋体"/>
          <w:kern w:val="2"/>
          <w:sz w:val="21"/>
          <w:szCs w:val="21"/>
          <w:u w:val="single" w:color="auto"/>
          <w:lang w:eastAsia="zh-CN"/>
        </w:rPr>
        <w:t>，</w:t>
      </w:r>
      <w:r>
        <w:rPr>
          <w:rFonts w:hint="default"/>
          <w:kern w:val="2"/>
          <w:sz w:val="21"/>
          <w:szCs w:val="21"/>
          <w:u w:val="single" w:color="auto"/>
        </w:rPr>
        <w:t>设置限速摄像头</w:t>
      </w:r>
      <w:r>
        <w:rPr>
          <w:rFonts w:hint="eastAsia" w:eastAsia="宋体"/>
          <w:kern w:val="2"/>
          <w:sz w:val="21"/>
          <w:szCs w:val="21"/>
          <w:u w:val="single" w:color="auto"/>
          <w:lang w:eastAsia="zh-CN"/>
        </w:rPr>
        <w:t>，</w:t>
      </w:r>
      <w:r>
        <w:rPr>
          <w:rFonts w:hint="default"/>
          <w:kern w:val="2"/>
          <w:sz w:val="21"/>
          <w:szCs w:val="21"/>
          <w:u w:val="single" w:color="auto"/>
        </w:rPr>
        <w:t>可以有效控制交通噪声的污染</w:t>
      </w:r>
      <w:r>
        <w:rPr>
          <w:rFonts w:hint="eastAsia" w:eastAsia="宋体"/>
          <w:kern w:val="2"/>
          <w:sz w:val="21"/>
          <w:szCs w:val="21"/>
          <w:u w:val="single" w:color="auto"/>
          <w:lang w:eastAsia="zh-CN"/>
        </w:rPr>
        <w:t>，</w:t>
      </w:r>
      <w:r>
        <w:rPr>
          <w:rFonts w:hint="default"/>
          <w:kern w:val="2"/>
          <w:sz w:val="21"/>
          <w:szCs w:val="21"/>
          <w:u w:val="single" w:color="auto"/>
        </w:rPr>
        <w:t>减少交通噪声扰民问题。</w:t>
      </w:r>
    </w:p>
    <w:p>
      <w:pPr>
        <w:pageBreakBefore w:val="0"/>
        <w:kinsoku/>
        <w:wordWrap/>
        <w:overflowPunct/>
        <w:topLinePunct w:val="0"/>
        <w:bidi w:val="0"/>
        <w:adjustRightInd w:val="0"/>
        <w:snapToGrid w:val="0"/>
        <w:spacing w:line="360" w:lineRule="auto"/>
        <w:ind w:firstLine="420" w:firstLineChars="200"/>
        <w:rPr>
          <w:rFonts w:hint="default"/>
          <w:kern w:val="2"/>
          <w:sz w:val="21"/>
          <w:szCs w:val="21"/>
          <w:u w:val="single" w:color="auto"/>
        </w:rPr>
      </w:pPr>
      <w:r>
        <w:rPr>
          <w:rFonts w:hint="eastAsia" w:ascii="Times New Roman" w:eastAsia="宋体"/>
          <w:kern w:val="2"/>
          <w:sz w:val="21"/>
          <w:szCs w:val="21"/>
          <w:u w:val="single" w:color="auto"/>
          <w:lang w:val="en-US" w:eastAsia="zh-CN"/>
        </w:rPr>
        <w:t>②</w:t>
      </w:r>
      <w:r>
        <w:rPr>
          <w:rFonts w:hint="default"/>
          <w:kern w:val="2"/>
          <w:sz w:val="21"/>
          <w:szCs w:val="21"/>
          <w:u w:val="single" w:color="auto"/>
        </w:rPr>
        <w:t>维持道路路面的平整度</w:t>
      </w:r>
      <w:r>
        <w:rPr>
          <w:rFonts w:hint="eastAsia" w:eastAsia="宋体"/>
          <w:kern w:val="2"/>
          <w:sz w:val="21"/>
          <w:szCs w:val="21"/>
          <w:u w:val="single" w:color="auto"/>
          <w:lang w:eastAsia="zh-CN"/>
        </w:rPr>
        <w:t>，</w:t>
      </w:r>
      <w:r>
        <w:rPr>
          <w:rFonts w:hint="default"/>
          <w:kern w:val="2"/>
          <w:sz w:val="21"/>
          <w:szCs w:val="21"/>
          <w:u w:val="single" w:color="auto"/>
        </w:rPr>
        <w:t>避免因路况不佳造成车辆颠簸等引起交通噪声。</w:t>
      </w:r>
    </w:p>
    <w:p>
      <w:pPr>
        <w:pageBreakBefore w:val="0"/>
        <w:kinsoku/>
        <w:wordWrap/>
        <w:overflowPunct/>
        <w:topLinePunct w:val="0"/>
        <w:bidi w:val="0"/>
        <w:adjustRightInd w:val="0"/>
        <w:snapToGrid w:val="0"/>
        <w:spacing w:line="360" w:lineRule="auto"/>
        <w:ind w:firstLine="420" w:firstLineChars="200"/>
        <w:rPr>
          <w:rFonts w:hint="default"/>
          <w:kern w:val="2"/>
          <w:sz w:val="21"/>
          <w:szCs w:val="21"/>
          <w:u w:val="single" w:color="auto"/>
        </w:rPr>
      </w:pPr>
      <w:r>
        <w:rPr>
          <w:rFonts w:hint="eastAsia" w:ascii="Times New Roman" w:eastAsia="宋体"/>
          <w:kern w:val="2"/>
          <w:sz w:val="21"/>
          <w:szCs w:val="21"/>
          <w:u w:val="single" w:color="auto"/>
          <w:lang w:val="en-US" w:eastAsia="zh-CN"/>
        </w:rPr>
        <w:t>③</w:t>
      </w:r>
      <w:r>
        <w:rPr>
          <w:rFonts w:hint="default"/>
          <w:kern w:val="2"/>
          <w:sz w:val="21"/>
          <w:szCs w:val="21"/>
          <w:u w:val="single" w:color="auto"/>
        </w:rPr>
        <w:t>结合当地生态建设规划</w:t>
      </w:r>
      <w:r>
        <w:rPr>
          <w:rFonts w:hint="eastAsia" w:eastAsia="宋体"/>
          <w:kern w:val="2"/>
          <w:sz w:val="21"/>
          <w:szCs w:val="21"/>
          <w:u w:val="single" w:color="auto"/>
          <w:lang w:eastAsia="zh-CN"/>
        </w:rPr>
        <w:t>，</w:t>
      </w:r>
      <w:r>
        <w:rPr>
          <w:rFonts w:hint="default"/>
          <w:kern w:val="2"/>
          <w:sz w:val="21"/>
          <w:szCs w:val="21"/>
          <w:u w:val="single" w:color="auto"/>
        </w:rPr>
        <w:t>加强工程征地范围内可绿化地段的绿化工作</w:t>
      </w:r>
    </w:p>
    <w:p>
      <w:pPr>
        <w:pageBreakBefore w:val="0"/>
        <w:kinsoku/>
        <w:wordWrap/>
        <w:overflowPunct/>
        <w:topLinePunct w:val="0"/>
        <w:bidi w:val="0"/>
        <w:adjustRightInd w:val="0"/>
        <w:snapToGrid w:val="0"/>
        <w:spacing w:line="360" w:lineRule="auto"/>
        <w:ind w:firstLine="420" w:firstLineChars="200"/>
        <w:rPr>
          <w:rFonts w:hint="eastAsia" w:eastAsia="宋体"/>
          <w:kern w:val="2"/>
          <w:sz w:val="21"/>
          <w:szCs w:val="21"/>
          <w:u w:val="single" w:color="auto"/>
          <w:lang w:val="en-US" w:eastAsia="zh-CN"/>
        </w:rPr>
      </w:pPr>
      <w:r>
        <w:rPr>
          <w:rFonts w:hint="eastAsia" w:ascii="Times New Roman" w:eastAsia="宋体"/>
          <w:kern w:val="2"/>
          <w:sz w:val="21"/>
          <w:szCs w:val="21"/>
          <w:u w:val="single" w:color="auto"/>
          <w:lang w:val="en-US" w:eastAsia="zh-CN"/>
        </w:rPr>
        <w:t>④营运期进行跟踪监测，确保敏感点满足声环境质量标准。</w:t>
      </w:r>
    </w:p>
    <w:p>
      <w:pPr>
        <w:pageBreakBefore w:val="0"/>
        <w:kinsoku/>
        <w:wordWrap/>
        <w:overflowPunct/>
        <w:topLinePunct w:val="0"/>
        <w:bidi w:val="0"/>
        <w:adjustRightInd w:val="0"/>
        <w:snapToGrid w:val="0"/>
        <w:spacing w:line="360" w:lineRule="auto"/>
        <w:ind w:firstLine="420" w:firstLineChars="200"/>
        <w:rPr>
          <w:rFonts w:hint="eastAsia" w:eastAsia="宋体"/>
          <w:kern w:val="2"/>
          <w:sz w:val="21"/>
          <w:szCs w:val="21"/>
          <w:u w:val="single" w:color="auto"/>
          <w:lang w:val="en-US" w:eastAsia="zh-CN"/>
        </w:rPr>
      </w:pPr>
      <w:r>
        <w:rPr>
          <w:rFonts w:hint="eastAsia" w:ascii="Times New Roman" w:eastAsia="宋体"/>
          <w:kern w:val="2"/>
          <w:sz w:val="21"/>
          <w:szCs w:val="21"/>
          <w:u w:val="single" w:color="auto"/>
          <w:lang w:val="en-US" w:eastAsia="zh-CN"/>
        </w:rPr>
        <w:t>⑤项目实施后建设的声环境敏感建筑物在设计过程中优化功能布局，将声环境敏感的建筑物布设在远离道路的一侧，降低道路对声环境敏感目标的噪声影响。</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single" w:color="auto"/>
          <w:lang w:val="en-US" w:eastAsia="zh-CN" w:bidi="ar-SA"/>
        </w:rPr>
      </w:pPr>
      <w:r>
        <w:rPr>
          <w:rFonts w:hint="default" w:ascii="Times New Roman" w:hAnsi="Times New Roman" w:eastAsia="宋体" w:cs="Times New Roman"/>
          <w:b/>
          <w:bCs/>
          <w:kern w:val="2"/>
          <w:sz w:val="21"/>
          <w:szCs w:val="21"/>
          <w:highlight w:val="none"/>
          <w:u w:val="single" w:color="auto"/>
          <w:lang w:val="en-US" w:eastAsia="zh-CN" w:bidi="ar-SA"/>
        </w:rPr>
        <w:t>规划防治对策</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single" w:color="auto"/>
        </w:rPr>
      </w:pPr>
      <w:r>
        <w:rPr>
          <w:rFonts w:hint="default" w:ascii="Times New Roman" w:hAnsi="Times New Roman" w:cs="Times New Roman"/>
          <w:color w:val="auto"/>
          <w:kern w:val="2"/>
          <w:sz w:val="21"/>
          <w:szCs w:val="21"/>
          <w:highlight w:val="none"/>
          <w:u w:val="single" w:color="auto"/>
        </w:rPr>
        <w:t>（1）片区相关管理部门应对交通噪声进行综合管控，结合城市总体规划和片区相关规划，要求工程路面运行车辆采用低噪声车辆，电动运行车辆的比例逐渐增加。</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single" w:color="auto"/>
        </w:rPr>
      </w:pPr>
      <w:r>
        <w:rPr>
          <w:rFonts w:hint="default" w:ascii="Times New Roman" w:hAnsi="Times New Roman" w:cs="Times New Roman"/>
          <w:color w:val="auto"/>
          <w:kern w:val="2"/>
          <w:sz w:val="21"/>
          <w:szCs w:val="21"/>
          <w:highlight w:val="none"/>
          <w:u w:val="single" w:color="auto"/>
        </w:rPr>
        <w:t>（2）</w:t>
      </w:r>
      <w:r>
        <w:rPr>
          <w:rFonts w:hint="default" w:ascii="Times New Roman" w:hAnsi="Times New Roman" w:cs="Times New Roman"/>
          <w:color w:val="auto"/>
          <w:kern w:val="0"/>
          <w:sz w:val="21"/>
          <w:szCs w:val="21"/>
          <w:highlight w:val="none"/>
          <w:u w:val="single" w:color="auto"/>
        </w:rPr>
        <w:t>根据《湖南省实施</w:t>
      </w:r>
      <w:r>
        <w:rPr>
          <w:rFonts w:hint="eastAsia" w:cs="Times New Roman"/>
          <w:color w:val="auto"/>
          <w:kern w:val="0"/>
          <w:sz w:val="21"/>
          <w:szCs w:val="21"/>
          <w:highlight w:val="none"/>
          <w:u w:val="single" w:color="auto"/>
          <w:lang w:eastAsia="zh-CN"/>
        </w:rPr>
        <w:t>〈</w:t>
      </w:r>
      <w:r>
        <w:rPr>
          <w:rFonts w:hint="default" w:ascii="Times New Roman" w:hAnsi="Times New Roman" w:cs="Times New Roman"/>
          <w:color w:val="auto"/>
          <w:kern w:val="0"/>
          <w:sz w:val="21"/>
          <w:szCs w:val="21"/>
          <w:highlight w:val="none"/>
          <w:u w:val="single" w:color="auto"/>
        </w:rPr>
        <w:t>中华人民共和国公路法</w:t>
      </w:r>
      <w:r>
        <w:rPr>
          <w:rFonts w:hint="eastAsia" w:cs="Times New Roman"/>
          <w:color w:val="auto"/>
          <w:kern w:val="0"/>
          <w:sz w:val="21"/>
          <w:szCs w:val="21"/>
          <w:highlight w:val="none"/>
          <w:u w:val="single" w:color="auto"/>
          <w:lang w:eastAsia="zh-CN"/>
        </w:rPr>
        <w:t>〉</w:t>
      </w:r>
      <w:r>
        <w:rPr>
          <w:rFonts w:hint="default" w:ascii="Times New Roman" w:hAnsi="Times New Roman" w:cs="Times New Roman"/>
          <w:color w:val="auto"/>
          <w:kern w:val="0"/>
          <w:sz w:val="21"/>
          <w:szCs w:val="21"/>
          <w:highlight w:val="none"/>
          <w:u w:val="single" w:color="auto"/>
        </w:rPr>
        <w:t>办法》的要求，结合预测结果，地方政府在进行沿线城镇土地规划建设时，应考虑交通噪声的影响，</w:t>
      </w:r>
      <w:r>
        <w:rPr>
          <w:rFonts w:hint="eastAsia" w:cs="Times New Roman"/>
          <w:color w:val="auto"/>
          <w:kern w:val="0"/>
          <w:sz w:val="21"/>
          <w:szCs w:val="21"/>
          <w:highlight w:val="none"/>
          <w:u w:val="single" w:color="auto"/>
          <w:lang w:val="en-US" w:eastAsia="zh-CN"/>
        </w:rPr>
        <w:t>98</w:t>
      </w:r>
      <w:r>
        <w:rPr>
          <w:rFonts w:hint="default" w:ascii="Times New Roman" w:hAnsi="Times New Roman" w:cs="Times New Roman"/>
          <w:color w:val="auto"/>
          <w:kern w:val="0"/>
          <w:sz w:val="21"/>
          <w:szCs w:val="21"/>
          <w:highlight w:val="none"/>
          <w:u w:val="single" w:color="auto"/>
        </w:rPr>
        <w:t>m</w:t>
      </w:r>
      <w:r>
        <w:rPr>
          <w:rFonts w:hint="default" w:ascii="Times New Roman" w:hAnsi="Times New Roman" w:cs="Times New Roman"/>
          <w:color w:val="auto"/>
          <w:kern w:val="0"/>
          <w:sz w:val="21"/>
          <w:szCs w:val="21"/>
          <w:highlight w:val="none"/>
          <w:u w:val="single" w:color="auto"/>
          <w:lang w:eastAsia="zh-CN"/>
        </w:rPr>
        <w:t>（</w:t>
      </w:r>
      <w:r>
        <w:rPr>
          <w:rFonts w:hint="default" w:ascii="Times New Roman" w:hAnsi="Times New Roman" w:cs="Times New Roman"/>
          <w:color w:val="auto"/>
          <w:kern w:val="0"/>
          <w:sz w:val="21"/>
          <w:szCs w:val="21"/>
          <w:highlight w:val="none"/>
          <w:u w:val="single" w:color="auto"/>
          <w:lang w:val="en-US" w:eastAsia="zh-CN"/>
        </w:rPr>
        <w:t>距道路红线）</w:t>
      </w:r>
      <w:r>
        <w:rPr>
          <w:rFonts w:hint="default" w:ascii="Times New Roman" w:hAnsi="Times New Roman" w:eastAsia="宋体" w:cs="Times New Roman"/>
          <w:color w:val="auto"/>
          <w:kern w:val="0"/>
          <w:sz w:val="21"/>
          <w:szCs w:val="21"/>
          <w:highlight w:val="none"/>
          <w:u w:val="single" w:color="auto"/>
          <w:lang w:val="en-US" w:eastAsia="zh-CN" w:bidi="ar"/>
        </w:rPr>
        <w:t>以内区域的临路第一排房屋不宜作为学校、医院等特殊敏感建筑规划建设用地</w:t>
      </w:r>
      <w:r>
        <w:rPr>
          <w:rFonts w:hint="default" w:ascii="Times New Roman" w:hAnsi="Times New Roman" w:cs="Times New Roman"/>
          <w:color w:val="auto"/>
          <w:kern w:val="0"/>
          <w:sz w:val="21"/>
          <w:szCs w:val="21"/>
          <w:highlight w:val="none"/>
          <w:u w:val="single" w:color="auto"/>
        </w:rPr>
        <w:t>。在进行城镇居住区规划时，应参考本环境影响报告关于</w:t>
      </w:r>
      <w:r>
        <w:rPr>
          <w:rFonts w:hint="default" w:ascii="Times New Roman" w:hAnsi="Times New Roman" w:cs="Times New Roman"/>
          <w:color w:val="auto"/>
          <w:kern w:val="0"/>
          <w:sz w:val="21"/>
          <w:szCs w:val="21"/>
          <w:highlight w:val="none"/>
          <w:u w:val="single" w:color="auto"/>
          <w:lang w:val="en-US" w:eastAsia="zh-CN"/>
        </w:rPr>
        <w:t>道</w:t>
      </w:r>
      <w:r>
        <w:rPr>
          <w:rFonts w:hint="default" w:ascii="Times New Roman" w:hAnsi="Times New Roman" w:cs="Times New Roman"/>
          <w:color w:val="auto"/>
          <w:kern w:val="0"/>
          <w:sz w:val="21"/>
          <w:szCs w:val="21"/>
          <w:highlight w:val="none"/>
          <w:u w:val="single" w:color="auto"/>
        </w:rPr>
        <w:t>路两侧噪声影响控规范围，并结合当地的地形条件确定相应的防护距离，尽量远离公路</w:t>
      </w:r>
      <w:r>
        <w:rPr>
          <w:rFonts w:hint="default" w:ascii="Times New Roman" w:hAnsi="Times New Roman" w:cs="Times New Roman"/>
          <w:color w:val="auto"/>
          <w:kern w:val="2"/>
          <w:sz w:val="21"/>
          <w:szCs w:val="21"/>
          <w:highlight w:val="none"/>
          <w:u w:val="single" w:color="auto"/>
        </w:rPr>
        <w:t>。</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管理措施</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（1）预留噪声防治资金，用于加强对道路运营期</w:t>
      </w:r>
      <w:r>
        <w:rPr>
          <w:rFonts w:hint="eastAsia" w:cs="Times New Roman"/>
          <w:color w:val="000000"/>
          <w:kern w:val="0"/>
          <w:sz w:val="21"/>
          <w:szCs w:val="21"/>
          <w:highlight w:val="none"/>
          <w:u w:val="none" w:color="auto"/>
          <w:lang w:val="en-US" w:eastAsia="zh-CN" w:bidi="ar"/>
        </w:rPr>
        <w:t>居民</w:t>
      </w:r>
      <w:r>
        <w:rPr>
          <w:rFonts w:hint="default" w:ascii="Times New Roman" w:hAnsi="Times New Roman" w:cs="Times New Roman"/>
          <w:color w:val="auto"/>
          <w:kern w:val="2"/>
          <w:sz w:val="21"/>
          <w:szCs w:val="21"/>
          <w:highlight w:val="none"/>
          <w:u w:val="none" w:color="auto"/>
        </w:rPr>
        <w:t>等声环境保护目标的噪声跟踪监测，并结合监测结果，及时采取有效噪声治理措施。</w:t>
      </w:r>
    </w:p>
    <w:p>
      <w:pPr>
        <w:keepNext w:val="0"/>
        <w:keepLines w:val="0"/>
        <w:pageBreakBefore w:val="0"/>
        <w:widowControl/>
        <w:suppressLineNumbers w:val="0"/>
        <w:kinsoku/>
        <w:wordWrap/>
        <w:overflowPunct/>
        <w:topLinePunct w:val="0"/>
        <w:bidi w:val="0"/>
        <w:adjustRightInd w:val="0"/>
        <w:snapToGrid w:val="0"/>
        <w:spacing w:line="360" w:lineRule="auto"/>
        <w:ind w:firstLine="420" w:firstLineChars="200"/>
        <w:jc w:val="left"/>
        <w:rPr>
          <w:rFonts w:hint="default" w:ascii="Times New Roman" w:hAnsi="Times New Roman" w:cs="Times New Roman"/>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w:t>
      </w:r>
      <w:r>
        <w:rPr>
          <w:rFonts w:hint="eastAsia" w:cs="Times New Roman"/>
          <w:color w:val="auto"/>
          <w:kern w:val="0"/>
          <w:sz w:val="21"/>
          <w:szCs w:val="21"/>
          <w:highlight w:val="none"/>
          <w:u w:val="none" w:color="auto"/>
          <w:lang w:val="en-US" w:eastAsia="zh-CN"/>
        </w:rPr>
        <w:t>同时</w:t>
      </w:r>
      <w:r>
        <w:rPr>
          <w:rFonts w:hint="default" w:ascii="Times New Roman" w:hAnsi="Times New Roman" w:eastAsia="宋体" w:cs="Times New Roman"/>
          <w:color w:val="000000"/>
          <w:kern w:val="0"/>
          <w:sz w:val="21"/>
          <w:szCs w:val="21"/>
          <w:highlight w:val="none"/>
          <w:u w:val="none" w:color="auto"/>
          <w:lang w:val="en-US" w:eastAsia="zh-CN" w:bidi="ar"/>
        </w:rPr>
        <w:t xml:space="preserve">通过加强道路交通管理，如限制性能差的车辆进入道路，在重要敏感点附近路段设置限速、禁鸣标志，设置限速摄像头，可以有效控制交通噪声的污染，减少交通噪声扰民问题。 </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（3）加强交通管理，禁止噪声过大的破旧车上路。禁止夜间超重超载车上路；控制车辆速度和车流量。</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（4）加强道路的维护和管理，对受损路面及时修复。</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技术防治措施</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（1）从声源上降低噪声的措施</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①根据项目可研报告，本工程路面采用沥青混凝土路面，为低噪声路面材料，从源头降低噪声。</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②合理设计路面结构和路面纵坡，根据项目可研报告及现场踏勘，本工程沿线地势平坦，最大地面纵坡为</w:t>
      </w:r>
      <w:r>
        <w:rPr>
          <w:rFonts w:hint="eastAsia" w:cs="Times New Roman"/>
          <w:color w:val="auto"/>
          <w:kern w:val="2"/>
          <w:sz w:val="21"/>
          <w:szCs w:val="21"/>
          <w:highlight w:val="none"/>
          <w:u w:val="none" w:color="auto"/>
          <w:lang w:val="en-US" w:eastAsia="zh-CN"/>
        </w:rPr>
        <w:t>4.074</w:t>
      </w:r>
      <w:r>
        <w:rPr>
          <w:rFonts w:hint="default" w:ascii="Times New Roman" w:hAnsi="Times New Roman" w:cs="Times New Roman"/>
          <w:color w:val="auto"/>
          <w:kern w:val="2"/>
          <w:sz w:val="21"/>
          <w:szCs w:val="21"/>
          <w:highlight w:val="none"/>
          <w:u w:val="none" w:color="auto"/>
        </w:rPr>
        <w:t>%。</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（2）从噪声传播途径上降低噪声的措施</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本工程</w:t>
      </w:r>
      <w:r>
        <w:rPr>
          <w:rFonts w:hint="eastAsia" w:cs="Times New Roman"/>
          <w:color w:val="auto"/>
          <w:kern w:val="2"/>
          <w:sz w:val="21"/>
          <w:szCs w:val="21"/>
          <w:highlight w:val="none"/>
          <w:u w:val="none" w:color="auto"/>
          <w:lang w:val="en-US" w:eastAsia="zh-CN"/>
        </w:rPr>
        <w:t>中萍阳北路延伸段</w:t>
      </w:r>
      <w:r>
        <w:rPr>
          <w:rFonts w:hint="default" w:ascii="Times New Roman" w:hAnsi="Times New Roman" w:cs="Times New Roman"/>
          <w:color w:val="auto"/>
          <w:kern w:val="2"/>
          <w:sz w:val="21"/>
          <w:szCs w:val="21"/>
          <w:highlight w:val="none"/>
          <w:u w:val="none" w:color="auto"/>
        </w:rPr>
        <w:t>总长</w:t>
      </w:r>
      <w:r>
        <w:rPr>
          <w:rFonts w:hint="eastAsia" w:cs="Times New Roman"/>
          <w:color w:val="auto"/>
          <w:kern w:val="2"/>
          <w:sz w:val="21"/>
          <w:szCs w:val="21"/>
          <w:highlight w:val="none"/>
          <w:u w:val="none" w:color="auto"/>
          <w:lang w:val="en-US" w:eastAsia="zh-CN"/>
        </w:rPr>
        <w:t>1.56km、萍州大桥西匝道</w:t>
      </w:r>
      <w:r>
        <w:rPr>
          <w:rFonts w:hint="default" w:ascii="Times New Roman" w:hAnsi="Times New Roman" w:cs="Times New Roman"/>
          <w:color w:val="auto"/>
          <w:kern w:val="2"/>
          <w:sz w:val="21"/>
          <w:szCs w:val="21"/>
          <w:highlight w:val="none"/>
          <w:u w:val="none" w:color="auto"/>
        </w:rPr>
        <w:t>总长</w:t>
      </w:r>
      <w:r>
        <w:rPr>
          <w:rFonts w:hint="eastAsia" w:cs="Times New Roman"/>
          <w:color w:val="auto"/>
          <w:kern w:val="2"/>
          <w:sz w:val="21"/>
          <w:szCs w:val="21"/>
          <w:highlight w:val="none"/>
          <w:u w:val="none" w:color="auto"/>
          <w:lang w:val="en-US" w:eastAsia="zh-CN"/>
        </w:rPr>
        <w:t>0.56km</w:t>
      </w:r>
      <w:r>
        <w:rPr>
          <w:rFonts w:hint="default" w:ascii="Times New Roman" w:hAnsi="Times New Roman" w:cs="Times New Roman"/>
          <w:color w:val="auto"/>
          <w:kern w:val="2"/>
          <w:sz w:val="21"/>
          <w:szCs w:val="21"/>
          <w:highlight w:val="none"/>
          <w:u w:val="none" w:color="auto"/>
        </w:rPr>
        <w:t>，总体长度较短</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eastAsia="宋体" w:cs="Times New Roman"/>
          <w:color w:val="auto"/>
          <w:kern w:val="2"/>
          <w:sz w:val="21"/>
          <w:szCs w:val="21"/>
          <w:highlight w:val="none"/>
          <w:u w:val="none" w:color="auto"/>
          <w:lang w:val="en-US" w:eastAsia="zh-CN"/>
        </w:rPr>
        <w:t>加强</w:t>
      </w:r>
      <w:r>
        <w:rPr>
          <w:rFonts w:hint="eastAsia" w:cs="Times New Roman"/>
          <w:color w:val="auto"/>
          <w:kern w:val="2"/>
          <w:sz w:val="21"/>
          <w:szCs w:val="21"/>
          <w:highlight w:val="none"/>
          <w:u w:val="none" w:color="auto"/>
          <w:lang w:val="en-US" w:eastAsia="zh-CN"/>
        </w:rPr>
        <w:t>道路</w:t>
      </w:r>
      <w:r>
        <w:rPr>
          <w:rFonts w:hint="default" w:ascii="Times New Roman" w:hAnsi="Times New Roman" w:cs="Times New Roman"/>
          <w:color w:val="auto"/>
          <w:kern w:val="2"/>
          <w:sz w:val="21"/>
          <w:szCs w:val="21"/>
          <w:highlight w:val="none"/>
          <w:u w:val="none" w:color="auto"/>
        </w:rPr>
        <w:t>绿化降噪措施。</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在落实以上要求的前提下，本项目对评价范围内敏感点的噪声影响较小。</w:t>
      </w:r>
    </w:p>
    <w:p>
      <w:pPr>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auto"/>
          <w:sz w:val="21"/>
          <w:szCs w:val="21"/>
          <w:highlight w:val="none"/>
          <w:u w:val="none" w:color="auto"/>
        </w:rPr>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keepLines/>
        <w:pageBreakBefore w:val="0"/>
        <w:widowControl w:val="0"/>
        <w:numPr>
          <w:ilvl w:val="0"/>
          <w:numId w:val="3"/>
        </w:numPr>
        <w:kinsoku/>
        <w:wordWrap/>
        <w:overflowPunct/>
        <w:topLinePunct w:val="0"/>
        <w:bidi w:val="0"/>
        <w:adjustRightInd w:val="0"/>
        <w:snapToGrid w:val="0"/>
        <w:spacing w:line="360" w:lineRule="auto"/>
        <w:ind w:left="0" w:firstLine="0" w:firstLineChars="0"/>
        <w:jc w:val="both"/>
        <w:outlineLvl w:val="0"/>
        <w:rPr>
          <w:rFonts w:hint="default" w:ascii="Times New Roman" w:hAnsi="Times New Roman" w:eastAsia="宋体" w:cs="Times New Roman"/>
          <w:b/>
          <w:bCs/>
          <w:kern w:val="44"/>
          <w:sz w:val="21"/>
          <w:szCs w:val="21"/>
          <w:highlight w:val="none"/>
          <w:u w:val="none" w:color="auto"/>
          <w:lang w:val="en-US" w:eastAsia="zh-CN" w:bidi="ar-SA"/>
        </w:rPr>
      </w:pPr>
      <w:bookmarkStart w:id="120" w:name="_Toc933"/>
      <w:bookmarkStart w:id="121" w:name="_Toc16227"/>
      <w:bookmarkStart w:id="122" w:name="_Toc11958"/>
      <w:r>
        <w:rPr>
          <w:rFonts w:hint="default" w:ascii="Times New Roman" w:hAnsi="Times New Roman" w:eastAsia="宋体" w:cs="Times New Roman"/>
          <w:b/>
          <w:bCs/>
          <w:kern w:val="44"/>
          <w:sz w:val="21"/>
          <w:szCs w:val="21"/>
          <w:highlight w:val="none"/>
          <w:u w:val="none" w:color="auto"/>
          <w:lang w:val="en-US" w:eastAsia="zh-CN" w:bidi="ar-SA"/>
        </w:rPr>
        <w:t>声环境管理、监测计划</w:t>
      </w:r>
      <w:bookmarkEnd w:id="120"/>
      <w:bookmarkEnd w:id="121"/>
      <w:bookmarkEnd w:id="122"/>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环境管理</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通过</w:t>
      </w:r>
      <w:r>
        <w:rPr>
          <w:rFonts w:hint="default" w:ascii="Times New Roman" w:hAnsi="Times New Roman" w:cs="Times New Roman"/>
          <w:color w:val="auto"/>
          <w:kern w:val="2"/>
          <w:sz w:val="21"/>
          <w:szCs w:val="21"/>
          <w:highlight w:val="none"/>
          <w:u w:val="none" w:color="auto"/>
          <w:lang w:eastAsia="zh-CN"/>
        </w:rPr>
        <w:t>制定</w:t>
      </w:r>
      <w:r>
        <w:rPr>
          <w:rFonts w:hint="default" w:ascii="Times New Roman" w:hAnsi="Times New Roman" w:cs="Times New Roman"/>
          <w:color w:val="auto"/>
          <w:kern w:val="2"/>
          <w:sz w:val="21"/>
          <w:szCs w:val="21"/>
          <w:highlight w:val="none"/>
          <w:u w:val="none" w:color="auto"/>
        </w:rPr>
        <w:t>系统的、科学的环境管理计划，使本报告表中提出的环境负面影响减缓措施在项目的设计、施工和运营过程中得到落实，从而实现环境保护和项目符合同步设计、同步施工和同步投产的“三同时”制度要求。使环境保护措施得以落实，为环保部门对其进行监督提供依据。</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通过实施环境管理计划</w:t>
      </w:r>
      <w:r>
        <w:rPr>
          <w:rFonts w:hint="default" w:ascii="Times New Roman" w:hAnsi="Times New Roman"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将本工程建设和运营中对环境带来的不利影响减缓到最低限度，使建设项目的经济效益和环境效益得以协调、持续和稳定发展。</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环境管理计划</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本项目施工期及运营期的环境管理计划见下表。</w:t>
      </w:r>
    </w:p>
    <w:p>
      <w:pPr>
        <w:pageBreakBefore w:val="0"/>
        <w:widowControl w:val="0"/>
        <w:kinsoku/>
        <w:wordWrap/>
        <w:overflowPunct/>
        <w:topLinePunct w:val="0"/>
        <w:autoSpaceDE w:val="0"/>
        <w:autoSpaceDN w:val="0"/>
        <w:bidi w:val="0"/>
        <w:adjustRightInd w:val="0"/>
        <w:snapToGrid w:val="0"/>
        <w:spacing w:before="50" w:beforeLines="50" w:line="240" w:lineRule="auto"/>
        <w:ind w:firstLine="0" w:firstLineChars="0"/>
        <w:jc w:val="center"/>
        <w:rPr>
          <w:rFonts w:hint="default" w:ascii="Times New Roman" w:hAnsi="Times New Roman" w:eastAsia="宋体" w:cs="Times New Roman"/>
          <w:b/>
          <w:color w:val="000000"/>
          <w:kern w:val="21"/>
          <w:sz w:val="21"/>
          <w:szCs w:val="21"/>
          <w:highlight w:val="none"/>
          <w:u w:val="none" w:color="auto"/>
          <w:lang w:val="en-US" w:eastAsia="zh-CN" w:bidi="ar-SA"/>
        </w:rPr>
      </w:pPr>
      <w:r>
        <w:rPr>
          <w:rFonts w:hint="eastAsia" w:ascii="Times New Roman" w:hAnsi="Times New Roman" w:eastAsia="宋体" w:cs="Times New Roman"/>
          <w:b/>
          <w:color w:val="000000"/>
          <w:kern w:val="21"/>
          <w:sz w:val="21"/>
          <w:szCs w:val="21"/>
          <w:highlight w:val="none"/>
          <w:u w:val="none" w:color="auto"/>
          <w:lang w:val="en-US" w:eastAsia="zh-CN" w:bidi="ar-SA"/>
        </w:rPr>
        <w:t xml:space="preserve">表6-1 </w:t>
      </w:r>
      <w:r>
        <w:rPr>
          <w:rFonts w:hint="default" w:ascii="Times New Roman" w:hAnsi="Times New Roman" w:eastAsia="宋体" w:cs="Times New Roman"/>
          <w:b/>
          <w:color w:val="000000"/>
          <w:kern w:val="21"/>
          <w:sz w:val="21"/>
          <w:szCs w:val="21"/>
          <w:highlight w:val="none"/>
          <w:u w:val="none" w:color="auto"/>
          <w:lang w:val="en-US" w:eastAsia="zh-CN" w:bidi="ar-SA"/>
        </w:rPr>
        <w:t>环境管理体系</w:t>
      </w:r>
    </w:p>
    <w:tbl>
      <w:tblPr>
        <w:tblStyle w:val="4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6070"/>
        <w:gridCol w:w="820"/>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项目阶段</w:t>
            </w:r>
          </w:p>
        </w:tc>
        <w:tc>
          <w:tcPr>
            <w:tcW w:w="607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管理措施</w:t>
            </w:r>
          </w:p>
        </w:tc>
        <w:tc>
          <w:tcPr>
            <w:tcW w:w="82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实施机构</w:t>
            </w:r>
          </w:p>
        </w:tc>
        <w:tc>
          <w:tcPr>
            <w:tcW w:w="81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负责机构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施工期</w:t>
            </w:r>
          </w:p>
        </w:tc>
        <w:tc>
          <w:tcPr>
            <w:tcW w:w="607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left"/>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（1）严禁夜间（22:00-6:00）在沿线的声敏感点附近进行高噪声施工；</w:t>
            </w:r>
          </w:p>
          <w:p>
            <w:pPr>
              <w:pageBreakBefore w:val="0"/>
              <w:widowControl w:val="0"/>
              <w:kinsoku/>
              <w:wordWrap/>
              <w:overflowPunct/>
              <w:topLinePunct w:val="0"/>
              <w:autoSpaceDE w:val="0"/>
              <w:autoSpaceDN w:val="0"/>
              <w:bidi w:val="0"/>
              <w:adjustRightInd w:val="0"/>
              <w:snapToGrid w:val="0"/>
              <w:spacing w:line="240" w:lineRule="auto"/>
              <w:ind w:firstLine="0" w:firstLineChars="0"/>
              <w:jc w:val="left"/>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（2）如因工程原因难以避免，则需上报沿线环保部门通过批准后方可进行；</w:t>
            </w:r>
          </w:p>
          <w:p>
            <w:pPr>
              <w:pageBreakBefore w:val="0"/>
              <w:widowControl w:val="0"/>
              <w:kinsoku/>
              <w:wordWrap/>
              <w:overflowPunct/>
              <w:topLinePunct w:val="0"/>
              <w:autoSpaceDE w:val="0"/>
              <w:autoSpaceDN w:val="0"/>
              <w:bidi w:val="0"/>
              <w:adjustRightInd w:val="0"/>
              <w:snapToGrid w:val="0"/>
              <w:spacing w:line="240" w:lineRule="auto"/>
              <w:ind w:firstLine="0" w:firstLineChars="0"/>
              <w:jc w:val="left"/>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（3）合理选择运输路线，并尽量在昼间进行运输，以减少对运输道路两侧居民夜间休息的影响；此外，在途经村庄，应减速慢行、禁止鸣笛，需新修筑的施工便道应尽量远离村庄等敏感建筑物；</w:t>
            </w:r>
          </w:p>
          <w:p>
            <w:pPr>
              <w:pageBreakBefore w:val="0"/>
              <w:widowControl w:val="0"/>
              <w:kinsoku/>
              <w:wordWrap/>
              <w:overflowPunct/>
              <w:topLinePunct w:val="0"/>
              <w:autoSpaceDE w:val="0"/>
              <w:autoSpaceDN w:val="0"/>
              <w:bidi w:val="0"/>
              <w:adjustRightInd w:val="0"/>
              <w:snapToGrid w:val="0"/>
              <w:spacing w:line="240" w:lineRule="auto"/>
              <w:ind w:firstLine="0" w:firstLineChars="0"/>
              <w:jc w:val="left"/>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（4）距道路很近、规模较大且受施工期噪声影响严重的敏感点，可以采取临时性的降噪措施，如设置临时降噪声屏障等措施；</w:t>
            </w:r>
          </w:p>
          <w:p>
            <w:pPr>
              <w:pageBreakBefore w:val="0"/>
              <w:widowControl w:val="0"/>
              <w:kinsoku/>
              <w:wordWrap/>
              <w:overflowPunct/>
              <w:topLinePunct w:val="0"/>
              <w:autoSpaceDE w:val="0"/>
              <w:autoSpaceDN w:val="0"/>
              <w:bidi w:val="0"/>
              <w:adjustRightInd w:val="0"/>
              <w:snapToGrid w:val="0"/>
              <w:spacing w:line="240" w:lineRule="auto"/>
              <w:ind w:firstLine="0" w:firstLineChars="0"/>
              <w:jc w:val="left"/>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（5）采用低噪声机械设备，施工过程经常对设备进行维修保养，避免异常噪声；</w:t>
            </w:r>
          </w:p>
          <w:p>
            <w:pPr>
              <w:pageBreakBefore w:val="0"/>
              <w:widowControl w:val="0"/>
              <w:kinsoku/>
              <w:wordWrap/>
              <w:overflowPunct/>
              <w:topLinePunct w:val="0"/>
              <w:autoSpaceDE w:val="0"/>
              <w:autoSpaceDN w:val="0"/>
              <w:bidi w:val="0"/>
              <w:adjustRightInd w:val="0"/>
              <w:snapToGrid w:val="0"/>
              <w:spacing w:line="240" w:lineRule="auto"/>
              <w:ind w:firstLine="0" w:firstLineChars="0"/>
              <w:jc w:val="left"/>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（6）加强施工期噪声监测，发现施工噪声超标并对附近敏感点产生影响应及时采取有效的噪声污染防治措施；</w:t>
            </w:r>
          </w:p>
          <w:p>
            <w:pPr>
              <w:pageBreakBefore w:val="0"/>
              <w:widowControl w:val="0"/>
              <w:kinsoku/>
              <w:wordWrap/>
              <w:overflowPunct/>
              <w:topLinePunct w:val="0"/>
              <w:autoSpaceDE w:val="0"/>
              <w:autoSpaceDN w:val="0"/>
              <w:bidi w:val="0"/>
              <w:adjustRightInd w:val="0"/>
              <w:snapToGrid w:val="0"/>
              <w:spacing w:line="240" w:lineRule="auto"/>
              <w:ind w:firstLine="0" w:firstLineChars="0"/>
              <w:jc w:val="left"/>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（7）在施工场地附近设置居民投诉热线，及时</w:t>
            </w:r>
            <w:r>
              <w:rPr>
                <w:rFonts w:hint="eastAsia" w:ascii="Times New Roman" w:hAnsi="Times New Roman" w:eastAsia="宋体" w:cs="Times New Roman"/>
                <w:kern w:val="2"/>
                <w:sz w:val="21"/>
                <w:szCs w:val="21"/>
                <w:highlight w:val="none"/>
                <w:u w:val="none" w:color="auto"/>
                <w:lang w:val="en-US" w:eastAsia="zh-CN" w:bidi="ar-SA"/>
              </w:rPr>
              <w:t>接收</w:t>
            </w:r>
            <w:r>
              <w:rPr>
                <w:rFonts w:hint="default" w:ascii="Times New Roman" w:hAnsi="Times New Roman" w:eastAsia="宋体" w:cs="Times New Roman"/>
                <w:kern w:val="2"/>
                <w:sz w:val="21"/>
                <w:szCs w:val="21"/>
                <w:highlight w:val="none"/>
                <w:u w:val="none" w:color="auto"/>
                <w:lang w:val="en-US" w:eastAsia="zh-CN" w:bidi="ar-SA"/>
              </w:rPr>
              <w:t>居民反映，采取相应的措施和协调沟通。</w:t>
            </w:r>
          </w:p>
        </w:tc>
        <w:tc>
          <w:tcPr>
            <w:tcW w:w="82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施工单位</w:t>
            </w:r>
          </w:p>
        </w:tc>
        <w:tc>
          <w:tcPr>
            <w:tcW w:w="81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3"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营运期</w:t>
            </w:r>
          </w:p>
        </w:tc>
        <w:tc>
          <w:tcPr>
            <w:tcW w:w="6070"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left"/>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（1）加强道路管理及路面养护，在重要敏感点（村庄）附近路段两端设置限速、禁鸣标志。注意公路绿化美化，在有条件的路段种植降噪林带。</w:t>
            </w:r>
          </w:p>
          <w:p>
            <w:pPr>
              <w:pageBreakBefore w:val="0"/>
              <w:widowControl w:val="0"/>
              <w:kinsoku/>
              <w:wordWrap/>
              <w:overflowPunct/>
              <w:topLinePunct w:val="0"/>
              <w:autoSpaceDE w:val="0"/>
              <w:autoSpaceDN w:val="0"/>
              <w:bidi w:val="0"/>
              <w:adjustRightInd w:val="0"/>
              <w:snapToGrid w:val="0"/>
              <w:spacing w:line="240" w:lineRule="auto"/>
              <w:ind w:firstLine="0" w:firstLineChars="0"/>
              <w:jc w:val="left"/>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（2）加强营运期沿线声环境敏感点声环境跟踪监测，根据监测结果适时采取有效的降噪措施。</w:t>
            </w:r>
          </w:p>
          <w:p>
            <w:pPr>
              <w:pageBreakBefore w:val="0"/>
              <w:widowControl w:val="0"/>
              <w:kinsoku/>
              <w:wordWrap/>
              <w:overflowPunct/>
              <w:topLinePunct w:val="0"/>
              <w:autoSpaceDE w:val="0"/>
              <w:autoSpaceDN w:val="0"/>
              <w:bidi w:val="0"/>
              <w:adjustRightInd w:val="0"/>
              <w:snapToGrid w:val="0"/>
              <w:spacing w:line="240" w:lineRule="auto"/>
              <w:ind w:firstLine="0" w:firstLineChars="0"/>
              <w:jc w:val="left"/>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（3）加强交通管理，禁止噪声过大的破旧车上路。禁止夜间超重超载车上路；控制车辆速度和车流量。</w:t>
            </w:r>
          </w:p>
        </w:tc>
        <w:tc>
          <w:tcPr>
            <w:tcW w:w="820"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永州市零陵区住房和城乡建设局</w:t>
            </w:r>
          </w:p>
        </w:tc>
        <w:tc>
          <w:tcPr>
            <w:tcW w:w="819"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eastAsia" w:ascii="Times New Roman" w:hAnsi="Times New Roman" w:eastAsia="宋体" w:cs="Times New Roman"/>
                <w:kern w:val="2"/>
                <w:sz w:val="21"/>
                <w:szCs w:val="21"/>
                <w:highlight w:val="none"/>
                <w:u w:val="none" w:color="auto"/>
                <w:lang w:val="en-US" w:eastAsia="zh-CN" w:bidi="ar-SA"/>
              </w:rPr>
            </w:pPr>
            <w:r>
              <w:rPr>
                <w:rFonts w:hint="default" w:ascii="Times New Roman" w:hAnsi="Times New Roman" w:eastAsia="宋体" w:cs="Times New Roman"/>
                <w:kern w:val="2"/>
                <w:sz w:val="21"/>
                <w:szCs w:val="21"/>
                <w:highlight w:val="none"/>
                <w:u w:val="none" w:color="auto"/>
                <w:lang w:val="en-US" w:eastAsia="zh-CN" w:bidi="ar-SA"/>
              </w:rPr>
              <w:t>永州市零陵区住房和城乡建设局</w:t>
            </w:r>
          </w:p>
        </w:tc>
      </w:tr>
    </w:tbl>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环境监测计划</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环境监测责任机构、监测目标</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环境监测工作拟由建设单位委托有监测资质且有一定经验的监测单位进行。在道路施工期和运营期，环境监测都是环境管理计划中重要的组成部分。进行环境监测的目标是：</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（1）对环境影响报告表中提出的拟建项目潜在环境影响的结论加以核实；</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（2）确定实际的影响程度；</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（3）核实环境保护措施的有效性和适当性；</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（4）确认评价预期不利影响的程度；</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（5）为解决超出环境影响评价结论的不利影响而追加的环保措施提供依据。</w:t>
      </w:r>
    </w:p>
    <w:p>
      <w:pPr>
        <w:keepNext/>
        <w:keepLines/>
        <w:pageBreakBefore w:val="0"/>
        <w:widowControl w:val="0"/>
        <w:numPr>
          <w:ilvl w:val="2"/>
          <w:numId w:val="3"/>
        </w:numPr>
        <w:kinsoku/>
        <w:wordWrap/>
        <w:overflowPunct/>
        <w:topLinePunct w:val="0"/>
        <w:bidi w:val="0"/>
        <w:adjustRightInd w:val="0"/>
        <w:snapToGrid w:val="0"/>
        <w:spacing w:line="360" w:lineRule="auto"/>
        <w:ind w:left="0" w:firstLine="422" w:firstLineChars="200"/>
        <w:jc w:val="both"/>
        <w:outlineLvl w:val="2"/>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监测计划</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环境监测单位将根据生态环境部颁布的各项导则和标准规定的方法进行采样、保存和分析样品，与项目的环境监测的要求相同。项目监测计划见下表。</w:t>
      </w:r>
    </w:p>
    <w:p>
      <w:pPr>
        <w:pageBreakBefore w:val="0"/>
        <w:widowControl w:val="0"/>
        <w:kinsoku/>
        <w:wordWrap/>
        <w:overflowPunct/>
        <w:topLinePunct w:val="0"/>
        <w:autoSpaceDE w:val="0"/>
        <w:autoSpaceDN w:val="0"/>
        <w:bidi w:val="0"/>
        <w:adjustRightInd w:val="0"/>
        <w:snapToGrid w:val="0"/>
        <w:spacing w:before="156" w:beforeLines="50" w:line="240" w:lineRule="auto"/>
        <w:ind w:firstLine="0" w:firstLineChars="0"/>
        <w:jc w:val="center"/>
        <w:rPr>
          <w:rFonts w:hint="default" w:ascii="Times New Roman" w:hAnsi="Times New Roman" w:eastAsia="宋体" w:cs="Times New Roman"/>
          <w:b/>
          <w:color w:val="auto"/>
          <w:kern w:val="21"/>
          <w:sz w:val="21"/>
          <w:szCs w:val="21"/>
          <w:highlight w:val="none"/>
          <w:u w:val="none" w:color="auto"/>
          <w:lang w:val="en-US" w:eastAsia="zh-CN" w:bidi="ar-SA"/>
        </w:rPr>
      </w:pPr>
      <w:r>
        <w:rPr>
          <w:rFonts w:hint="eastAsia" w:ascii="Times New Roman" w:hAnsi="Times New Roman" w:eastAsia="宋体" w:cs="Times New Roman"/>
          <w:b/>
          <w:color w:val="000000"/>
          <w:kern w:val="21"/>
          <w:sz w:val="21"/>
          <w:szCs w:val="21"/>
          <w:highlight w:val="none"/>
          <w:u w:val="none" w:color="auto"/>
          <w:lang w:val="en-US" w:eastAsia="zh-CN" w:bidi="ar-SA"/>
        </w:rPr>
        <w:t xml:space="preserve">表6-2 </w:t>
      </w:r>
      <w:r>
        <w:rPr>
          <w:rFonts w:hint="default" w:ascii="Times New Roman" w:hAnsi="Times New Roman" w:eastAsia="宋体" w:cs="Times New Roman"/>
          <w:b/>
          <w:color w:val="auto"/>
          <w:kern w:val="21"/>
          <w:sz w:val="21"/>
          <w:szCs w:val="21"/>
          <w:highlight w:val="none"/>
          <w:u w:val="none" w:color="auto"/>
          <w:lang w:val="en-US" w:eastAsia="zh-CN" w:bidi="ar-SA"/>
        </w:rPr>
        <w:t>声环境监测计划</w:t>
      </w:r>
    </w:p>
    <w:tbl>
      <w:tblPr>
        <w:tblStyle w:val="4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2695"/>
        <w:gridCol w:w="1324"/>
        <w:gridCol w:w="827"/>
        <w:gridCol w:w="1324"/>
        <w:gridCol w:w="994"/>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阶段</w:t>
            </w:r>
          </w:p>
        </w:tc>
        <w:tc>
          <w:tcPr>
            <w:tcW w:w="2695"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监测地点</w:t>
            </w:r>
          </w:p>
        </w:tc>
        <w:tc>
          <w:tcPr>
            <w:tcW w:w="132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监测项目</w:t>
            </w:r>
          </w:p>
        </w:tc>
        <w:tc>
          <w:tcPr>
            <w:tcW w:w="82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监测频次</w:t>
            </w:r>
          </w:p>
        </w:tc>
        <w:tc>
          <w:tcPr>
            <w:tcW w:w="1324"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监测时间</w:t>
            </w:r>
          </w:p>
        </w:tc>
        <w:tc>
          <w:tcPr>
            <w:tcW w:w="994"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实施机构</w:t>
            </w:r>
          </w:p>
        </w:tc>
        <w:tc>
          <w:tcPr>
            <w:tcW w:w="7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负责机构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施工期</w:t>
            </w:r>
          </w:p>
        </w:tc>
        <w:tc>
          <w:tcPr>
            <w:tcW w:w="2695"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老渡口社区居民委员会及居民委员会旁居民、梨头尖居民点</w:t>
            </w:r>
          </w:p>
        </w:tc>
        <w:tc>
          <w:tcPr>
            <w:tcW w:w="132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等量连续A声级、最大声级</w:t>
            </w:r>
          </w:p>
        </w:tc>
        <w:tc>
          <w:tcPr>
            <w:tcW w:w="82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1天/季度</w:t>
            </w:r>
          </w:p>
        </w:tc>
        <w:tc>
          <w:tcPr>
            <w:tcW w:w="1324"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w:t>
            </w:r>
            <w:r>
              <w:rPr>
                <w:rFonts w:hint="default" w:ascii="Times New Roman" w:hAnsi="Times New Roman" w:eastAsia="宋体" w:cs="Times New Roman"/>
                <w:kern w:val="2"/>
                <w:sz w:val="21"/>
                <w:szCs w:val="21"/>
                <w:highlight w:val="none"/>
                <w:lang w:val="en-US" w:eastAsia="zh-CN" w:bidi="ar-SA"/>
              </w:rPr>
              <w:t>天，昼间、夜间</w:t>
            </w:r>
          </w:p>
        </w:tc>
        <w:tc>
          <w:tcPr>
            <w:tcW w:w="994"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有资质监测公司</w:t>
            </w:r>
          </w:p>
        </w:tc>
        <w:tc>
          <w:tcPr>
            <w:tcW w:w="7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612"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营运期</w:t>
            </w:r>
          </w:p>
        </w:tc>
        <w:tc>
          <w:tcPr>
            <w:tcW w:w="2695"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老渡口社区居民委员会及居民委员会旁居民、梨头尖居民点</w:t>
            </w:r>
          </w:p>
        </w:tc>
        <w:tc>
          <w:tcPr>
            <w:tcW w:w="1324" w:type="dxa"/>
            <w:tcBorders>
              <w:tl2br w:val="nil"/>
              <w:tr2bl w:val="nil"/>
            </w:tcBorders>
            <w:shd w:val="clear" w:color="auto" w:fill="auto"/>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LAeq</w:t>
            </w:r>
          </w:p>
        </w:tc>
        <w:tc>
          <w:tcPr>
            <w:tcW w:w="827"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1次/年</w:t>
            </w:r>
          </w:p>
        </w:tc>
        <w:tc>
          <w:tcPr>
            <w:tcW w:w="1324"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2天，昼间、夜间</w:t>
            </w:r>
          </w:p>
        </w:tc>
        <w:tc>
          <w:tcPr>
            <w:tcW w:w="994"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有资质监测公司</w:t>
            </w:r>
          </w:p>
        </w:tc>
        <w:tc>
          <w:tcPr>
            <w:tcW w:w="746" w:type="dxa"/>
            <w:tcBorders>
              <w:tl2br w:val="nil"/>
              <w:tr2bl w:val="nil"/>
            </w:tcBorders>
            <w:vAlign w:val="center"/>
          </w:tcPr>
          <w:p>
            <w:pPr>
              <w:pageBreakBefore w:val="0"/>
              <w:widowControl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建设单位</w:t>
            </w:r>
          </w:p>
        </w:tc>
      </w:tr>
    </w:tbl>
    <w:p>
      <w:pPr>
        <w:pageBreakBefore w:val="0"/>
        <w:kinsoku/>
        <w:wordWrap/>
        <w:overflowPunct/>
        <w:topLinePunct w:val="0"/>
        <w:bidi w:val="0"/>
        <w:adjustRightInd w:val="0"/>
        <w:snapToGrid w:val="0"/>
        <w:spacing w:line="360" w:lineRule="auto"/>
        <w:ind w:firstLine="480"/>
        <w:rPr>
          <w:rFonts w:hint="default" w:ascii="Times New Roman" w:hAnsi="Times New Roman" w:cs="Times New Roman"/>
          <w:color w:val="auto"/>
          <w:sz w:val="21"/>
          <w:szCs w:val="21"/>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keepLines/>
        <w:pageBreakBefore w:val="0"/>
        <w:widowControl w:val="0"/>
        <w:numPr>
          <w:ilvl w:val="0"/>
          <w:numId w:val="3"/>
        </w:numPr>
        <w:kinsoku/>
        <w:wordWrap/>
        <w:overflowPunct/>
        <w:topLinePunct w:val="0"/>
        <w:bidi w:val="0"/>
        <w:adjustRightInd w:val="0"/>
        <w:snapToGrid w:val="0"/>
        <w:spacing w:line="360" w:lineRule="auto"/>
        <w:ind w:left="0" w:firstLine="0" w:firstLineChars="0"/>
        <w:jc w:val="both"/>
        <w:outlineLvl w:val="0"/>
        <w:rPr>
          <w:rFonts w:hint="default" w:ascii="Times New Roman" w:hAnsi="Times New Roman" w:eastAsia="宋体" w:cs="Times New Roman"/>
          <w:b/>
          <w:bCs/>
          <w:kern w:val="44"/>
          <w:sz w:val="21"/>
          <w:szCs w:val="21"/>
          <w:highlight w:val="none"/>
          <w:u w:val="none" w:color="auto"/>
          <w:lang w:val="en-US" w:eastAsia="zh-CN" w:bidi="ar-SA"/>
        </w:rPr>
      </w:pPr>
      <w:bookmarkStart w:id="123" w:name="_Toc233"/>
      <w:bookmarkStart w:id="124" w:name="_Toc24565"/>
      <w:bookmarkStart w:id="125" w:name="_Toc7648"/>
      <w:r>
        <w:rPr>
          <w:rFonts w:hint="default" w:ascii="Times New Roman" w:hAnsi="Times New Roman" w:eastAsia="宋体" w:cs="Times New Roman"/>
          <w:b/>
          <w:bCs/>
          <w:kern w:val="44"/>
          <w:sz w:val="21"/>
          <w:szCs w:val="21"/>
          <w:highlight w:val="none"/>
          <w:u w:val="none" w:color="auto"/>
          <w:lang w:val="en-US" w:eastAsia="zh-CN" w:bidi="ar-SA"/>
        </w:rPr>
        <w:t>结论</w:t>
      </w:r>
      <w:bookmarkEnd w:id="123"/>
      <w:bookmarkEnd w:id="124"/>
      <w:bookmarkEnd w:id="125"/>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项目概况</w:t>
      </w:r>
    </w:p>
    <w:p>
      <w:pPr>
        <w:pageBreakBefore w:val="0"/>
        <w:kinsoku/>
        <w:wordWrap/>
        <w:overflowPunct/>
        <w:topLinePunct w:val="0"/>
        <w:bidi w:val="0"/>
        <w:adjustRightInd w:val="0"/>
        <w:snapToGrid w:val="0"/>
        <w:spacing w:line="360" w:lineRule="auto"/>
        <w:ind w:firstLine="420" w:firstLineChars="200"/>
        <w:rPr>
          <w:rFonts w:hint="eastAsia" w:cs="Times New Roman"/>
          <w:kern w:val="2"/>
          <w:sz w:val="21"/>
          <w:szCs w:val="21"/>
          <w:highlight w:val="none"/>
          <w:u w:val="none" w:color="auto"/>
          <w:lang w:eastAsia="zh-CN"/>
        </w:rPr>
      </w:pPr>
      <w:r>
        <w:rPr>
          <w:rFonts w:hint="default" w:ascii="Times New Roman" w:hAnsi="Times New Roman" w:eastAsia="宋体" w:cs="Times New Roman"/>
          <w:kern w:val="2"/>
          <w:sz w:val="21"/>
          <w:szCs w:val="21"/>
          <w:highlight w:val="none"/>
          <w:u w:val="none" w:color="auto"/>
          <w:lang w:eastAsia="zh-CN"/>
        </w:rPr>
        <w:t>萍阳北路延伸段及萍洲大桥西岸匝道建设项目位于湖南省永州市零陵区萍阳北路，路线起点接现状萍阳北路南侧，连接至萍阳北路北至萍州大桥西匝道，与其相交的道路有：石渠路、广丰路、萍州大桥西匝道；萍洲大桥西岸匝道起终点均与萍阳北路相交，中部与萍州路相交</w:t>
      </w:r>
      <w:r>
        <w:rPr>
          <w:rFonts w:hint="eastAsia" w:cs="Times New Roman"/>
          <w:kern w:val="2"/>
          <w:sz w:val="21"/>
          <w:szCs w:val="21"/>
          <w:highlight w:val="none"/>
          <w:u w:val="none" w:color="auto"/>
          <w:lang w:eastAsia="zh-CN"/>
        </w:rPr>
        <w:t>，萍阳北路延伸段为城市主干道，道路全长1.56km，设计时速50km/h，采用沥青路面，设计为双向4车道，道路宽度为36m，具体为5米（人行道）+4米（辅道）+1.5米（分隔绿化带）+15米（车行道）+1.5米（分隔绿化带）+4米（辅道）+5米（人行道）=36米。</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eastAsia="宋体" w:cs="Times New Roman"/>
          <w:kern w:val="2"/>
          <w:sz w:val="21"/>
          <w:szCs w:val="21"/>
          <w:highlight w:val="none"/>
          <w:u w:val="none" w:color="auto"/>
          <w:lang w:eastAsia="zh-CN"/>
        </w:rPr>
      </w:pPr>
      <w:r>
        <w:rPr>
          <w:rFonts w:hint="eastAsia" w:cs="Times New Roman"/>
          <w:kern w:val="2"/>
          <w:sz w:val="21"/>
          <w:szCs w:val="21"/>
          <w:highlight w:val="none"/>
          <w:u w:val="none" w:color="auto"/>
          <w:lang w:eastAsia="zh-CN"/>
        </w:rPr>
        <w:t>萍州大桥西匝道为城市支路，道路全长506m，设计时速20km/h，采用沥青路面，设计为双向2车道，道路宽度为18m</w:t>
      </w:r>
      <w:r>
        <w:rPr>
          <w:rFonts w:hint="default" w:ascii="Times New Roman" w:hAnsi="Times New Roman" w:eastAsia="宋体" w:cs="Times New Roman"/>
          <w:kern w:val="2"/>
          <w:sz w:val="21"/>
          <w:szCs w:val="21"/>
          <w:highlight w:val="none"/>
          <w:u w:val="none" w:color="auto"/>
          <w:lang w:eastAsia="zh-CN"/>
        </w:rPr>
        <w:t>。</w:t>
      </w:r>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环境质量现状</w:t>
      </w:r>
    </w:p>
    <w:p>
      <w:pPr>
        <w:pageBreakBefore w:val="0"/>
        <w:kinsoku/>
        <w:wordWrap/>
        <w:overflowPunct/>
        <w:topLinePunct w:val="0"/>
        <w:bidi w:val="0"/>
        <w:adjustRightInd w:val="0"/>
        <w:snapToGrid w:val="0"/>
        <w:spacing w:line="360" w:lineRule="auto"/>
        <w:ind w:firstLine="420" w:firstLineChars="20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kern w:val="2"/>
          <w:sz w:val="21"/>
          <w:szCs w:val="21"/>
          <w:highlight w:val="none"/>
          <w:u w:val="none" w:color="auto"/>
        </w:rPr>
        <w:t>根据现状监测，</w:t>
      </w:r>
      <w:r>
        <w:rPr>
          <w:rFonts w:hint="eastAsia" w:cs="Times New Roman"/>
          <w:kern w:val="2"/>
          <w:sz w:val="21"/>
          <w:szCs w:val="21"/>
          <w:highlight w:val="none"/>
          <w:u w:val="none" w:color="auto"/>
          <w:lang w:val="en-US" w:eastAsia="zh-CN"/>
        </w:rPr>
        <w:t>各敏感目标的</w:t>
      </w:r>
      <w:r>
        <w:rPr>
          <w:rFonts w:hint="default" w:ascii="Times New Roman" w:hAnsi="Times New Roman" w:cs="Times New Roman"/>
          <w:kern w:val="2"/>
          <w:sz w:val="21"/>
          <w:szCs w:val="21"/>
          <w:highlight w:val="none"/>
          <w:u w:val="none" w:color="auto"/>
        </w:rPr>
        <w:t>现状昼间、夜间监测值均可满足《声环境质量标准》</w:t>
      </w:r>
      <w:r>
        <w:rPr>
          <w:rFonts w:hint="default" w:ascii="Times New Roman" w:hAnsi="Times New Roman" w:cs="Times New Roman"/>
          <w:kern w:val="2"/>
          <w:sz w:val="21"/>
          <w:szCs w:val="21"/>
          <w:highlight w:val="none"/>
          <w:u w:val="none" w:color="auto"/>
          <w:lang w:eastAsia="zh-CN"/>
        </w:rPr>
        <w:t>（</w:t>
      </w:r>
      <w:r>
        <w:rPr>
          <w:rFonts w:hint="default" w:ascii="Times New Roman" w:hAnsi="Times New Roman" w:cs="Times New Roman"/>
          <w:kern w:val="2"/>
          <w:sz w:val="21"/>
          <w:szCs w:val="21"/>
          <w:highlight w:val="none"/>
          <w:u w:val="none" w:color="auto"/>
        </w:rPr>
        <w:t>GB3096-2008）2类</w:t>
      </w:r>
      <w:r>
        <w:rPr>
          <w:rFonts w:hint="eastAsia" w:cs="Times New Roman"/>
          <w:kern w:val="2"/>
          <w:sz w:val="21"/>
          <w:szCs w:val="21"/>
          <w:highlight w:val="none"/>
          <w:u w:val="none" w:color="auto"/>
          <w:lang w:val="en-US" w:eastAsia="zh-CN"/>
        </w:rPr>
        <w:t>类</w:t>
      </w:r>
      <w:r>
        <w:rPr>
          <w:rFonts w:hint="default" w:ascii="Times New Roman" w:hAnsi="Times New Roman" w:cs="Times New Roman"/>
          <w:kern w:val="2"/>
          <w:sz w:val="21"/>
          <w:szCs w:val="21"/>
          <w:highlight w:val="none"/>
          <w:u w:val="none" w:color="auto"/>
        </w:rPr>
        <w:t>标准限值要求。</w:t>
      </w:r>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声环境影响分析及污染防治措施结论</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施工期：</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本项目施工期的噪声污染主要来自施工机械噪声。采取采用低噪声设备，加强设备的维护和保养；合理安排施工时间，夜间不施工；③设置施工围挡，必要时设置移动声屏障等；加强施工期噪声监测，发现噪声污染，及时采取有效的噪声污染防治措施等，可以有效降低施工期施工噪声对沿线声环境的影响。由于施工是暂时的，随着施工的结束，上述环境影响也将消失。</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运营期：</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Times New Roman"/>
          <w:color w:val="auto"/>
          <w:kern w:val="2"/>
          <w:sz w:val="21"/>
          <w:szCs w:val="21"/>
          <w:highlight w:val="none"/>
          <w:u w:val="none" w:color="auto"/>
          <w:lang w:eastAsia="zh-CN"/>
        </w:rPr>
      </w:pPr>
      <w:r>
        <w:rPr>
          <w:rFonts w:hint="eastAsia" w:cs="Times New Roman"/>
          <w:color w:val="auto"/>
          <w:kern w:val="2"/>
          <w:sz w:val="21"/>
          <w:szCs w:val="21"/>
          <w:highlight w:val="none"/>
          <w:u w:val="none" w:color="auto"/>
          <w:lang w:val="en-US" w:eastAsia="zh-CN"/>
        </w:rPr>
        <w:t>①</w:t>
      </w:r>
      <w:r>
        <w:rPr>
          <w:rFonts w:hint="default" w:ascii="Times New Roman" w:hAnsi="Times New Roman" w:cs="Times New Roman"/>
          <w:color w:val="auto"/>
          <w:kern w:val="2"/>
          <w:sz w:val="21"/>
          <w:szCs w:val="21"/>
          <w:highlight w:val="none"/>
          <w:u w:val="none" w:color="auto"/>
        </w:rPr>
        <w:t>全线采用沥青混凝土路面，道路两侧进行绿化</w:t>
      </w:r>
      <w:r>
        <w:rPr>
          <w:rFonts w:hint="eastAsia" w:cs="Times New Roman"/>
          <w:color w:val="auto"/>
          <w:kern w:val="2"/>
          <w:sz w:val="21"/>
          <w:szCs w:val="21"/>
          <w:highlight w:val="none"/>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宋体"/>
          <w:kern w:val="2"/>
          <w:sz w:val="21"/>
          <w:szCs w:val="21"/>
          <w:u w:val="none" w:color="auto"/>
          <w:lang w:eastAsia="zh-CN"/>
        </w:rPr>
      </w:pPr>
      <w:r>
        <w:rPr>
          <w:rFonts w:hint="eastAsia" w:ascii="Times New Roman" w:eastAsia="宋体"/>
          <w:kern w:val="2"/>
          <w:sz w:val="21"/>
          <w:szCs w:val="21"/>
          <w:u w:val="none" w:color="auto"/>
          <w:lang w:val="en-US" w:eastAsia="zh-CN"/>
        </w:rPr>
        <w:t>②</w:t>
      </w:r>
      <w:r>
        <w:rPr>
          <w:rFonts w:hint="default"/>
          <w:kern w:val="2"/>
          <w:sz w:val="21"/>
          <w:szCs w:val="21"/>
          <w:u w:val="none" w:color="auto"/>
        </w:rPr>
        <w:t>加强道路交通管理</w:t>
      </w:r>
      <w:r>
        <w:rPr>
          <w:rFonts w:hint="eastAsia" w:eastAsia="宋体"/>
          <w:kern w:val="2"/>
          <w:sz w:val="21"/>
          <w:szCs w:val="21"/>
          <w:u w:val="none" w:color="auto"/>
          <w:lang w:eastAsia="zh-CN"/>
        </w:rPr>
        <w:t>，</w:t>
      </w:r>
      <w:r>
        <w:rPr>
          <w:rFonts w:hint="default"/>
          <w:kern w:val="2"/>
          <w:sz w:val="21"/>
          <w:szCs w:val="21"/>
          <w:u w:val="none" w:color="auto"/>
        </w:rPr>
        <w:t>如限制性能差的车辆进入道路</w:t>
      </w:r>
      <w:r>
        <w:rPr>
          <w:rFonts w:hint="eastAsia" w:eastAsia="宋体"/>
          <w:kern w:val="2"/>
          <w:sz w:val="21"/>
          <w:szCs w:val="21"/>
          <w:u w:val="none" w:color="auto"/>
          <w:lang w:eastAsia="zh-CN"/>
        </w:rPr>
        <w:t>，</w:t>
      </w:r>
      <w:r>
        <w:rPr>
          <w:rFonts w:hint="default"/>
          <w:kern w:val="2"/>
          <w:sz w:val="21"/>
          <w:szCs w:val="21"/>
          <w:u w:val="none" w:color="auto"/>
        </w:rPr>
        <w:t>在重要敏感点附近路段设置限速、禁鸣标志</w:t>
      </w:r>
      <w:r>
        <w:rPr>
          <w:rFonts w:hint="eastAsia" w:eastAsia="宋体"/>
          <w:kern w:val="2"/>
          <w:sz w:val="21"/>
          <w:szCs w:val="21"/>
          <w:u w:val="none" w:color="auto"/>
          <w:lang w:eastAsia="zh-CN"/>
        </w:rPr>
        <w:t>，</w:t>
      </w:r>
      <w:r>
        <w:rPr>
          <w:rFonts w:hint="default"/>
          <w:kern w:val="2"/>
          <w:sz w:val="21"/>
          <w:szCs w:val="21"/>
          <w:u w:val="none" w:color="auto"/>
        </w:rPr>
        <w:t>设置限速摄像头</w:t>
      </w:r>
      <w:r>
        <w:rPr>
          <w:rFonts w:hint="eastAsia" w:eastAsia="宋体"/>
          <w:kern w:val="2"/>
          <w:sz w:val="21"/>
          <w:szCs w:val="21"/>
          <w:u w:val="none" w:color="auto"/>
          <w:lang w:eastAsia="zh-CN"/>
        </w:rPr>
        <w:t>，</w:t>
      </w:r>
      <w:r>
        <w:rPr>
          <w:rFonts w:hint="default"/>
          <w:kern w:val="2"/>
          <w:sz w:val="21"/>
          <w:szCs w:val="21"/>
          <w:u w:val="none" w:color="auto"/>
        </w:rPr>
        <w:t>可以有效控制交通噪声的污染</w:t>
      </w:r>
      <w:r>
        <w:rPr>
          <w:rFonts w:hint="eastAsia" w:eastAsia="宋体"/>
          <w:kern w:val="2"/>
          <w:sz w:val="21"/>
          <w:szCs w:val="21"/>
          <w:u w:val="none" w:color="auto"/>
          <w:lang w:eastAsia="zh-CN"/>
        </w:rPr>
        <w:t>，</w:t>
      </w:r>
      <w:r>
        <w:rPr>
          <w:rFonts w:hint="default"/>
          <w:kern w:val="2"/>
          <w:sz w:val="21"/>
          <w:szCs w:val="21"/>
          <w:u w:val="none" w:color="auto"/>
        </w:rPr>
        <w:t>减少交通噪声扰民问题</w:t>
      </w:r>
      <w:r>
        <w:rPr>
          <w:rFonts w:hint="eastAsia" w:eastAsia="宋体"/>
          <w:kern w:val="2"/>
          <w:sz w:val="21"/>
          <w:szCs w:val="21"/>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kern w:val="2"/>
          <w:sz w:val="21"/>
          <w:szCs w:val="21"/>
          <w:u w:val="none" w:color="auto"/>
        </w:rPr>
      </w:pPr>
      <w:r>
        <w:rPr>
          <w:rFonts w:hint="eastAsia" w:ascii="Times New Roman" w:eastAsia="宋体"/>
          <w:kern w:val="2"/>
          <w:sz w:val="21"/>
          <w:szCs w:val="21"/>
          <w:u w:val="none" w:color="auto"/>
          <w:lang w:val="en-US" w:eastAsia="zh-CN"/>
        </w:rPr>
        <w:t>③</w:t>
      </w:r>
      <w:r>
        <w:rPr>
          <w:rFonts w:hint="default"/>
          <w:kern w:val="2"/>
          <w:sz w:val="21"/>
          <w:szCs w:val="21"/>
          <w:u w:val="none" w:color="auto"/>
        </w:rPr>
        <w:t>维持道路路面的平整度</w:t>
      </w:r>
      <w:r>
        <w:rPr>
          <w:rFonts w:hint="eastAsia" w:eastAsia="宋体"/>
          <w:kern w:val="2"/>
          <w:sz w:val="21"/>
          <w:szCs w:val="21"/>
          <w:u w:val="none" w:color="auto"/>
          <w:lang w:eastAsia="zh-CN"/>
        </w:rPr>
        <w:t>，</w:t>
      </w:r>
      <w:r>
        <w:rPr>
          <w:rFonts w:hint="default"/>
          <w:kern w:val="2"/>
          <w:sz w:val="21"/>
          <w:szCs w:val="21"/>
          <w:u w:val="none" w:color="auto"/>
        </w:rPr>
        <w:t>避免因路况不佳造成车辆颠簸等引起交通噪声。</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eastAsia="宋体"/>
          <w:kern w:val="2"/>
          <w:sz w:val="21"/>
          <w:szCs w:val="21"/>
          <w:u w:val="none" w:color="auto"/>
          <w:lang w:eastAsia="zh-CN"/>
        </w:rPr>
      </w:pPr>
      <w:r>
        <w:rPr>
          <w:rFonts w:hint="eastAsia" w:ascii="Times New Roman" w:eastAsia="宋体"/>
          <w:kern w:val="2"/>
          <w:sz w:val="21"/>
          <w:szCs w:val="21"/>
          <w:u w:val="none" w:color="auto"/>
          <w:lang w:val="en-US" w:eastAsia="zh-CN"/>
        </w:rPr>
        <w:t>④</w:t>
      </w:r>
      <w:r>
        <w:rPr>
          <w:rFonts w:hint="default"/>
          <w:kern w:val="2"/>
          <w:sz w:val="21"/>
          <w:szCs w:val="21"/>
          <w:u w:val="none" w:color="auto"/>
        </w:rPr>
        <w:t>结合当地生态建设规划</w:t>
      </w:r>
      <w:r>
        <w:rPr>
          <w:rFonts w:hint="eastAsia" w:eastAsia="宋体"/>
          <w:kern w:val="2"/>
          <w:sz w:val="21"/>
          <w:szCs w:val="21"/>
          <w:u w:val="none" w:color="auto"/>
          <w:lang w:eastAsia="zh-CN"/>
        </w:rPr>
        <w:t>，</w:t>
      </w:r>
      <w:r>
        <w:rPr>
          <w:rFonts w:hint="default"/>
          <w:kern w:val="2"/>
          <w:sz w:val="21"/>
          <w:szCs w:val="21"/>
          <w:u w:val="none" w:color="auto"/>
        </w:rPr>
        <w:t>加强工程征地范围内可绿化地段的绿化工作</w:t>
      </w:r>
      <w:r>
        <w:rPr>
          <w:rFonts w:hint="eastAsia"/>
          <w:kern w:val="2"/>
          <w:sz w:val="21"/>
          <w:szCs w:val="21"/>
          <w:u w:val="none" w:color="auto"/>
          <w:lang w:eastAsia="zh-CN"/>
        </w:rPr>
        <w:t>。</w:t>
      </w:r>
    </w:p>
    <w:p>
      <w:pPr>
        <w:keepNext/>
        <w:keepLines/>
        <w:pageBreakBefore w:val="0"/>
        <w:widowControl w:val="0"/>
        <w:numPr>
          <w:ilvl w:val="1"/>
          <w:numId w:val="3"/>
        </w:numPr>
        <w:kinsoku/>
        <w:wordWrap/>
        <w:overflowPunct/>
        <w:topLinePunct w:val="0"/>
        <w:bidi w:val="0"/>
        <w:adjustRightInd w:val="0"/>
        <w:snapToGrid w:val="0"/>
        <w:spacing w:line="360" w:lineRule="auto"/>
        <w:ind w:left="0" w:firstLine="0" w:firstLineChars="0"/>
        <w:jc w:val="both"/>
        <w:outlineLvl w:val="1"/>
        <w:rPr>
          <w:rFonts w:hint="default" w:ascii="Times New Roman" w:hAnsi="Times New Roman" w:eastAsia="宋体" w:cs="Times New Roman"/>
          <w:b/>
          <w:bCs/>
          <w:kern w:val="2"/>
          <w:sz w:val="21"/>
          <w:szCs w:val="21"/>
          <w:highlight w:val="none"/>
          <w:u w:val="none" w:color="auto"/>
          <w:lang w:val="en-US" w:eastAsia="zh-CN" w:bidi="ar-SA"/>
        </w:rPr>
      </w:pPr>
      <w:r>
        <w:rPr>
          <w:rFonts w:hint="default" w:ascii="Times New Roman" w:hAnsi="Times New Roman" w:eastAsia="宋体" w:cs="Times New Roman"/>
          <w:b/>
          <w:bCs/>
          <w:kern w:val="2"/>
          <w:sz w:val="21"/>
          <w:szCs w:val="21"/>
          <w:highlight w:val="none"/>
          <w:u w:val="none" w:color="auto"/>
          <w:lang w:val="en-US" w:eastAsia="zh-CN" w:bidi="ar-SA"/>
        </w:rPr>
        <w:t>声环境评价总结论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color w:val="auto"/>
          <w:sz w:val="21"/>
          <w:szCs w:val="21"/>
          <w:highlight w:val="none"/>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kern w:val="2"/>
          <w:sz w:val="21"/>
          <w:szCs w:val="21"/>
          <w:highlight w:val="none"/>
          <w:u w:val="none" w:color="auto"/>
        </w:rPr>
        <w:t>综上所述，按照本环评报告提出的要求对噪声采取相应的防治措施，项目的建设不会对选址区域的环境造成大的影响，项目的建设不会降低和改变该区域的环境质量和环境功能，项目建设从环境影响的角度分析是可行的。</w:t>
      </w:r>
    </w:p>
    <w:p>
      <w:pPr>
        <w:spacing w:line="360" w:lineRule="auto"/>
        <w:ind w:firstLine="480" w:firstLineChars="200"/>
        <w:jc w:val="center"/>
        <w:outlineLvl w:val="0"/>
        <w:rPr>
          <w:rFonts w:hint="default" w:ascii="Times New Roman" w:hAnsi="Times New Roman" w:cs="Times New Roman"/>
          <w:color w:val="auto"/>
          <w:kern w:val="2"/>
          <w:sz w:val="24"/>
          <w:highlight w:val="none"/>
          <w:u w:val="none" w:color="auto"/>
        </w:rPr>
      </w:pPr>
      <w:bookmarkStart w:id="126" w:name="_Toc22777"/>
      <w:bookmarkStart w:id="127" w:name="_Toc7402"/>
      <w:bookmarkStart w:id="128" w:name="_Toc21338"/>
      <w:bookmarkStart w:id="129" w:name="_Toc28930"/>
      <w:bookmarkStart w:id="130" w:name="_Toc14704"/>
      <w:r>
        <w:rPr>
          <w:rFonts w:hint="default" w:ascii="Times New Roman" w:hAnsi="Times New Roman" w:cs="Times New Roman"/>
          <w:color w:val="auto"/>
          <w:kern w:val="2"/>
          <w:sz w:val="24"/>
          <w:highlight w:val="none"/>
          <w:u w:val="none" w:color="auto"/>
        </w:rPr>
        <w:t>声环境影响评价自查表</w:t>
      </w:r>
      <w:bookmarkEnd w:id="126"/>
      <w:bookmarkEnd w:id="127"/>
      <w:bookmarkEnd w:id="128"/>
      <w:bookmarkEnd w:id="129"/>
      <w:bookmarkEnd w:id="130"/>
    </w:p>
    <w:tbl>
      <w:tblPr>
        <w:tblStyle w:val="41"/>
        <w:tblW w:w="98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747"/>
        <w:gridCol w:w="1018"/>
        <w:gridCol w:w="363"/>
        <w:gridCol w:w="74"/>
        <w:gridCol w:w="727"/>
        <w:gridCol w:w="874"/>
        <w:gridCol w:w="290"/>
        <w:gridCol w:w="1164"/>
        <w:gridCol w:w="436"/>
        <w:gridCol w:w="729"/>
        <w:gridCol w:w="1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05" w:type="dxa"/>
            <w:gridSpan w:val="2"/>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工作内容</w:t>
            </w:r>
          </w:p>
        </w:tc>
        <w:tc>
          <w:tcPr>
            <w:tcW w:w="6983" w:type="dxa"/>
            <w:gridSpan w:val="10"/>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restart"/>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评价等级与范围</w:t>
            </w: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评价等级</w:t>
            </w:r>
          </w:p>
        </w:tc>
        <w:tc>
          <w:tcPr>
            <w:tcW w:w="6983" w:type="dxa"/>
            <w:gridSpan w:val="10"/>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一级</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 xml:space="preserve">                       二级</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 xml:space="preserve">                     三级</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评价范围</w:t>
            </w:r>
          </w:p>
        </w:tc>
        <w:tc>
          <w:tcPr>
            <w:tcW w:w="6983" w:type="dxa"/>
            <w:gridSpan w:val="10"/>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200m☑                   大于200m□               小于200m□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评价因子</w:t>
            </w: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评价因子</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等效连续A声级☑     最大A声级</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 xml:space="preserve">     计权等效连续感觉噪声级</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评价标准</w:t>
            </w: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评价标准</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国家标准☑                  地方标准</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 xml:space="preserve">               国外标准</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restart"/>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现状评价</w:t>
            </w: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环境功能区</w:t>
            </w:r>
          </w:p>
        </w:tc>
        <w:tc>
          <w:tcPr>
            <w:tcW w:w="1018"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0类区□</w:t>
            </w:r>
          </w:p>
        </w:tc>
        <w:tc>
          <w:tcPr>
            <w:tcW w:w="1164" w:type="dxa"/>
            <w:gridSpan w:val="3"/>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1类区</w:t>
            </w:r>
            <w:r>
              <w:rPr>
                <w:rFonts w:hint="eastAsia" w:cs="Times New Roman"/>
                <w:color w:val="auto"/>
                <w:kern w:val="2"/>
                <w:sz w:val="21"/>
                <w:szCs w:val="21"/>
                <w:highlight w:val="none"/>
                <w:u w:val="none" w:color="auto"/>
                <w:lang w:eastAsia="zh-CN"/>
              </w:rPr>
              <w:t>□</w:t>
            </w:r>
          </w:p>
        </w:tc>
        <w:tc>
          <w:tcPr>
            <w:tcW w:w="1164" w:type="dxa"/>
            <w:gridSpan w:val="2"/>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2类区</w:t>
            </w:r>
            <w:r>
              <w:rPr>
                <w:rFonts w:hint="eastAsia" w:cs="Times New Roman"/>
                <w:color w:val="auto"/>
                <w:kern w:val="2"/>
                <w:sz w:val="21"/>
                <w:szCs w:val="21"/>
                <w:highlight w:val="none"/>
                <w:u w:val="none" w:color="auto"/>
                <w:lang w:eastAsia="zh-CN"/>
              </w:rPr>
              <w:t>☑</w:t>
            </w:r>
          </w:p>
        </w:tc>
        <w:tc>
          <w:tcPr>
            <w:tcW w:w="1164" w:type="dxa"/>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3类区</w:t>
            </w:r>
            <w:r>
              <w:rPr>
                <w:rFonts w:hint="eastAsia" w:cs="Times New Roman"/>
                <w:color w:val="auto"/>
                <w:kern w:val="2"/>
                <w:sz w:val="21"/>
                <w:szCs w:val="21"/>
                <w:highlight w:val="none"/>
                <w:u w:val="none" w:color="auto"/>
                <w:lang w:eastAsia="zh-CN"/>
              </w:rPr>
              <w:t>□</w:t>
            </w:r>
          </w:p>
        </w:tc>
        <w:tc>
          <w:tcPr>
            <w:tcW w:w="1165" w:type="dxa"/>
            <w:gridSpan w:val="2"/>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4a类区☑</w:t>
            </w:r>
          </w:p>
        </w:tc>
        <w:tc>
          <w:tcPr>
            <w:tcW w:w="1308" w:type="dxa"/>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4b类区</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评价年度</w:t>
            </w:r>
          </w:p>
        </w:tc>
        <w:tc>
          <w:tcPr>
            <w:tcW w:w="1455" w:type="dxa"/>
            <w:gridSpan w:val="3"/>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初期□</w:t>
            </w:r>
          </w:p>
        </w:tc>
        <w:tc>
          <w:tcPr>
            <w:tcW w:w="1601" w:type="dxa"/>
            <w:gridSpan w:val="2"/>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近期☑</w:t>
            </w:r>
          </w:p>
        </w:tc>
        <w:tc>
          <w:tcPr>
            <w:tcW w:w="1890" w:type="dxa"/>
            <w:gridSpan w:val="3"/>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中期☑</w:t>
            </w:r>
          </w:p>
        </w:tc>
        <w:tc>
          <w:tcPr>
            <w:tcW w:w="2037" w:type="dxa"/>
            <w:gridSpan w:val="2"/>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现状调查方法</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现场实测法☑           现场实测加模型计算法</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 xml:space="preserve">        收集资料</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现状评价</w:t>
            </w:r>
          </w:p>
        </w:tc>
        <w:tc>
          <w:tcPr>
            <w:tcW w:w="1381" w:type="dxa"/>
            <w:gridSpan w:val="2"/>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达标百分比</w:t>
            </w:r>
          </w:p>
        </w:tc>
        <w:tc>
          <w:tcPr>
            <w:tcW w:w="5602" w:type="dxa"/>
            <w:gridSpan w:val="8"/>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噪声源调查</w:t>
            </w: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噪声源调查方法</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现场实测☑  已有资料</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 xml:space="preserve">  研究成果</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restart"/>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声环境影响预测与评价</w:t>
            </w: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预测模型</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导则推荐模型☑              其他</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after="0" w:line="240" w:lineRule="auto"/>
              <w:ind w:firstLine="420" w:firstLineChars="200"/>
              <w:jc w:val="center"/>
              <w:rPr>
                <w:rFonts w:hint="default" w:ascii="Times New Roman" w:hAnsi="Times New Roman" w:cs="Times New Roman"/>
                <w:color w:val="auto"/>
                <w:kern w:val="2"/>
                <w:sz w:val="21"/>
                <w:szCs w:val="21"/>
                <w:highlight w:val="none"/>
                <w:u w:val="none" w:color="auto"/>
              </w:rPr>
            </w:pP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预测范围</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200m☑                  大于200m</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 xml:space="preserve">                小于200m</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after="0" w:line="240" w:lineRule="auto"/>
              <w:ind w:firstLine="420" w:firstLineChars="200"/>
              <w:jc w:val="center"/>
              <w:rPr>
                <w:rFonts w:hint="default" w:ascii="Times New Roman" w:hAnsi="Times New Roman" w:cs="Times New Roman"/>
                <w:color w:val="auto"/>
                <w:kern w:val="2"/>
                <w:sz w:val="21"/>
                <w:szCs w:val="21"/>
                <w:highlight w:val="none"/>
                <w:u w:val="none" w:color="auto"/>
              </w:rPr>
            </w:pP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预测因子</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等效连续A声级☑     最大A声级</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 xml:space="preserve">     计权等效连续感觉噪声级</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after="0" w:line="240" w:lineRule="auto"/>
              <w:ind w:firstLine="420" w:firstLineChars="200"/>
              <w:jc w:val="center"/>
              <w:rPr>
                <w:rFonts w:hint="default" w:ascii="Times New Roman" w:hAnsi="Times New Roman" w:cs="Times New Roman"/>
                <w:color w:val="auto"/>
                <w:kern w:val="2"/>
                <w:sz w:val="21"/>
                <w:szCs w:val="21"/>
                <w:highlight w:val="none"/>
                <w:u w:val="none" w:color="auto"/>
              </w:rPr>
            </w:pP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厂界噪声贡献值</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达标☑       不达标</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声环境保护目标处噪声值</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达标</w:t>
            </w:r>
            <w:r>
              <w:rPr>
                <w:rFonts w:hint="eastAsia" w:cs="Times New Roman"/>
                <w:color w:val="auto"/>
                <w:kern w:val="2"/>
                <w:sz w:val="21"/>
                <w:szCs w:val="21"/>
                <w:highlight w:val="none"/>
                <w:u w:val="none" w:color="auto"/>
                <w:lang w:eastAsia="zh-CN"/>
              </w:rPr>
              <w:t>☑</w:t>
            </w:r>
            <w:r>
              <w:rPr>
                <w:rFonts w:hint="default" w:ascii="Times New Roman" w:hAnsi="Times New Roman" w:cs="Times New Roman"/>
                <w:color w:val="auto"/>
                <w:kern w:val="2"/>
                <w:sz w:val="21"/>
                <w:szCs w:val="21"/>
                <w:highlight w:val="none"/>
                <w:u w:val="none" w:color="auto"/>
              </w:rPr>
              <w:t xml:space="preserve">       不达标</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restart"/>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环境监测计划</w:t>
            </w: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排放监测</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厂界监测□    固定位置监测☑   自动监测□  手动监测☑  无监测</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Merge w:val="continue"/>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声环境保护目标处噪声监测</w:t>
            </w:r>
          </w:p>
        </w:tc>
        <w:tc>
          <w:tcPr>
            <w:tcW w:w="2182" w:type="dxa"/>
            <w:gridSpan w:val="4"/>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监测因子（L</w:t>
            </w:r>
            <w:r>
              <w:rPr>
                <w:rFonts w:hint="default" w:ascii="Times New Roman" w:hAnsi="Times New Roman" w:cs="Times New Roman"/>
                <w:color w:val="auto"/>
                <w:kern w:val="2"/>
                <w:sz w:val="21"/>
                <w:szCs w:val="21"/>
                <w:highlight w:val="none"/>
                <w:u w:val="none" w:color="auto"/>
                <w:vertAlign w:val="subscript"/>
              </w:rPr>
              <w:t>Aeq</w:t>
            </w:r>
            <w:r>
              <w:rPr>
                <w:rFonts w:hint="default" w:ascii="Times New Roman" w:hAnsi="Times New Roman" w:cs="Times New Roman"/>
                <w:color w:val="auto"/>
                <w:kern w:val="2"/>
                <w:sz w:val="21"/>
                <w:szCs w:val="21"/>
                <w:highlight w:val="none"/>
                <w:u w:val="none" w:color="auto"/>
              </w:rPr>
              <w:t>）</w:t>
            </w:r>
          </w:p>
        </w:tc>
        <w:tc>
          <w:tcPr>
            <w:tcW w:w="2328" w:type="dxa"/>
            <w:gridSpan w:val="3"/>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监测点位数（</w:t>
            </w:r>
            <w:r>
              <w:rPr>
                <w:rFonts w:hint="eastAsia" w:cs="Times New Roman"/>
                <w:color w:val="auto"/>
                <w:kern w:val="2"/>
                <w:sz w:val="21"/>
                <w:szCs w:val="21"/>
                <w:highlight w:val="none"/>
                <w:u w:val="none" w:color="auto"/>
                <w:lang w:val="en-US" w:eastAsia="zh-CN"/>
              </w:rPr>
              <w:t>5</w:t>
            </w:r>
            <w:r>
              <w:rPr>
                <w:rFonts w:hint="default" w:ascii="Times New Roman" w:hAnsi="Times New Roman" w:cs="Times New Roman"/>
                <w:color w:val="auto"/>
                <w:kern w:val="2"/>
                <w:sz w:val="21"/>
                <w:szCs w:val="21"/>
                <w:highlight w:val="none"/>
                <w:u w:val="none" w:color="auto"/>
              </w:rPr>
              <w:t>）</w:t>
            </w:r>
          </w:p>
        </w:tc>
        <w:tc>
          <w:tcPr>
            <w:tcW w:w="2473" w:type="dxa"/>
            <w:gridSpan w:val="3"/>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无监测</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58"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评价结论</w:t>
            </w:r>
          </w:p>
        </w:tc>
        <w:tc>
          <w:tcPr>
            <w:tcW w:w="1747" w:type="dxa"/>
            <w:vAlign w:val="center"/>
          </w:tcPr>
          <w:p>
            <w:pPr>
              <w:spacing w:after="0" w:line="240" w:lineRule="auto"/>
              <w:ind w:firstLine="0" w:firstLineChars="0"/>
              <w:jc w:val="center"/>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环境影响</w:t>
            </w:r>
          </w:p>
        </w:tc>
        <w:tc>
          <w:tcPr>
            <w:tcW w:w="6983" w:type="dxa"/>
            <w:gridSpan w:val="10"/>
            <w:vAlign w:val="center"/>
          </w:tcPr>
          <w:p>
            <w:pPr>
              <w:spacing w:after="0" w:line="240" w:lineRule="auto"/>
              <w:ind w:firstLine="0" w:firstLineChars="0"/>
              <w:jc w:val="center"/>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cs="Times New Roman"/>
                <w:color w:val="auto"/>
                <w:kern w:val="2"/>
                <w:sz w:val="21"/>
                <w:szCs w:val="21"/>
                <w:highlight w:val="none"/>
                <w:u w:val="none" w:color="auto"/>
              </w:rPr>
              <w:t>可行☑        不可行</w:t>
            </w:r>
            <w:r>
              <w:rPr>
                <w:rFonts w:hint="eastAsia" w:cs="Times New Roman"/>
                <w:color w:val="auto"/>
                <w:kern w:val="2"/>
                <w:sz w:val="21"/>
                <w:szCs w:val="21"/>
                <w:highlight w:val="none"/>
                <w:u w:val="none" w:color="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88" w:type="dxa"/>
            <w:gridSpan w:val="12"/>
            <w:vAlign w:val="center"/>
          </w:tcPr>
          <w:p>
            <w:pPr>
              <w:spacing w:after="0" w:line="240" w:lineRule="auto"/>
              <w:ind w:firstLine="0" w:firstLineChars="0"/>
              <w:rPr>
                <w:rFonts w:hint="default" w:ascii="Times New Roman" w:hAnsi="Times New Roman" w:cs="Times New Roman"/>
                <w:color w:val="auto"/>
                <w:kern w:val="2"/>
                <w:sz w:val="21"/>
                <w:szCs w:val="21"/>
                <w:highlight w:val="none"/>
                <w:u w:val="none" w:color="auto"/>
              </w:rPr>
            </w:pPr>
            <w:r>
              <w:rPr>
                <w:rFonts w:hint="default" w:ascii="Times New Roman" w:hAnsi="Times New Roman" w:cs="Times New Roman"/>
                <w:color w:val="auto"/>
                <w:kern w:val="2"/>
                <w:sz w:val="21"/>
                <w:szCs w:val="21"/>
                <w:highlight w:val="none"/>
                <w:u w:val="none" w:color="auto"/>
              </w:rPr>
              <w:t>注：“□”为勾选项，☑可；“（）”为内容填写项。</w:t>
            </w:r>
          </w:p>
        </w:tc>
      </w:tr>
    </w:tbl>
    <w:p>
      <w:pPr>
        <w:ind w:firstLine="480"/>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rPr>
          <w:rFonts w:hint="default" w:ascii="Times New Roman" w:hAnsi="Times New Roman" w:cs="Times New Roman"/>
          <w:color w:val="auto"/>
          <w:highlight w:val="none"/>
          <w:u w:val="none" w:color="auto"/>
        </w:rPr>
      </w:pP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default" w:ascii="Times New Roman" w:hAnsi="Times New Roman" w:cs="Times New Roman"/>
          <w:color w:val="auto"/>
          <w:highlight w:val="none"/>
          <w:u w:val="none" w:color="auto"/>
        </w:rPr>
      </w:pPr>
      <w:bookmarkStart w:id="131" w:name="_Toc30426"/>
      <w:bookmarkStart w:id="132" w:name="_Toc2907"/>
      <w:r>
        <w:rPr>
          <w:rFonts w:hint="default" w:ascii="Times New Roman" w:hAnsi="Times New Roman" w:cs="Times New Roman"/>
          <w:color w:val="auto"/>
          <w:highlight w:val="none"/>
          <w:u w:val="none" w:color="auto"/>
        </w:rPr>
        <w:t>贡献值等声值线图</w:t>
      </w:r>
      <w:bookmarkEnd w:id="131"/>
      <w:bookmarkEnd w:id="132"/>
    </w:p>
    <w:tbl>
      <w:tblPr>
        <w:tblStyle w:val="41"/>
        <w:tblW w:w="85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kern w:val="2"/>
                <w:sz w:val="24"/>
                <w:highlight w:val="none"/>
                <w:u w:val="none" w:color="auto"/>
                <w:vertAlign w:val="baseline"/>
              </w:rPr>
            </w:pPr>
            <w:r>
              <w:drawing>
                <wp:inline distT="0" distB="0" distL="114300" distR="114300">
                  <wp:extent cx="4914900" cy="6991350"/>
                  <wp:effectExtent l="0" t="0" r="0" b="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76"/>
                          <a:stretch>
                            <a:fillRect/>
                          </a:stretch>
                        </pic:blipFill>
                        <pic:spPr>
                          <a:xfrm>
                            <a:off x="0" y="0"/>
                            <a:ext cx="4914900" cy="6991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kern w:val="2"/>
                <w:sz w:val="24"/>
                <w:highlight w:val="none"/>
                <w:u w:val="none" w:color="auto"/>
              </w:rPr>
            </w:pPr>
            <w:r>
              <w:rPr>
                <w:rFonts w:hint="default" w:ascii="Times New Roman" w:hAnsi="Times New Roman" w:cs="Times New Roman"/>
                <w:color w:val="auto"/>
                <w:kern w:val="2"/>
                <w:sz w:val="24"/>
                <w:highlight w:val="none"/>
                <w:u w:val="none" w:color="auto"/>
              </w:rPr>
              <w:t>近期昼间噪声贡献值等声值线图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kern w:val="2"/>
                <w:sz w:val="24"/>
                <w:highlight w:val="none"/>
                <w:u w:val="none" w:color="auto"/>
              </w:rPr>
            </w:pPr>
            <w:r>
              <w:drawing>
                <wp:inline distT="0" distB="0" distL="114300" distR="114300">
                  <wp:extent cx="4962525" cy="6877050"/>
                  <wp:effectExtent l="0" t="0" r="9525" b="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77"/>
                          <a:stretch>
                            <a:fillRect/>
                          </a:stretch>
                        </pic:blipFill>
                        <pic:spPr>
                          <a:xfrm>
                            <a:off x="0" y="0"/>
                            <a:ext cx="4962525" cy="68770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kern w:val="2"/>
                <w:sz w:val="24"/>
                <w:highlight w:val="none"/>
              </w:rPr>
            </w:pPr>
            <w:r>
              <w:rPr>
                <w:rFonts w:hint="default" w:ascii="Times New Roman" w:hAnsi="Times New Roman" w:cs="Times New Roman"/>
                <w:color w:val="auto"/>
                <w:kern w:val="2"/>
                <w:sz w:val="24"/>
                <w:highlight w:val="none"/>
                <w:u w:val="none" w:color="auto"/>
              </w:rPr>
              <w:t>近期</w:t>
            </w:r>
            <w:r>
              <w:rPr>
                <w:rFonts w:hint="eastAsia" w:cs="Times New Roman"/>
                <w:color w:val="auto"/>
                <w:kern w:val="2"/>
                <w:sz w:val="24"/>
                <w:highlight w:val="none"/>
                <w:u w:val="none" w:color="auto"/>
                <w:lang w:val="en-US" w:eastAsia="zh-CN"/>
              </w:rPr>
              <w:t>夜</w:t>
            </w:r>
            <w:r>
              <w:rPr>
                <w:rFonts w:hint="default" w:ascii="Times New Roman" w:hAnsi="Times New Roman" w:cs="Times New Roman"/>
                <w:color w:val="auto"/>
                <w:kern w:val="2"/>
                <w:sz w:val="24"/>
                <w:highlight w:val="none"/>
                <w:u w:val="none" w:color="auto"/>
              </w:rPr>
              <w:t>间噪声贡献值等声值线图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kern w:val="2"/>
                <w:sz w:val="24"/>
                <w:highlight w:val="none"/>
                <w:u w:val="none" w:color="auto"/>
              </w:rPr>
            </w:pPr>
            <w:r>
              <w:drawing>
                <wp:inline distT="0" distB="0" distL="114300" distR="114300">
                  <wp:extent cx="4905375" cy="6858000"/>
                  <wp:effectExtent l="0" t="0" r="9525" b="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78"/>
                          <a:stretch>
                            <a:fillRect/>
                          </a:stretch>
                        </pic:blipFill>
                        <pic:spPr>
                          <a:xfrm>
                            <a:off x="0" y="0"/>
                            <a:ext cx="4905375" cy="6858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kern w:val="2"/>
                <w:sz w:val="24"/>
                <w:highlight w:val="none"/>
                <w:u w:val="none" w:color="auto"/>
                <w:lang w:val="en-US" w:eastAsia="zh-CN"/>
              </w:rPr>
            </w:pPr>
            <w:r>
              <w:rPr>
                <w:rFonts w:hint="eastAsia" w:cs="Times New Roman"/>
                <w:color w:val="auto"/>
                <w:kern w:val="2"/>
                <w:sz w:val="24"/>
                <w:highlight w:val="none"/>
                <w:u w:val="none" w:color="auto"/>
                <w:lang w:val="en-US" w:eastAsia="zh-CN"/>
              </w:rPr>
              <w:t>中期</w:t>
            </w:r>
            <w:r>
              <w:rPr>
                <w:rFonts w:hint="default" w:ascii="Times New Roman" w:hAnsi="Times New Roman" w:cs="Times New Roman"/>
                <w:color w:val="auto"/>
                <w:kern w:val="2"/>
                <w:sz w:val="24"/>
                <w:highlight w:val="none"/>
                <w:u w:val="none" w:color="auto"/>
              </w:rPr>
              <w:t>昼间噪声贡献值等声值线图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kern w:val="2"/>
                <w:sz w:val="24"/>
                <w:highlight w:val="none"/>
                <w:u w:val="none" w:color="auto"/>
                <w:lang w:val="en-US" w:eastAsia="zh-CN"/>
              </w:rPr>
            </w:pPr>
            <w:r>
              <w:drawing>
                <wp:inline distT="0" distB="0" distL="114300" distR="114300">
                  <wp:extent cx="5029200" cy="6848475"/>
                  <wp:effectExtent l="0" t="0" r="0" b="9525"/>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79"/>
                          <a:stretch>
                            <a:fillRect/>
                          </a:stretch>
                        </pic:blipFill>
                        <pic:spPr>
                          <a:xfrm>
                            <a:off x="0" y="0"/>
                            <a:ext cx="5029200" cy="68484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kern w:val="2"/>
                <w:sz w:val="24"/>
                <w:highlight w:val="none"/>
              </w:rPr>
            </w:pPr>
            <w:r>
              <w:rPr>
                <w:rFonts w:hint="eastAsia" w:cs="Times New Roman"/>
                <w:color w:val="auto"/>
                <w:kern w:val="2"/>
                <w:sz w:val="24"/>
                <w:highlight w:val="none"/>
                <w:u w:val="none" w:color="auto"/>
                <w:lang w:val="en-US" w:eastAsia="zh-CN"/>
              </w:rPr>
              <w:t>中期</w:t>
            </w:r>
            <w:r>
              <w:rPr>
                <w:rFonts w:hint="eastAsia" w:ascii="Times New Roman" w:hAnsi="Times New Roman" w:cs="Times New Roman"/>
                <w:color w:val="auto"/>
                <w:kern w:val="2"/>
                <w:sz w:val="24"/>
                <w:highlight w:val="none"/>
                <w:u w:val="none" w:color="auto"/>
                <w:lang w:val="en-US" w:eastAsia="zh-CN"/>
              </w:rPr>
              <w:t>夜</w:t>
            </w:r>
            <w:r>
              <w:rPr>
                <w:rFonts w:hint="default" w:ascii="Times New Roman" w:hAnsi="Times New Roman" w:cs="Times New Roman"/>
                <w:color w:val="auto"/>
                <w:kern w:val="2"/>
                <w:sz w:val="24"/>
                <w:highlight w:val="none"/>
                <w:u w:val="none" w:color="auto"/>
              </w:rPr>
              <w:t>间噪声贡献值等声值线图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cs="Times New Roman"/>
                <w:color w:val="auto"/>
                <w:kern w:val="2"/>
                <w:sz w:val="24"/>
                <w:highlight w:val="none"/>
                <w:u w:val="none" w:color="auto"/>
                <w:lang w:val="en-US" w:eastAsia="zh-CN"/>
              </w:rPr>
            </w:pPr>
            <w:r>
              <w:drawing>
                <wp:inline distT="0" distB="0" distL="114300" distR="114300">
                  <wp:extent cx="4905375" cy="6810375"/>
                  <wp:effectExtent l="0" t="0" r="9525" b="9525"/>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80"/>
                          <a:stretch>
                            <a:fillRect/>
                          </a:stretch>
                        </pic:blipFill>
                        <pic:spPr>
                          <a:xfrm>
                            <a:off x="0" y="0"/>
                            <a:ext cx="4905375" cy="68103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eastAsia="宋体"/>
                <w:kern w:val="2"/>
                <w:sz w:val="24"/>
                <w:highlight w:val="none"/>
                <w:lang w:val="en-US" w:eastAsia="zh-CN"/>
              </w:rPr>
            </w:pPr>
            <w:r>
              <w:rPr>
                <w:rFonts w:hint="eastAsia" w:ascii="Times New Roman" w:eastAsia="宋体"/>
                <w:kern w:val="2"/>
                <w:sz w:val="24"/>
                <w:highlight w:val="none"/>
                <w:lang w:val="en-US" w:eastAsia="zh-CN"/>
              </w:rPr>
              <w:t>远期</w:t>
            </w:r>
            <w:r>
              <w:rPr>
                <w:rFonts w:hint="default" w:ascii="Times New Roman" w:hAnsi="Times New Roman" w:cs="Times New Roman"/>
                <w:color w:val="auto"/>
                <w:kern w:val="2"/>
                <w:sz w:val="24"/>
                <w:highlight w:val="none"/>
                <w:u w:val="none" w:color="auto"/>
              </w:rPr>
              <w:t>昼间噪声贡献值等声值线图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eastAsia"/>
                <w:kern w:val="2"/>
                <w:sz w:val="24"/>
                <w:highlight w:val="none"/>
                <w:lang w:val="en-US" w:eastAsia="zh-CN"/>
              </w:rPr>
            </w:pPr>
            <w:r>
              <w:drawing>
                <wp:inline distT="0" distB="0" distL="114300" distR="114300">
                  <wp:extent cx="4895850" cy="6962775"/>
                  <wp:effectExtent l="0" t="0" r="0" b="9525"/>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81"/>
                          <a:stretch>
                            <a:fillRect/>
                          </a:stretch>
                        </pic:blipFill>
                        <pic:spPr>
                          <a:xfrm>
                            <a:off x="0" y="0"/>
                            <a:ext cx="4895850" cy="69627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15" w:type="dxa"/>
          </w:tcPr>
          <w:p>
            <w:pPr>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kern w:val="2"/>
                <w:sz w:val="24"/>
                <w:highlight w:val="none"/>
              </w:rPr>
            </w:pPr>
            <w:r>
              <w:rPr>
                <w:rFonts w:hint="eastAsia" w:ascii="Times New Roman" w:eastAsia="宋体"/>
                <w:kern w:val="2"/>
                <w:sz w:val="24"/>
                <w:highlight w:val="none"/>
                <w:lang w:val="en-US" w:eastAsia="zh-CN"/>
              </w:rPr>
              <w:t>远期</w:t>
            </w:r>
            <w:r>
              <w:rPr>
                <w:rFonts w:hint="eastAsia" w:ascii="Times New Roman" w:hAnsi="Times New Roman" w:cs="Times New Roman"/>
                <w:color w:val="auto"/>
                <w:kern w:val="2"/>
                <w:sz w:val="24"/>
                <w:highlight w:val="none"/>
                <w:u w:val="none" w:color="auto"/>
                <w:lang w:val="en-US" w:eastAsia="zh-CN"/>
              </w:rPr>
              <w:t>夜</w:t>
            </w:r>
            <w:r>
              <w:rPr>
                <w:rFonts w:hint="default" w:ascii="Times New Roman" w:hAnsi="Times New Roman" w:cs="Times New Roman"/>
                <w:color w:val="auto"/>
                <w:kern w:val="2"/>
                <w:sz w:val="24"/>
                <w:highlight w:val="none"/>
                <w:u w:val="none" w:color="auto"/>
              </w:rPr>
              <w:t>间噪声贡献值等声值线图</w:t>
            </w:r>
          </w:p>
        </w:tc>
      </w:tr>
    </w:tbl>
    <w:p>
      <w:pPr>
        <w:spacing w:line="360" w:lineRule="auto"/>
        <w:ind w:firstLine="0" w:firstLineChars="0"/>
        <w:jc w:val="both"/>
        <w:rPr>
          <w:rFonts w:hint="default" w:ascii="Times New Roman" w:hAnsi="Times New Roman" w:cs="Times New Roman"/>
          <w:b/>
          <w:bCs/>
          <w:color w:val="auto"/>
          <w:kern w:val="2"/>
          <w:sz w:val="24"/>
          <w:highlight w:val="none"/>
          <w:u w:val="none" w:color="auto"/>
        </w:rPr>
      </w:pPr>
    </w:p>
    <w:p>
      <w:pPr>
        <w:rPr>
          <w:rFonts w:hint="default"/>
          <w:lang w:val="en-US" w:eastAsia="zh-CN"/>
        </w:rPr>
      </w:pPr>
      <w:r>
        <w:br w:type="page"/>
      </w:r>
    </w:p>
    <w:sectPr>
      <w:headerReference r:id="rId16" w:type="default"/>
      <w:footerReference r:id="rId17" w:type="default"/>
      <w:pgSz w:w="11905" w:h="16838"/>
      <w:pgMar w:top="1440" w:right="1803" w:bottom="1440" w:left="1803" w:header="851" w:footer="1077" w:gutter="0"/>
      <w:pgNumType w:fmt="decimal"/>
      <w:cols w:space="1701"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moder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仿宋_GB2312">
    <w:altName w:val="仿宋"/>
    <w:panose1 w:val="02010609060101010101"/>
    <w:charset w:val="00"/>
    <w:family w:val="auto"/>
    <w:pitch w:val="default"/>
    <w:sig w:usb0="00000000" w:usb1="00000000" w:usb2="00000000" w:usb3="00000000" w:csb0="00000000" w:csb1="00000000"/>
  </w:font>
  <w:font w:name="方正小标宋_GBK">
    <w:altName w:val="微软雅黑"/>
    <w:panose1 w:val="020B0304020202020204"/>
    <w:charset w:val="00"/>
    <w:family w:val="auto"/>
    <w:pitch w:val="default"/>
    <w:sig w:usb0="00000000" w:usb1="00000000" w:usb2="00000000" w:usb3="00000000" w:csb0="00000000" w:csb1="00000000"/>
  </w:font>
  <w:font w:name="楷体_GB2312">
    <w:altName w:val="楷体"/>
    <w:panose1 w:val="02010609060101010101"/>
    <w:charset w:val="00"/>
    <w:family w:val="auto"/>
    <w:pitch w:val="default"/>
    <w:sig w:usb0="00000000" w:usb1="00000000" w:usb2="00000000" w:usb3="00000000" w:csb0="0000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0"/>
      <w:ind w:right="360"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0"/>
      <w:framePr w:wrap="around" w:vAnchor="text" w:hAnchor="margin" w:xAlign="outside" w:y="1"/>
      <w:rPr>
        <w:rStyle w:val="224"/>
      </w:rPr>
    </w:pPr>
    <w:r>
      <w:rPr>
        <w:rStyle w:val="224"/>
      </w:rPr>
      <w:fldChar w:fldCharType="begin"/>
    </w:r>
    <w:r>
      <w:rPr>
        <w:rStyle w:val="224"/>
      </w:rPr>
      <w:instrText xml:space="preserve">PAGE  </w:instrText>
    </w:r>
    <w:r>
      <w:rPr>
        <w:rStyle w:val="224"/>
      </w:rPr>
      <w:fldChar w:fldCharType="end"/>
    </w:r>
  </w:p>
  <w:p>
    <w:pPr>
      <w:pStyle w:val="2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0"/>
      <w:tabs>
        <w:tab w:val="center" w:pos="4369"/>
      </w:tabs>
    </w:pPr>
    <w:r>
      <w:rPr>
        <w:rFonts w:hint="eastAsia"/>
        <w:lang w:eastAsia="zh-CN"/>
      </w:rPr>
      <w:tab/>
    </w:r>
  </w:p>
  <w:p>
    <w:pPr>
      <w:pStyle w:val="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3"/>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DRavp68BAABM&#10;AwAADgAAAAAAAAABACAAAAAeAQAAZHJzL2Uyb0RvYy54bWxQSwUGAAAAAAYABgBZAQAAPwU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line="360" w:lineRule="auto"/>
      <w:ind w:firstLine="480" w:firstLineChars="200"/>
      <w:jc w:val="center"/>
      <w:rPr>
        <w:rFonts w:hint="default"/>
        <w:kern w:val="2"/>
        <w:sz w:val="24"/>
      </w:rPr>
    </w:pPr>
    <w:r>
      <w:rPr>
        <w:rFonts w:hint="default"/>
        <w:kern w:val="2"/>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pacing w:line="360" w:lineRule="auto"/>
                            <w:ind w:firstLine="480" w:firstLineChars="200"/>
                            <w:jc w:val="center"/>
                            <w:rPr>
                              <w:rFonts w:hint="default"/>
                              <w:kern w:val="2"/>
                              <w:sz w:val="24"/>
                            </w:rPr>
                          </w:pPr>
                          <w:r>
                            <w:rPr>
                              <w:rFonts w:hint="default"/>
                              <w:kern w:val="2"/>
                              <w:sz w:val="24"/>
                            </w:rPr>
                            <w:fldChar w:fldCharType="begin"/>
                          </w:r>
                          <w:r>
                            <w:rPr>
                              <w:rFonts w:hint="default"/>
                              <w:kern w:val="2"/>
                              <w:sz w:val="24"/>
                            </w:rPr>
                            <w:instrText xml:space="preserve">PAGE   \* MERGEFORMAT</w:instrText>
                          </w:r>
                          <w:r>
                            <w:rPr>
                              <w:rFonts w:hint="default"/>
                              <w:kern w:val="2"/>
                              <w:sz w:val="24"/>
                            </w:rPr>
                            <w:fldChar w:fldCharType="separate"/>
                          </w:r>
                          <w:r>
                            <w:rPr>
                              <w:rFonts w:hint="default"/>
                              <w:kern w:val="2"/>
                              <w:sz w:val="24"/>
                              <w:lang w:val="zh-CN"/>
                            </w:rPr>
                            <w:t>2</w:t>
                          </w:r>
                          <w:r>
                            <w:rPr>
                              <w:rFonts w:hint="default"/>
                              <w:kern w:val="2"/>
                              <w:sz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EppgcAgAAJQQAAA4AAABkcnMvZTJvRG9jLnhtbK1Ty47TMBTdI/EP&#10;lvc0aYFRVT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BkxKaYHAIAACUEAAAO&#10;AAAAAAAAAAEAIAAAAB8BAABkcnMvZTJvRG9jLnhtbFBLBQYAAAAABgAGAFkBAACtBQAAAAA=&#10;">
              <v:fill on="f" focussize="0,0"/>
              <v:stroke on="f" weight="0.5pt"/>
              <v:imagedata o:title=""/>
              <o:lock v:ext="edit" aspectratio="f"/>
              <v:textbox inset="0mm,0mm,0mm,0mm" style="mso-fit-shape-to-text:t;">
                <w:txbxContent>
                  <w:p>
                    <w:pPr>
                      <w:tabs>
                        <w:tab w:val="center" w:pos="4153"/>
                        <w:tab w:val="right" w:pos="8306"/>
                      </w:tabs>
                      <w:spacing w:line="360" w:lineRule="auto"/>
                      <w:ind w:firstLine="480" w:firstLineChars="200"/>
                      <w:jc w:val="center"/>
                      <w:rPr>
                        <w:rFonts w:hint="default"/>
                        <w:kern w:val="2"/>
                        <w:sz w:val="24"/>
                      </w:rPr>
                    </w:pPr>
                    <w:r>
                      <w:rPr>
                        <w:rFonts w:hint="default"/>
                        <w:kern w:val="2"/>
                        <w:sz w:val="24"/>
                      </w:rPr>
                      <w:fldChar w:fldCharType="begin"/>
                    </w:r>
                    <w:r>
                      <w:rPr>
                        <w:rFonts w:hint="default"/>
                        <w:kern w:val="2"/>
                        <w:sz w:val="24"/>
                      </w:rPr>
                      <w:instrText xml:space="preserve">PAGE   \* MERGEFORMAT</w:instrText>
                    </w:r>
                    <w:r>
                      <w:rPr>
                        <w:rFonts w:hint="default"/>
                        <w:kern w:val="2"/>
                        <w:sz w:val="24"/>
                      </w:rPr>
                      <w:fldChar w:fldCharType="separate"/>
                    </w:r>
                    <w:r>
                      <w:rPr>
                        <w:rFonts w:hint="default"/>
                        <w:kern w:val="2"/>
                        <w:sz w:val="24"/>
                        <w:lang w:val="zh-CN"/>
                      </w:rPr>
                      <w:t>2</w:t>
                    </w:r>
                    <w:r>
                      <w:rPr>
                        <w:rFonts w:hint="default"/>
                        <w:kern w:val="2"/>
                        <w:sz w:val="24"/>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421" w:firstLine="360" w:firstLineChars="200"/>
      <w:rPr>
        <w:rFonts w:hint="default" w:ascii="Times New Roman" w:hAnsi="Times New Roman" w:eastAsia="Times New Roman" w:cs="Times New Roman"/>
        <w:kern w:val="2"/>
        <w:sz w:val="18"/>
        <w:szCs w:val="18"/>
      </w:rPr>
    </w:pPr>
    <w:r>
      <w:rPr>
        <w:rFonts w:hint="default"/>
        <w:kern w:val="2"/>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24"/>
                              <w:lang w:val="en-US" w:eastAsia="zh-CN" w:bidi="ar-SA"/>
                            </w:rPr>
                          </w:pPr>
                          <w:r>
                            <w:rPr>
                              <w:rFonts w:ascii="Times New Roman" w:hAnsi="Times New Roman" w:eastAsia="宋体" w:cs="Times New Roman"/>
                              <w:kern w:val="2"/>
                              <w:sz w:val="18"/>
                              <w:szCs w:val="24"/>
                              <w:lang w:val="en-US" w:eastAsia="zh-CN" w:bidi="ar-SA"/>
                            </w:rPr>
                            <w:fldChar w:fldCharType="begin"/>
                          </w:r>
                          <w:r>
                            <w:rPr>
                              <w:rFonts w:ascii="Times New Roman" w:hAnsi="Times New Roman" w:eastAsia="宋体" w:cs="Times New Roman"/>
                              <w:kern w:val="2"/>
                              <w:sz w:val="18"/>
                              <w:szCs w:val="24"/>
                              <w:lang w:val="en-US" w:eastAsia="zh-CN" w:bidi="ar-SA"/>
                            </w:rPr>
                            <w:instrText xml:space="preserve"> PAGE  \* MERGEFORMAT </w:instrText>
                          </w:r>
                          <w:r>
                            <w:rPr>
                              <w:rFonts w:ascii="Times New Roman" w:hAnsi="Times New Roman" w:eastAsia="宋体" w:cs="Times New Roman"/>
                              <w:kern w:val="2"/>
                              <w:sz w:val="18"/>
                              <w:szCs w:val="24"/>
                              <w:lang w:val="en-US" w:eastAsia="zh-CN" w:bidi="ar-SA"/>
                            </w:rPr>
                            <w:fldChar w:fldCharType="separate"/>
                          </w:r>
                          <w:r>
                            <w:rPr>
                              <w:rFonts w:ascii="Times New Roman" w:hAnsi="Times New Roman" w:eastAsia="宋体" w:cs="Times New Roman"/>
                              <w:kern w:val="2"/>
                              <w:sz w:val="18"/>
                              <w:szCs w:val="24"/>
                              <w:lang w:val="en-US" w:eastAsia="zh-CN" w:bidi="ar-SA"/>
                            </w:rPr>
                            <w:t>35</w:t>
                          </w:r>
                          <w:r>
                            <w:rPr>
                              <w:rFonts w:ascii="Times New Roman" w:hAnsi="Times New Roman" w:eastAsia="宋体"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GD/Vn0bAgAAJQQAAA4A&#10;AAAAAAAAAQAgAAAAHwEAAGRycy9lMm9Eb2MueG1sUEsFBgAAAAAGAAYAWQEAAKwFA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360" w:firstLineChars="200"/>
                      <w:jc w:val="left"/>
                      <w:rPr>
                        <w:rFonts w:ascii="Times New Roman" w:hAnsi="Times New Roman" w:eastAsia="宋体" w:cs="Times New Roman"/>
                        <w:kern w:val="2"/>
                        <w:sz w:val="18"/>
                        <w:szCs w:val="24"/>
                        <w:lang w:val="en-US" w:eastAsia="zh-CN" w:bidi="ar-SA"/>
                      </w:rPr>
                    </w:pPr>
                    <w:r>
                      <w:rPr>
                        <w:rFonts w:ascii="Times New Roman" w:hAnsi="Times New Roman" w:eastAsia="宋体" w:cs="Times New Roman"/>
                        <w:kern w:val="2"/>
                        <w:sz w:val="18"/>
                        <w:szCs w:val="24"/>
                        <w:lang w:val="en-US" w:eastAsia="zh-CN" w:bidi="ar-SA"/>
                      </w:rPr>
                      <w:fldChar w:fldCharType="begin"/>
                    </w:r>
                    <w:r>
                      <w:rPr>
                        <w:rFonts w:ascii="Times New Roman" w:hAnsi="Times New Roman" w:eastAsia="宋体" w:cs="Times New Roman"/>
                        <w:kern w:val="2"/>
                        <w:sz w:val="18"/>
                        <w:szCs w:val="24"/>
                        <w:lang w:val="en-US" w:eastAsia="zh-CN" w:bidi="ar-SA"/>
                      </w:rPr>
                      <w:instrText xml:space="preserve"> PAGE  \* MERGEFORMAT </w:instrText>
                    </w:r>
                    <w:r>
                      <w:rPr>
                        <w:rFonts w:ascii="Times New Roman" w:hAnsi="Times New Roman" w:eastAsia="宋体" w:cs="Times New Roman"/>
                        <w:kern w:val="2"/>
                        <w:sz w:val="18"/>
                        <w:szCs w:val="24"/>
                        <w:lang w:val="en-US" w:eastAsia="zh-CN" w:bidi="ar-SA"/>
                      </w:rPr>
                      <w:fldChar w:fldCharType="separate"/>
                    </w:r>
                    <w:r>
                      <w:rPr>
                        <w:rFonts w:ascii="Times New Roman" w:hAnsi="Times New Roman" w:eastAsia="宋体" w:cs="Times New Roman"/>
                        <w:kern w:val="2"/>
                        <w:sz w:val="18"/>
                        <w:szCs w:val="24"/>
                        <w:lang w:val="en-US" w:eastAsia="zh-CN" w:bidi="ar-SA"/>
                      </w:rPr>
                      <w:t>35</w:t>
                    </w:r>
                    <w:r>
                      <w:rPr>
                        <w:rFonts w:ascii="Times New Roman" w:hAnsi="Times New Roman" w:eastAsia="宋体" w:cs="Times New Roman"/>
                        <w:kern w:val="2"/>
                        <w:sz w:val="18"/>
                        <w:szCs w:val="24"/>
                        <w:lang w:val="en-US" w:eastAsia="zh-CN" w:bidi="ar-S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0"/>
      <w:ind w:right="360" w:firstLine="36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miter/>
                      </a:ln>
                    </wps:spPr>
                    <wps:txbx>
                      <w:txbxContent>
                        <w:p>
                          <w:pPr>
                            <w:pStyle w:val="210"/>
                            <w:tabs>
                              <w:tab w:val="clear" w:pos="4153"/>
                              <w:tab w:val="clear" w:pos="8306"/>
                            </w:tabs>
                          </w:pPr>
                          <w:r>
                            <w:t xml:space="preserve">— </w:t>
                          </w:r>
                          <w:r>
                            <w:fldChar w:fldCharType="begin"/>
                          </w:r>
                          <w:r>
                            <w:instrText xml:space="preserve"> PAGE  \* MERGEFORMAT </w:instrText>
                          </w:r>
                          <w:r>
                            <w:fldChar w:fldCharType="separate"/>
                          </w:r>
                          <w:r>
                            <w:t>22</w:t>
                          </w:r>
                          <w:r>
                            <w:fldChar w:fldCharType="end"/>
                          </w:r>
                          <w:r>
                            <w:t xml:space="preserve"> —</w:t>
                          </w:r>
                        </w:p>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CWKCjUugEAAGMDAAAOAAAAAAAAAAEAIAAAAB4BAABkcnMvZTJvRG9jLnhtbFBLBQYAAAAABgAG&#10;AFkBAABKBQAAAAA=&#10;">
              <v:fill on="f" focussize="0,0"/>
              <v:stroke on="f" joinstyle="miter"/>
              <v:imagedata o:title=""/>
              <o:lock v:ext="edit" aspectratio="f"/>
              <v:textbox inset="0mm,0mm,0mm,0mm" style="mso-fit-shape-to-text:t;">
                <w:txbxContent>
                  <w:p>
                    <w:pPr>
                      <w:pStyle w:val="210"/>
                      <w:tabs>
                        <w:tab w:val="clear" w:pos="4153"/>
                        <w:tab w:val="clear" w:pos="8306"/>
                      </w:tabs>
                    </w:pPr>
                    <w:r>
                      <w:t xml:space="preserve">— </w:t>
                    </w:r>
                    <w:r>
                      <w:fldChar w:fldCharType="begin"/>
                    </w:r>
                    <w:r>
                      <w:instrText xml:space="preserve"> PAGE  \* MERGEFORMAT </w:instrText>
                    </w:r>
                    <w:r>
                      <w:fldChar w:fldCharType="separate"/>
                    </w:r>
                    <w:r>
                      <w:t>22</w:t>
                    </w:r>
                    <w:r>
                      <w:fldChar w:fldCharType="end"/>
                    </w:r>
                    <w:r>
                      <w:t xml:space="preserve"> —</w:t>
                    </w: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2"/>
      <w:pBdr>
        <w:bottom w:val="none" w:color="000000"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ind w:firstLine="480" w:firstLineChars="200"/>
      <w:rPr>
        <w:rFonts w:hint="default"/>
        <w:kern w:val="2"/>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3ACD1E"/>
    <w:multiLevelType w:val="singleLevel"/>
    <w:tmpl w:val="E73ACD1E"/>
    <w:lvl w:ilvl="0" w:tentative="0">
      <w:start w:val="3"/>
      <w:numFmt w:val="upperLetter"/>
      <w:suff w:val="nothing"/>
      <w:lvlText w:val="%1、"/>
      <w:lvlJc w:val="left"/>
    </w:lvl>
  </w:abstractNum>
  <w:abstractNum w:abstractNumId="1">
    <w:nsid w:val="3B775C91"/>
    <w:multiLevelType w:val="singleLevel"/>
    <w:tmpl w:val="3B775C91"/>
    <w:lvl w:ilvl="0" w:tentative="0">
      <w:start w:val="1"/>
      <w:numFmt w:val="decimal"/>
      <w:suff w:val="nothing"/>
      <w:lvlText w:val="%1、"/>
      <w:lvlJc w:val="left"/>
    </w:lvl>
  </w:abstractNum>
  <w:abstractNum w:abstractNumId="2">
    <w:nsid w:val="48DCE933"/>
    <w:multiLevelType w:val="multilevel"/>
    <w:tmpl w:val="48DCE933"/>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509C49C2"/>
    <w:multiLevelType w:val="singleLevel"/>
    <w:tmpl w:val="509C49C2"/>
    <w:lvl w:ilvl="0" w:tentative="0">
      <w:start w:val="3"/>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wNGZkMDY4ZDZkYjVlYzkzODAzYWFiNzY4Y2NkYjUifQ=="/>
  </w:docVars>
  <w:rsids>
    <w:rsidRoot w:val="00172A27"/>
    <w:rsid w:val="0017623D"/>
    <w:rsid w:val="039945DF"/>
    <w:rsid w:val="04C42EA2"/>
    <w:rsid w:val="05EE7D2D"/>
    <w:rsid w:val="0630278C"/>
    <w:rsid w:val="06DB4B67"/>
    <w:rsid w:val="081C4DA3"/>
    <w:rsid w:val="093176D6"/>
    <w:rsid w:val="0D9773A6"/>
    <w:rsid w:val="0DB4057C"/>
    <w:rsid w:val="0E5D4CD7"/>
    <w:rsid w:val="0EC817E1"/>
    <w:rsid w:val="126F48E8"/>
    <w:rsid w:val="13054DB2"/>
    <w:rsid w:val="131D659F"/>
    <w:rsid w:val="134C478E"/>
    <w:rsid w:val="14A423A8"/>
    <w:rsid w:val="1527507F"/>
    <w:rsid w:val="153656F6"/>
    <w:rsid w:val="16604466"/>
    <w:rsid w:val="170D03D3"/>
    <w:rsid w:val="188A0C7B"/>
    <w:rsid w:val="191E19EC"/>
    <w:rsid w:val="19B4308D"/>
    <w:rsid w:val="1ACD58E4"/>
    <w:rsid w:val="1C1B73F4"/>
    <w:rsid w:val="1C512E16"/>
    <w:rsid w:val="1D961F90"/>
    <w:rsid w:val="1E347D63"/>
    <w:rsid w:val="1E62130A"/>
    <w:rsid w:val="1F523D91"/>
    <w:rsid w:val="1F622A09"/>
    <w:rsid w:val="20E978A9"/>
    <w:rsid w:val="22EA1BF4"/>
    <w:rsid w:val="23B524C4"/>
    <w:rsid w:val="23D5432C"/>
    <w:rsid w:val="24A25493"/>
    <w:rsid w:val="25306EC1"/>
    <w:rsid w:val="26976211"/>
    <w:rsid w:val="27A4234F"/>
    <w:rsid w:val="293B10D5"/>
    <w:rsid w:val="2BA066B9"/>
    <w:rsid w:val="2BFA0DD4"/>
    <w:rsid w:val="2CBB3255"/>
    <w:rsid w:val="2CF0667B"/>
    <w:rsid w:val="2E07739A"/>
    <w:rsid w:val="2FFF5A51"/>
    <w:rsid w:val="30A241C2"/>
    <w:rsid w:val="30CB4750"/>
    <w:rsid w:val="351F3659"/>
    <w:rsid w:val="354312CF"/>
    <w:rsid w:val="36F40B16"/>
    <w:rsid w:val="379F02D0"/>
    <w:rsid w:val="37B207B5"/>
    <w:rsid w:val="38642050"/>
    <w:rsid w:val="38A64207"/>
    <w:rsid w:val="39F931BB"/>
    <w:rsid w:val="39F97CAF"/>
    <w:rsid w:val="3B0F23C2"/>
    <w:rsid w:val="3B893F22"/>
    <w:rsid w:val="3CF65E3F"/>
    <w:rsid w:val="3D1544CC"/>
    <w:rsid w:val="3E4619B8"/>
    <w:rsid w:val="3E4660FB"/>
    <w:rsid w:val="3E80523B"/>
    <w:rsid w:val="3FFF4C04"/>
    <w:rsid w:val="41395AA3"/>
    <w:rsid w:val="42462B6D"/>
    <w:rsid w:val="44A12136"/>
    <w:rsid w:val="47347438"/>
    <w:rsid w:val="4770243A"/>
    <w:rsid w:val="47735867"/>
    <w:rsid w:val="47F6064A"/>
    <w:rsid w:val="48832D0E"/>
    <w:rsid w:val="48FC21D7"/>
    <w:rsid w:val="4AB61684"/>
    <w:rsid w:val="4B0435C5"/>
    <w:rsid w:val="4B6E210D"/>
    <w:rsid w:val="4BA440EA"/>
    <w:rsid w:val="4BF278C2"/>
    <w:rsid w:val="4C274F7D"/>
    <w:rsid w:val="4C6D156C"/>
    <w:rsid w:val="4D501EFF"/>
    <w:rsid w:val="4D844549"/>
    <w:rsid w:val="4E195361"/>
    <w:rsid w:val="4E347D1E"/>
    <w:rsid w:val="4E6B0ACB"/>
    <w:rsid w:val="4F5341B6"/>
    <w:rsid w:val="4F76535E"/>
    <w:rsid w:val="4FD256F1"/>
    <w:rsid w:val="50575F45"/>
    <w:rsid w:val="505C3EB2"/>
    <w:rsid w:val="52630B35"/>
    <w:rsid w:val="53A611D7"/>
    <w:rsid w:val="53D25D4D"/>
    <w:rsid w:val="560C3595"/>
    <w:rsid w:val="564A221E"/>
    <w:rsid w:val="56EE3591"/>
    <w:rsid w:val="58CE04CC"/>
    <w:rsid w:val="5A5D2E14"/>
    <w:rsid w:val="5AC8016B"/>
    <w:rsid w:val="5AD52DAA"/>
    <w:rsid w:val="5B150ED7"/>
    <w:rsid w:val="5B3E21DC"/>
    <w:rsid w:val="5C882FDD"/>
    <w:rsid w:val="5C9B6192"/>
    <w:rsid w:val="5D2B7A1F"/>
    <w:rsid w:val="5F41673E"/>
    <w:rsid w:val="5FC617F3"/>
    <w:rsid w:val="60B371C8"/>
    <w:rsid w:val="61316234"/>
    <w:rsid w:val="61F77588"/>
    <w:rsid w:val="62410803"/>
    <w:rsid w:val="628C5F22"/>
    <w:rsid w:val="6470717E"/>
    <w:rsid w:val="655019F5"/>
    <w:rsid w:val="67B87941"/>
    <w:rsid w:val="68EB37F2"/>
    <w:rsid w:val="68F41D27"/>
    <w:rsid w:val="69804176"/>
    <w:rsid w:val="6B0A6F2E"/>
    <w:rsid w:val="6B623CC4"/>
    <w:rsid w:val="704F6081"/>
    <w:rsid w:val="70ED3EDF"/>
    <w:rsid w:val="74793E2D"/>
    <w:rsid w:val="74A82061"/>
    <w:rsid w:val="75015B6D"/>
    <w:rsid w:val="75531CD2"/>
    <w:rsid w:val="76F302D2"/>
    <w:rsid w:val="79283153"/>
    <w:rsid w:val="79292B9C"/>
    <w:rsid w:val="795A247F"/>
    <w:rsid w:val="7A41363F"/>
    <w:rsid w:val="7C230DA0"/>
    <w:rsid w:val="7C3221D1"/>
    <w:rsid w:val="7DB3215D"/>
    <w:rsid w:val="7E3A4B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qFormat="1" w:uiPriority="99" w:semiHidden="0" w:name="table of figures"/>
    <w:lsdException w:uiPriority="99" w:name="envelope address"/>
    <w:lsdException w:qFormat="1" w:unhideWhenUsed="0" w:uiPriority="0" w:semiHidden="0" w:name="envelope return"/>
    <w:lsdException w:qFormat="1" w:uiPriority="99" w:semiHidden="0"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39"/>
    <w:qFormat/>
    <w:uiPriority w:val="0"/>
    <w:pPr>
      <w:widowControl w:val="0"/>
      <w:jc w:val="both"/>
    </w:pPr>
    <w:rPr>
      <w:rFonts w:hint="default" w:ascii="Times New Roman" w:hAnsi="Times New Roman" w:eastAsia="宋体" w:cs="Times New Roman"/>
      <w:sz w:val="21"/>
      <w:szCs w:val="24"/>
      <w:lang w:val="en-US" w:eastAsia="zh-CN" w:bidi="ar-SA"/>
    </w:rPr>
  </w:style>
  <w:style w:type="paragraph" w:styleId="4">
    <w:name w:val="heading 1"/>
    <w:basedOn w:val="1"/>
    <w:next w:val="1"/>
    <w:link w:val="46"/>
    <w:qFormat/>
    <w:uiPriority w:val="9"/>
    <w:pPr>
      <w:keepNext/>
      <w:keepLines/>
      <w:spacing w:before="480" w:after="200"/>
      <w:outlineLvl w:val="0"/>
    </w:pPr>
    <w:rPr>
      <w:rFonts w:ascii="Arial" w:hAnsi="Arial" w:eastAsia="Arial" w:cs="Arial"/>
      <w:sz w:val="40"/>
      <w:szCs w:val="40"/>
    </w:rPr>
  </w:style>
  <w:style w:type="paragraph" w:styleId="5">
    <w:name w:val="heading 2"/>
    <w:basedOn w:val="6"/>
    <w:next w:val="1"/>
    <w:link w:val="47"/>
    <w:unhideWhenUsed/>
    <w:qFormat/>
    <w:uiPriority w:val="9"/>
    <w:pPr>
      <w:keepNext/>
      <w:keepLines/>
      <w:spacing w:before="360" w:after="200"/>
      <w:outlineLvl w:val="1"/>
    </w:pPr>
    <w:rPr>
      <w:rFonts w:ascii="Arial" w:hAnsi="Arial" w:eastAsia="Arial" w:cs="Arial"/>
      <w:sz w:val="34"/>
    </w:rPr>
  </w:style>
  <w:style w:type="paragraph" w:styleId="7">
    <w:name w:val="heading 3"/>
    <w:basedOn w:val="1"/>
    <w:next w:val="1"/>
    <w:link w:val="48"/>
    <w:unhideWhenUsed/>
    <w:qFormat/>
    <w:uiPriority w:val="9"/>
    <w:pPr>
      <w:keepNext/>
      <w:keepLines/>
      <w:spacing w:before="320" w:after="200"/>
      <w:outlineLvl w:val="2"/>
    </w:pPr>
    <w:rPr>
      <w:rFonts w:ascii="Arial" w:hAnsi="Arial" w:eastAsia="Arial" w:cs="Arial"/>
      <w:sz w:val="30"/>
      <w:szCs w:val="30"/>
    </w:rPr>
  </w:style>
  <w:style w:type="paragraph" w:styleId="8">
    <w:name w:val="heading 4"/>
    <w:basedOn w:val="1"/>
    <w:next w:val="1"/>
    <w:link w:val="49"/>
    <w:unhideWhenUsed/>
    <w:qFormat/>
    <w:uiPriority w:val="9"/>
    <w:pPr>
      <w:keepNext/>
      <w:keepLines/>
      <w:spacing w:before="320" w:after="200"/>
      <w:outlineLvl w:val="3"/>
    </w:pPr>
    <w:rPr>
      <w:rFonts w:ascii="Arial" w:hAnsi="Arial" w:eastAsia="Arial" w:cs="Arial"/>
      <w:b/>
      <w:bCs/>
      <w:sz w:val="26"/>
      <w:szCs w:val="26"/>
    </w:rPr>
  </w:style>
  <w:style w:type="paragraph" w:styleId="9">
    <w:name w:val="heading 5"/>
    <w:basedOn w:val="1"/>
    <w:next w:val="1"/>
    <w:link w:val="50"/>
    <w:unhideWhenUsed/>
    <w:qFormat/>
    <w:uiPriority w:val="9"/>
    <w:pPr>
      <w:keepNext/>
      <w:keepLines/>
      <w:spacing w:before="320" w:after="200"/>
      <w:outlineLvl w:val="4"/>
    </w:pPr>
    <w:rPr>
      <w:rFonts w:ascii="Arial" w:hAnsi="Arial" w:eastAsia="Arial" w:cs="Arial"/>
      <w:b/>
      <w:bCs/>
      <w:sz w:val="24"/>
      <w:szCs w:val="24"/>
    </w:rPr>
  </w:style>
  <w:style w:type="paragraph" w:styleId="10">
    <w:name w:val="heading 6"/>
    <w:basedOn w:val="1"/>
    <w:next w:val="1"/>
    <w:link w:val="51"/>
    <w:unhideWhenUsed/>
    <w:qFormat/>
    <w:uiPriority w:val="9"/>
    <w:pPr>
      <w:keepNext/>
      <w:keepLines/>
      <w:spacing w:before="320" w:after="200"/>
      <w:outlineLvl w:val="5"/>
    </w:pPr>
    <w:rPr>
      <w:rFonts w:ascii="Arial" w:hAnsi="Arial" w:eastAsia="Arial" w:cs="Arial"/>
      <w:b/>
      <w:bCs/>
      <w:sz w:val="22"/>
      <w:szCs w:val="22"/>
    </w:rPr>
  </w:style>
  <w:style w:type="paragraph" w:styleId="11">
    <w:name w:val="heading 7"/>
    <w:basedOn w:val="1"/>
    <w:next w:val="1"/>
    <w:link w:val="52"/>
    <w:unhideWhenUsed/>
    <w:qFormat/>
    <w:uiPriority w:val="9"/>
    <w:pPr>
      <w:keepNext/>
      <w:keepLines/>
      <w:spacing w:before="320" w:after="200"/>
      <w:outlineLvl w:val="6"/>
    </w:pPr>
    <w:rPr>
      <w:rFonts w:ascii="Arial" w:hAnsi="Arial" w:eastAsia="Arial" w:cs="Arial"/>
      <w:b/>
      <w:bCs/>
      <w:i/>
      <w:iCs/>
      <w:sz w:val="22"/>
      <w:szCs w:val="22"/>
    </w:rPr>
  </w:style>
  <w:style w:type="paragraph" w:styleId="12">
    <w:name w:val="heading 8"/>
    <w:basedOn w:val="1"/>
    <w:next w:val="1"/>
    <w:link w:val="53"/>
    <w:unhideWhenUsed/>
    <w:qFormat/>
    <w:uiPriority w:val="9"/>
    <w:pPr>
      <w:keepNext/>
      <w:keepLines/>
      <w:spacing w:before="320" w:after="200"/>
      <w:outlineLvl w:val="7"/>
    </w:pPr>
    <w:rPr>
      <w:rFonts w:ascii="Arial" w:hAnsi="Arial" w:eastAsia="Arial" w:cs="Arial"/>
      <w:i/>
      <w:iCs/>
      <w:sz w:val="22"/>
      <w:szCs w:val="22"/>
    </w:rPr>
  </w:style>
  <w:style w:type="paragraph" w:styleId="13">
    <w:name w:val="heading 9"/>
    <w:basedOn w:val="1"/>
    <w:next w:val="1"/>
    <w:link w:val="54"/>
    <w:unhideWhenUsed/>
    <w:qFormat/>
    <w:uiPriority w:val="9"/>
    <w:pPr>
      <w:keepNext/>
      <w:keepLines/>
      <w:spacing w:before="320" w:after="200"/>
      <w:outlineLvl w:val="8"/>
    </w:pPr>
    <w:rPr>
      <w:rFonts w:ascii="Arial" w:hAnsi="Arial" w:eastAsia="Arial" w:cs="Arial"/>
      <w:i/>
      <w:iCs/>
      <w:sz w:val="21"/>
      <w:szCs w:val="21"/>
    </w:rPr>
  </w:style>
  <w:style w:type="character" w:default="1" w:styleId="35">
    <w:name w:val="Default Paragraph Font"/>
    <w:semiHidden/>
    <w:unhideWhenUsed/>
    <w:qFormat/>
    <w:uiPriority w:val="1"/>
  </w:style>
  <w:style w:type="table" w:default="1" w:styleId="40">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1"/>
    <w:qFormat/>
    <w:uiPriority w:val="0"/>
    <w:pPr>
      <w:spacing w:after="120" w:afterLines="0" w:line="240" w:lineRule="auto"/>
      <w:ind w:left="420" w:leftChars="200" w:firstLine="420" w:firstLineChars="200"/>
    </w:pPr>
    <w:rPr>
      <w:sz w:val="21"/>
      <w:szCs w:val="24"/>
    </w:rPr>
  </w:style>
  <w:style w:type="paragraph" w:styleId="3">
    <w:name w:val="Body Text Indent"/>
    <w:basedOn w:val="1"/>
    <w:qFormat/>
    <w:uiPriority w:val="0"/>
    <w:pPr>
      <w:spacing w:after="120"/>
      <w:ind w:left="420" w:leftChars="200"/>
    </w:pPr>
    <w:rPr>
      <w:kern w:val="0"/>
      <w:sz w:val="24"/>
      <w:szCs w:val="20"/>
    </w:rPr>
  </w:style>
  <w:style w:type="paragraph" w:styleId="6">
    <w:name w:val="Title"/>
    <w:basedOn w:val="1"/>
    <w:next w:val="1"/>
    <w:link w:val="55"/>
    <w:qFormat/>
    <w:uiPriority w:val="10"/>
    <w:pPr>
      <w:spacing w:before="300" w:after="200"/>
      <w:contextualSpacing/>
    </w:pPr>
    <w:rPr>
      <w:sz w:val="48"/>
      <w:szCs w:val="48"/>
    </w:rPr>
  </w:style>
  <w:style w:type="paragraph" w:styleId="14">
    <w:name w:val="toc 7"/>
    <w:basedOn w:val="1"/>
    <w:next w:val="1"/>
    <w:unhideWhenUsed/>
    <w:qFormat/>
    <w:uiPriority w:val="39"/>
    <w:pPr>
      <w:spacing w:after="57"/>
      <w:ind w:left="1701" w:right="0" w:firstLine="0"/>
    </w:pPr>
  </w:style>
  <w:style w:type="paragraph" w:styleId="15">
    <w:name w:val="Normal Indent"/>
    <w:basedOn w:val="1"/>
    <w:next w:val="2"/>
    <w:qFormat/>
    <w:uiPriority w:val="0"/>
    <w:pPr>
      <w:ind w:firstLine="420" w:firstLineChars="200"/>
    </w:pPr>
  </w:style>
  <w:style w:type="paragraph" w:styleId="16">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7">
    <w:name w:val="annotation text"/>
    <w:basedOn w:val="1"/>
    <w:semiHidden/>
    <w:unhideWhenUsed/>
    <w:qFormat/>
    <w:uiPriority w:val="99"/>
    <w:pPr>
      <w:jc w:val="left"/>
    </w:pPr>
  </w:style>
  <w:style w:type="paragraph" w:styleId="18">
    <w:name w:val="Body Text"/>
    <w:basedOn w:val="1"/>
    <w:next w:val="1"/>
    <w:qFormat/>
    <w:uiPriority w:val="0"/>
    <w:pPr>
      <w:widowControl/>
      <w:snapToGrid w:val="0"/>
      <w:spacing w:before="60" w:after="160" w:line="259" w:lineRule="auto"/>
      <w:ind w:right="113"/>
    </w:pPr>
    <w:rPr>
      <w:kern w:val="0"/>
      <w:sz w:val="18"/>
      <w:szCs w:val="20"/>
    </w:rPr>
  </w:style>
  <w:style w:type="paragraph" w:styleId="19">
    <w:name w:val="toc 5"/>
    <w:basedOn w:val="1"/>
    <w:next w:val="1"/>
    <w:unhideWhenUsed/>
    <w:qFormat/>
    <w:uiPriority w:val="39"/>
    <w:pPr>
      <w:spacing w:after="57"/>
      <w:ind w:left="1134" w:right="0" w:firstLine="0"/>
    </w:pPr>
  </w:style>
  <w:style w:type="paragraph" w:styleId="20">
    <w:name w:val="toc 3"/>
    <w:basedOn w:val="1"/>
    <w:next w:val="1"/>
    <w:unhideWhenUsed/>
    <w:qFormat/>
    <w:uiPriority w:val="39"/>
    <w:pPr>
      <w:spacing w:after="57"/>
      <w:ind w:left="567" w:right="0" w:firstLine="0"/>
    </w:pPr>
  </w:style>
  <w:style w:type="paragraph" w:styleId="21">
    <w:name w:val="toc 8"/>
    <w:basedOn w:val="1"/>
    <w:next w:val="1"/>
    <w:unhideWhenUsed/>
    <w:qFormat/>
    <w:uiPriority w:val="39"/>
    <w:pPr>
      <w:spacing w:after="57"/>
      <w:ind w:left="1984" w:right="0" w:firstLine="0"/>
    </w:pPr>
  </w:style>
  <w:style w:type="paragraph" w:styleId="22">
    <w:name w:val="endnote text"/>
    <w:basedOn w:val="1"/>
    <w:link w:val="188"/>
    <w:semiHidden/>
    <w:unhideWhenUsed/>
    <w:qFormat/>
    <w:uiPriority w:val="99"/>
    <w:pPr>
      <w:spacing w:after="0" w:line="240" w:lineRule="auto"/>
    </w:pPr>
    <w:rPr>
      <w:sz w:val="20"/>
    </w:rPr>
  </w:style>
  <w:style w:type="paragraph" w:styleId="23">
    <w:name w:val="footer"/>
    <w:basedOn w:val="1"/>
    <w:link w:val="61"/>
    <w:unhideWhenUsed/>
    <w:qFormat/>
    <w:uiPriority w:val="99"/>
    <w:pPr>
      <w:tabs>
        <w:tab w:val="center" w:pos="7143"/>
        <w:tab w:val="right" w:pos="14287"/>
      </w:tabs>
      <w:spacing w:after="0" w:line="240" w:lineRule="auto"/>
    </w:pPr>
  </w:style>
  <w:style w:type="paragraph" w:styleId="24">
    <w:name w:val="envelope return"/>
    <w:basedOn w:val="1"/>
    <w:qFormat/>
    <w:uiPriority w:val="0"/>
    <w:pPr>
      <w:snapToGrid w:val="0"/>
    </w:pPr>
    <w:rPr>
      <w:rFonts w:ascii="Arial" w:hAnsi="Arial"/>
    </w:rPr>
  </w:style>
  <w:style w:type="paragraph" w:styleId="25">
    <w:name w:val="header"/>
    <w:basedOn w:val="1"/>
    <w:unhideWhenUsed/>
    <w:qFormat/>
    <w:uiPriority w:val="99"/>
    <w:pPr>
      <w:tabs>
        <w:tab w:val="center" w:pos="7143"/>
        <w:tab w:val="right" w:pos="14287"/>
      </w:tabs>
      <w:spacing w:after="0" w:line="240" w:lineRule="auto"/>
    </w:pPr>
  </w:style>
  <w:style w:type="paragraph" w:styleId="26">
    <w:name w:val="toc 1"/>
    <w:basedOn w:val="1"/>
    <w:next w:val="1"/>
    <w:unhideWhenUsed/>
    <w:qFormat/>
    <w:uiPriority w:val="39"/>
    <w:pPr>
      <w:spacing w:after="57"/>
      <w:ind w:left="0" w:right="0" w:firstLine="0"/>
    </w:pPr>
  </w:style>
  <w:style w:type="paragraph" w:styleId="27">
    <w:name w:val="toc 4"/>
    <w:basedOn w:val="1"/>
    <w:next w:val="1"/>
    <w:unhideWhenUsed/>
    <w:qFormat/>
    <w:uiPriority w:val="39"/>
    <w:pPr>
      <w:spacing w:after="57"/>
      <w:ind w:left="850" w:right="0" w:firstLine="0"/>
    </w:pPr>
  </w:style>
  <w:style w:type="paragraph" w:styleId="28">
    <w:name w:val="Subtitle"/>
    <w:basedOn w:val="1"/>
    <w:next w:val="1"/>
    <w:link w:val="56"/>
    <w:qFormat/>
    <w:uiPriority w:val="11"/>
    <w:pPr>
      <w:spacing w:before="200" w:after="200"/>
    </w:pPr>
    <w:rPr>
      <w:sz w:val="24"/>
      <w:szCs w:val="24"/>
    </w:rPr>
  </w:style>
  <w:style w:type="paragraph" w:styleId="29">
    <w:name w:val="footnote text"/>
    <w:basedOn w:val="1"/>
    <w:link w:val="187"/>
    <w:semiHidden/>
    <w:unhideWhenUsed/>
    <w:qFormat/>
    <w:uiPriority w:val="99"/>
    <w:pPr>
      <w:spacing w:after="40" w:line="240" w:lineRule="auto"/>
    </w:pPr>
    <w:rPr>
      <w:sz w:val="18"/>
    </w:rPr>
  </w:style>
  <w:style w:type="paragraph" w:styleId="30">
    <w:name w:val="toc 6"/>
    <w:basedOn w:val="1"/>
    <w:next w:val="1"/>
    <w:unhideWhenUsed/>
    <w:qFormat/>
    <w:uiPriority w:val="39"/>
    <w:pPr>
      <w:spacing w:after="57"/>
      <w:ind w:left="1417" w:right="0" w:firstLine="0"/>
    </w:pPr>
  </w:style>
  <w:style w:type="paragraph" w:styleId="31">
    <w:name w:val="table of figures"/>
    <w:basedOn w:val="1"/>
    <w:next w:val="1"/>
    <w:unhideWhenUsed/>
    <w:qFormat/>
    <w:uiPriority w:val="99"/>
    <w:pPr>
      <w:spacing w:after="0" w:afterAutospacing="0"/>
    </w:pPr>
  </w:style>
  <w:style w:type="paragraph" w:styleId="32">
    <w:name w:val="toc 2"/>
    <w:basedOn w:val="1"/>
    <w:next w:val="1"/>
    <w:unhideWhenUsed/>
    <w:qFormat/>
    <w:uiPriority w:val="39"/>
    <w:pPr>
      <w:spacing w:after="57"/>
      <w:ind w:left="283" w:right="0" w:firstLine="0"/>
    </w:pPr>
  </w:style>
  <w:style w:type="paragraph" w:styleId="33">
    <w:name w:val="toc 9"/>
    <w:basedOn w:val="1"/>
    <w:next w:val="1"/>
    <w:unhideWhenUsed/>
    <w:qFormat/>
    <w:uiPriority w:val="39"/>
    <w:pPr>
      <w:spacing w:after="57"/>
      <w:ind w:left="2268" w:right="0" w:firstLine="0"/>
    </w:pPr>
  </w:style>
  <w:style w:type="paragraph" w:styleId="3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36">
    <w:name w:val="endnote reference"/>
    <w:semiHidden/>
    <w:unhideWhenUsed/>
    <w:qFormat/>
    <w:uiPriority w:val="99"/>
    <w:rPr>
      <w:vertAlign w:val="superscript"/>
    </w:rPr>
  </w:style>
  <w:style w:type="character" w:styleId="37">
    <w:name w:val="Emphasis"/>
    <w:basedOn w:val="35"/>
    <w:qFormat/>
    <w:uiPriority w:val="20"/>
    <w:rPr>
      <w:i/>
    </w:rPr>
  </w:style>
  <w:style w:type="character" w:styleId="38">
    <w:name w:val="Hyperlink"/>
    <w:unhideWhenUsed/>
    <w:qFormat/>
    <w:uiPriority w:val="99"/>
    <w:rPr>
      <w:color w:val="0000FF" w:themeColor="hyperlink"/>
      <w:u w:val="single"/>
      <w14:textFill>
        <w14:solidFill>
          <w14:schemeClr w14:val="hlink"/>
        </w14:solidFill>
      </w14:textFill>
    </w:rPr>
  </w:style>
  <w:style w:type="character" w:styleId="39">
    <w:name w:val="footnote reference"/>
    <w:unhideWhenUsed/>
    <w:qFormat/>
    <w:uiPriority w:val="99"/>
    <w:rPr>
      <w:vertAlign w:val="superscript"/>
    </w:rPr>
  </w:style>
  <w:style w:type="table" w:styleId="41">
    <w:name w:val="Table Grid"/>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42">
    <w:name w:val="表标题"/>
    <w:next w:val="43"/>
    <w:qFormat/>
    <w:uiPriority w:val="0"/>
    <w:pPr>
      <w:tabs>
        <w:tab w:val="left" w:pos="0"/>
      </w:tabs>
      <w:jc w:val="center"/>
    </w:pPr>
    <w:rPr>
      <w:rFonts w:hint="default" w:ascii="Times New Roman" w:hAnsi="Times New Roman" w:eastAsia="宋体" w:cs="Times New Roman"/>
      <w:b/>
      <w:sz w:val="24"/>
      <w:lang w:val="en-US" w:eastAsia="zh-CN" w:bidi="ar-SA"/>
    </w:rPr>
  </w:style>
  <w:style w:type="paragraph" w:customStyle="1" w:styleId="43">
    <w:name w:val="表格"/>
    <w:basedOn w:val="1"/>
    <w:next w:val="1"/>
    <w:link w:val="237"/>
    <w:qFormat/>
    <w:uiPriority w:val="0"/>
    <w:pPr>
      <w:spacing w:line="259" w:lineRule="auto"/>
      <w:jc w:val="center"/>
    </w:pPr>
    <w:rPr>
      <w:rFonts w:ascii="宋体"/>
      <w:sz w:val="20"/>
      <w:szCs w:val="21"/>
    </w:rPr>
  </w:style>
  <w:style w:type="paragraph" w:customStyle="1" w:styleId="44">
    <w:name w:val="表格标题"/>
    <w:basedOn w:val="1"/>
    <w:link w:val="266"/>
    <w:qFormat/>
    <w:uiPriority w:val="0"/>
    <w:pPr>
      <w:autoSpaceDE w:val="0"/>
      <w:autoSpaceDN w:val="0"/>
      <w:adjustRightInd w:val="0"/>
      <w:snapToGrid w:val="0"/>
      <w:spacing w:before="50" w:beforeLines="50" w:line="240" w:lineRule="auto"/>
      <w:ind w:firstLine="0" w:firstLineChars="0"/>
      <w:jc w:val="center"/>
    </w:pPr>
    <w:rPr>
      <w:rFonts w:ascii="Times New Roman" w:hAnsi="Times New Roman" w:eastAsia="宋体" w:cs="Times New Roman"/>
      <w:b/>
      <w:color w:val="000000"/>
      <w:kern w:val="21"/>
      <w:sz w:val="24"/>
      <w:szCs w:val="24"/>
    </w:rPr>
  </w:style>
  <w:style w:type="paragraph" w:customStyle="1" w:styleId="45">
    <w:name w:val="xl27"/>
    <w:basedOn w:val="1"/>
    <w:qFormat/>
    <w:uiPriority w:val="0"/>
    <w:pPr>
      <w:keepNext w:val="0"/>
      <w:keepLines w:val="0"/>
      <w:widowControl/>
      <w:suppressLineNumbers w:val="0"/>
      <w:pBdr>
        <w:top w:val="none" w:color="000000" w:sz="0" w:space="0"/>
        <w:left w:val="none" w:color="000000" w:sz="0" w:space="0"/>
        <w:bottom w:val="single" w:color="000000" w:sz="4" w:space="0"/>
        <w:right w:val="single" w:color="000000" w:sz="4" w:space="0"/>
      </w:pBdr>
      <w:spacing w:before="100" w:beforeAutospacing="1" w:after="100" w:afterAutospacing="1"/>
      <w:ind w:left="0" w:right="0"/>
      <w:jc w:val="center"/>
    </w:pPr>
    <w:rPr>
      <w:rFonts w:ascii="Times New Roman" w:hAnsi="Times New Roman" w:eastAsia="宋体" w:cs="Times New Roman"/>
      <w:sz w:val="21"/>
      <w:szCs w:val="21"/>
      <w:lang w:val="en-US" w:eastAsia="zh-CN" w:bidi="ar"/>
    </w:rPr>
  </w:style>
  <w:style w:type="character" w:customStyle="1" w:styleId="46">
    <w:name w:val="Heading 1 Char"/>
    <w:link w:val="4"/>
    <w:qFormat/>
    <w:uiPriority w:val="9"/>
    <w:rPr>
      <w:rFonts w:ascii="Arial" w:hAnsi="Arial" w:eastAsia="Arial" w:cs="Arial"/>
      <w:sz w:val="40"/>
      <w:szCs w:val="40"/>
    </w:rPr>
  </w:style>
  <w:style w:type="character" w:customStyle="1" w:styleId="47">
    <w:name w:val="Heading 2 Char"/>
    <w:link w:val="5"/>
    <w:qFormat/>
    <w:uiPriority w:val="9"/>
    <w:rPr>
      <w:rFonts w:ascii="Arial" w:hAnsi="Arial" w:eastAsia="Arial" w:cs="Arial"/>
      <w:sz w:val="34"/>
    </w:rPr>
  </w:style>
  <w:style w:type="character" w:customStyle="1" w:styleId="48">
    <w:name w:val="Heading 3 Char"/>
    <w:link w:val="7"/>
    <w:qFormat/>
    <w:uiPriority w:val="9"/>
    <w:rPr>
      <w:rFonts w:ascii="Arial" w:hAnsi="Arial" w:eastAsia="Arial" w:cs="Arial"/>
      <w:sz w:val="30"/>
      <w:szCs w:val="30"/>
    </w:rPr>
  </w:style>
  <w:style w:type="character" w:customStyle="1" w:styleId="49">
    <w:name w:val="Heading 4 Char"/>
    <w:link w:val="8"/>
    <w:qFormat/>
    <w:uiPriority w:val="9"/>
    <w:rPr>
      <w:rFonts w:ascii="Arial" w:hAnsi="Arial" w:eastAsia="Arial" w:cs="Arial"/>
      <w:b/>
      <w:bCs/>
      <w:sz w:val="26"/>
      <w:szCs w:val="26"/>
    </w:rPr>
  </w:style>
  <w:style w:type="character" w:customStyle="1" w:styleId="50">
    <w:name w:val="Heading 5 Char"/>
    <w:link w:val="9"/>
    <w:qFormat/>
    <w:uiPriority w:val="9"/>
    <w:rPr>
      <w:rFonts w:ascii="Arial" w:hAnsi="Arial" w:eastAsia="Arial" w:cs="Arial"/>
      <w:b/>
      <w:bCs/>
      <w:sz w:val="24"/>
      <w:szCs w:val="24"/>
    </w:rPr>
  </w:style>
  <w:style w:type="character" w:customStyle="1" w:styleId="51">
    <w:name w:val="Heading 6 Char"/>
    <w:link w:val="10"/>
    <w:qFormat/>
    <w:uiPriority w:val="9"/>
    <w:rPr>
      <w:rFonts w:ascii="Arial" w:hAnsi="Arial" w:eastAsia="Arial" w:cs="Arial"/>
      <w:b/>
      <w:bCs/>
      <w:sz w:val="22"/>
      <w:szCs w:val="22"/>
    </w:rPr>
  </w:style>
  <w:style w:type="character" w:customStyle="1" w:styleId="52">
    <w:name w:val="Heading 7 Char"/>
    <w:link w:val="11"/>
    <w:qFormat/>
    <w:uiPriority w:val="9"/>
    <w:rPr>
      <w:rFonts w:ascii="Arial" w:hAnsi="Arial" w:eastAsia="Arial" w:cs="Arial"/>
      <w:b/>
      <w:bCs/>
      <w:i/>
      <w:iCs/>
      <w:sz w:val="22"/>
      <w:szCs w:val="22"/>
    </w:rPr>
  </w:style>
  <w:style w:type="character" w:customStyle="1" w:styleId="53">
    <w:name w:val="Heading 8 Char"/>
    <w:link w:val="12"/>
    <w:qFormat/>
    <w:uiPriority w:val="9"/>
    <w:rPr>
      <w:rFonts w:ascii="Arial" w:hAnsi="Arial" w:eastAsia="Arial" w:cs="Arial"/>
      <w:i/>
      <w:iCs/>
      <w:sz w:val="22"/>
      <w:szCs w:val="22"/>
    </w:rPr>
  </w:style>
  <w:style w:type="character" w:customStyle="1" w:styleId="54">
    <w:name w:val="Heading 9 Char"/>
    <w:link w:val="13"/>
    <w:qFormat/>
    <w:uiPriority w:val="9"/>
    <w:rPr>
      <w:rFonts w:ascii="Arial" w:hAnsi="Arial" w:eastAsia="Arial" w:cs="Arial"/>
      <w:i/>
      <w:iCs/>
      <w:sz w:val="21"/>
      <w:szCs w:val="21"/>
    </w:rPr>
  </w:style>
  <w:style w:type="character" w:customStyle="1" w:styleId="55">
    <w:name w:val="Title Char"/>
    <w:link w:val="6"/>
    <w:qFormat/>
    <w:uiPriority w:val="10"/>
    <w:rPr>
      <w:sz w:val="48"/>
      <w:szCs w:val="48"/>
    </w:rPr>
  </w:style>
  <w:style w:type="character" w:customStyle="1" w:styleId="56">
    <w:name w:val="Subtitle Char"/>
    <w:link w:val="28"/>
    <w:qFormat/>
    <w:uiPriority w:val="11"/>
    <w:rPr>
      <w:sz w:val="24"/>
      <w:szCs w:val="24"/>
    </w:rPr>
  </w:style>
  <w:style w:type="paragraph" w:styleId="57">
    <w:name w:val="Quote"/>
    <w:basedOn w:val="1"/>
    <w:next w:val="1"/>
    <w:link w:val="58"/>
    <w:qFormat/>
    <w:uiPriority w:val="29"/>
    <w:pPr>
      <w:ind w:left="720" w:right="720"/>
    </w:pPr>
    <w:rPr>
      <w:i/>
    </w:rPr>
  </w:style>
  <w:style w:type="character" w:customStyle="1" w:styleId="58">
    <w:name w:val="Quote Char"/>
    <w:link w:val="57"/>
    <w:qFormat/>
    <w:uiPriority w:val="29"/>
    <w:rPr>
      <w:i/>
    </w:rPr>
  </w:style>
  <w:style w:type="paragraph" w:styleId="59">
    <w:name w:val="Intense Quote"/>
    <w:basedOn w:val="1"/>
    <w:next w:val="1"/>
    <w:link w:val="60"/>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60">
    <w:name w:val="Intense Quote Char"/>
    <w:link w:val="59"/>
    <w:qFormat/>
    <w:uiPriority w:val="30"/>
    <w:rPr>
      <w:i/>
    </w:rPr>
  </w:style>
  <w:style w:type="character" w:customStyle="1" w:styleId="61">
    <w:name w:val="Caption Char"/>
    <w:link w:val="23"/>
    <w:qFormat/>
    <w:uiPriority w:val="99"/>
  </w:style>
  <w:style w:type="table" w:customStyle="1" w:styleId="62">
    <w:name w:val="Table Grid Light"/>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Layout w:type="fixed"/>
      <w:tblCellMar>
        <w:top w:w="0" w:type="dxa"/>
        <w:left w:w="108" w:type="dxa"/>
        <w:bottom w:w="0" w:type="dxa"/>
        <w:right w:w="108" w:type="dxa"/>
      </w:tblCellMar>
    </w:tblPr>
  </w:style>
  <w:style w:type="table" w:customStyle="1" w:styleId="63">
    <w:name w:val="Plain Table 1"/>
    <w:qForma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Layout w:type="fixed"/>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64">
    <w:name w:val="Plain Table 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Layout w:type="fixed"/>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65">
    <w:name w:val="Plain Table 3"/>
    <w:qFormat/>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6">
    <w:name w:val="Plain Table 4"/>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7">
    <w:name w:val="Plain Table 5"/>
    <w:qFormat/>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8">
    <w:name w:val="Grid Table 1 Light"/>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Layout w:type="fixed"/>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9">
    <w:name w:val="Grid Table 1 Light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Layout w:type="fixed"/>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70">
    <w:name w:val="Grid Table 1 Light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Layout w:type="fixed"/>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71">
    <w:name w:val="Grid Table 1 Light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Layout w:type="fixed"/>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72">
    <w:name w:val="Grid Table 1 Light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Layout w:type="fixed"/>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73">
    <w:name w:val="Grid Table 1 Light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Layout w:type="fixed"/>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74">
    <w:name w:val="Grid Table 1 Light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Layout w:type="fixed"/>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75">
    <w:name w:val="Grid Table 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Layout w:type="fixed"/>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6">
    <w:name w:val="Grid Table 2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Layout w:type="fixed"/>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77">
    <w:name w:val="Grid Table 2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Layout w:type="fixed"/>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8">
    <w:name w:val="Grid Table 2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Layout w:type="fixed"/>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9">
    <w:name w:val="Grid Table 2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Layout w:type="fixed"/>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0">
    <w:name w:val="Grid Table 2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Layout w:type="fixed"/>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1">
    <w:name w:val="Grid Table 2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Layout w:type="fixed"/>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2">
    <w:name w:val="Grid Table 3"/>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Layout w:type="fixed"/>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3">
    <w:name w:val="Grid Table 3 - Accent 1"/>
    <w:qFormat/>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Layout w:type="fixed"/>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84">
    <w:name w:val="Grid Table 3 - Accent 2"/>
    <w:qFormat/>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Layout w:type="fixed"/>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5">
    <w:name w:val="Grid Table 3 - Accent 3"/>
    <w:qFormat/>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Layout w:type="fixed"/>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6">
    <w:name w:val="Grid Table 3 - Accent 4"/>
    <w:qFormat/>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Layout w:type="fixed"/>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7">
    <w:name w:val="Grid Table 3 - Accent 5"/>
    <w:qFormat/>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Layout w:type="fixed"/>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8">
    <w:name w:val="Grid Table 3 - Accent 6"/>
    <w:qFormat/>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Layout w:type="fixed"/>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9">
    <w:name w:val="Grid Table 4"/>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Layout w:type="fixed"/>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0">
    <w:name w:val="Grid Table 4 - Accent 1"/>
    <w:qFormat/>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Layout w:type="fixed"/>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91">
    <w:name w:val="Grid Table 4 - Accent 2"/>
    <w:qFormat/>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Layout w:type="fixed"/>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92">
    <w:name w:val="Grid Table 4 - Accent 3"/>
    <w:qFormat/>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Layout w:type="fixed"/>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93">
    <w:name w:val="Grid Table 4 - Accent 4"/>
    <w:qFormat/>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Layout w:type="fixed"/>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94">
    <w:name w:val="Grid Table 4 - Accent 5"/>
    <w:qFormat/>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Layout w:type="fixed"/>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95">
    <w:name w:val="Grid Table 4 - Accent 6"/>
    <w:qFormat/>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Layout w:type="fixed"/>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96">
    <w:name w:val="Grid Table 5 Dark"/>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97">
    <w:name w:val="Grid Table 5 Dark- Accent 1"/>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98">
    <w:name w:val="Grid Table 5 Dark - Accent 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99">
    <w:name w:val="Grid Table 5 Dark - Accent 3"/>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100">
    <w:name w:val="Grid Table 5 Dark- Accent 4"/>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101">
    <w:name w:val="Grid Table 5 Dark - Accent 5"/>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102">
    <w:name w:val="Grid Table 5 Dark - Accent 6"/>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Layout w:type="fixed"/>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103">
    <w:name w:val="Grid Table 6 Colorful"/>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Layout w:type="fixed"/>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4">
    <w:name w:val="Grid Table 6 Colorful - Accent 1"/>
    <w:qFormat/>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Layout w:type="fixed"/>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05">
    <w:name w:val="Grid Table 6 Colorful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Layout w:type="fixed"/>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6">
    <w:name w:val="Grid Table 6 Colorful - Accent 3"/>
    <w:qFormat/>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Layout w:type="fixed"/>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07">
    <w:name w:val="Grid Table 6 Colorful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Layout w:type="fixed"/>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08">
    <w:name w:val="Grid Table 6 Colorful - Accent 5"/>
    <w:qFormat/>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Layout w:type="fixed"/>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09">
    <w:name w:val="Grid Table 6 Colorful - Accent 6"/>
    <w:qFormat/>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Layout w:type="fixed"/>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style>
  <w:style w:type="table" w:customStyle="1" w:styleId="110">
    <w:name w:val="Grid Table 7 Colorful"/>
    <w:qFormat/>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Layout w:type="fixed"/>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11">
    <w:name w:val="Grid Table 7 Colorful - Accent 1"/>
    <w:qFormat/>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Layout w:type="fixed"/>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12">
    <w:name w:val="Grid Table 7 Colorful - Accent 2"/>
    <w:qFormat/>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Layout w:type="fixed"/>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13">
    <w:name w:val="Grid Table 7 Colorful - Accent 3"/>
    <w:qFormat/>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Layout w:type="fixed"/>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14">
    <w:name w:val="Grid Table 7 Colorful - Accent 4"/>
    <w:qFormat/>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Layout w:type="fixed"/>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15">
    <w:name w:val="Grid Table 7 Colorful - Accent 5"/>
    <w:qFormat/>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Layout w:type="fixed"/>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16">
    <w:name w:val="Grid Table 7 Colorful - Accent 6"/>
    <w:qFormat/>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Layout w:type="fixed"/>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style>
  <w:style w:type="table" w:customStyle="1" w:styleId="117">
    <w:name w:val="List Table 1 Light"/>
    <w:qFormat/>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18">
    <w:name w:val="List Table 1 Light - Accent 1"/>
    <w:qFormat/>
    <w:uiPriority w:val="99"/>
    <w:pPr>
      <w:spacing w:after="0" w:line="240" w:lineRule="auto"/>
    </w:p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19">
    <w:name w:val="List Table 1 Light - Accent 2"/>
    <w:qFormat/>
    <w:uiPriority w:val="99"/>
    <w:pPr>
      <w:spacing w:after="0" w:line="240" w:lineRule="auto"/>
    </w:p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20">
    <w:name w:val="List Table 1 Light - Accent 3"/>
    <w:qFormat/>
    <w:uiPriority w:val="99"/>
    <w:pPr>
      <w:spacing w:after="0" w:line="240" w:lineRule="auto"/>
    </w:p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21">
    <w:name w:val="List Table 1 Light - Accent 4"/>
    <w:qFormat/>
    <w:uiPriority w:val="99"/>
    <w:pPr>
      <w:spacing w:after="0" w:line="240" w:lineRule="auto"/>
    </w:p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22">
    <w:name w:val="List Table 1 Light - Accent 5"/>
    <w:qFormat/>
    <w:uiPriority w:val="99"/>
    <w:pPr>
      <w:spacing w:after="0" w:line="240" w:lineRule="auto"/>
    </w:p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23">
    <w:name w:val="List Table 1 Light - Accent 6"/>
    <w:qFormat/>
    <w:uiPriority w:val="99"/>
    <w:pPr>
      <w:spacing w:after="0" w:line="240" w:lineRule="auto"/>
    </w:p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24">
    <w:name w:val="List Table 2"/>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Layout w:type="fixed"/>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25">
    <w:name w:val="List Table 2 - Accent 1"/>
    <w:qFormat/>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Layout w:type="fixed"/>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26">
    <w:name w:val="List Table 2 - Accent 2"/>
    <w:qFormat/>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Layout w:type="fixed"/>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27">
    <w:name w:val="List Table 2 - Accent 3"/>
    <w:qFormat/>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Layout w:type="fixed"/>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28">
    <w:name w:val="List Table 2 - Accent 4"/>
    <w:qFormat/>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Layout w:type="fixed"/>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29">
    <w:name w:val="List Table 2 - Accent 5"/>
    <w:qFormat/>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Layout w:type="fixed"/>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30">
    <w:name w:val="List Table 2 - Accent 6"/>
    <w:qFormat/>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Layout w:type="fixed"/>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31">
    <w:name w:val="List Table 3"/>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Layout w:type="fixed"/>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32">
    <w:name w:val="List Table 3 - Accent 1"/>
    <w:qFormat/>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Layout w:type="fixed"/>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33">
    <w:name w:val="List Table 3 - Accent 2"/>
    <w:qFormat/>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Layout w:type="fixed"/>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34">
    <w:name w:val="List Table 3 - Accent 3"/>
    <w:qFormat/>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Layout w:type="fixed"/>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35">
    <w:name w:val="List Table 3 - Accent 4"/>
    <w:qFormat/>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Layout w:type="fixed"/>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36">
    <w:name w:val="List Table 3 - Accent 5"/>
    <w:qFormat/>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Layout w:type="fixed"/>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37">
    <w:name w:val="List Table 3 - Accent 6"/>
    <w:qFormat/>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Layout w:type="fixed"/>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38">
    <w:name w:val="List Table 4"/>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Layout w:type="fixed"/>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9">
    <w:name w:val="List Table 4 - Accent 1"/>
    <w:qFormat/>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Layout w:type="fixed"/>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40">
    <w:name w:val="List Table 4 - Accent 2"/>
    <w:qFormat/>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Layout w:type="fixed"/>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41">
    <w:name w:val="List Table 4 - Accent 3"/>
    <w:qFormat/>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Layout w:type="fixed"/>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42">
    <w:name w:val="List Table 4 - Accent 4"/>
    <w:qFormat/>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Layout w:type="fixed"/>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43">
    <w:name w:val="List Table 4 - Accent 5"/>
    <w:qFormat/>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Layout w:type="fixed"/>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44">
    <w:name w:val="List Table 4 - Accent 6"/>
    <w:qFormat/>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Layout w:type="fixed"/>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45">
    <w:name w:val="List Table 5 Dark"/>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Layout w:type="fixed"/>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46">
    <w:name w:val="List Table 5 Dark - Accent 1"/>
    <w:qFormat/>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Layout w:type="fixed"/>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47">
    <w:name w:val="List Table 5 Dark - Accent 2"/>
    <w:qFormat/>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Layout w:type="fixed"/>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48">
    <w:name w:val="List Table 5 Dark - Accent 3"/>
    <w:qFormat/>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Layout w:type="fixed"/>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49">
    <w:name w:val="List Table 5 Dark - Accent 4"/>
    <w:qFormat/>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Layout w:type="fixed"/>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50">
    <w:name w:val="List Table 5 Dark - Accent 5"/>
    <w:qFormat/>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Layout w:type="fixed"/>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51">
    <w:name w:val="List Table 5 Dark - Accent 6"/>
    <w:qFormat/>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Layout w:type="fixed"/>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52">
    <w:name w:val="List Table 6 Colorful"/>
    <w:qFormat/>
    <w:uiPriority w:val="99"/>
    <w:pPr>
      <w:spacing w:after="0" w:line="240" w:lineRule="auto"/>
    </w:pPr>
    <w:tblPr>
      <w:tblBorders>
        <w:top w:val="single" w:color="7E7E7E" w:themeColor="text1" w:themeTint="80" w:sz="4" w:space="0"/>
        <w:bottom w:val="single" w:color="7E7E7E" w:themeColor="text1" w:themeTint="80" w:sz="4" w:space="0"/>
      </w:tblBorders>
      <w:tblLayout w:type="fixed"/>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53">
    <w:name w:val="List Table 6 Colorful - Accent 1"/>
    <w:qFormat/>
    <w:uiPriority w:val="99"/>
    <w:pPr>
      <w:spacing w:after="0" w:line="240" w:lineRule="auto"/>
    </w:pPr>
    <w:tblPr>
      <w:tblBorders>
        <w:top w:val="single" w:color="4F81BD" w:themeColor="accent1" w:sz="4" w:space="0"/>
        <w:bottom w:val="single" w:color="4F81BD" w:themeColor="accent1" w:sz="4" w:space="0"/>
      </w:tblBorders>
      <w:tblLayout w:type="fixed"/>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54">
    <w:name w:val="List Table 6 Colorful - Accent 2"/>
    <w:qFormat/>
    <w:uiPriority w:val="99"/>
    <w:pPr>
      <w:spacing w:after="0" w:line="240" w:lineRule="auto"/>
    </w:pPr>
    <w:tblPr>
      <w:tblBorders>
        <w:top w:val="single" w:color="D99795" w:themeColor="accent2" w:themeTint="97" w:sz="4" w:space="0"/>
        <w:bottom w:val="single" w:color="D99795" w:themeColor="accent2" w:themeTint="97" w:sz="4" w:space="0"/>
      </w:tblBorders>
      <w:tblLayout w:type="fixed"/>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5">
    <w:name w:val="List Table 6 Colorful - Accent 3"/>
    <w:qFormat/>
    <w:uiPriority w:val="99"/>
    <w:pPr>
      <w:spacing w:after="0" w:line="240" w:lineRule="auto"/>
    </w:pPr>
    <w:tblPr>
      <w:tblBorders>
        <w:top w:val="single" w:color="C3D69C" w:themeColor="accent3" w:themeTint="98" w:sz="4" w:space="0"/>
        <w:bottom w:val="single" w:color="C3D69C" w:themeColor="accent3" w:themeTint="98" w:sz="4" w:space="0"/>
      </w:tblBorders>
      <w:tblLayout w:type="fixed"/>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6">
    <w:name w:val="List Table 6 Colorful - Accent 4"/>
    <w:qFormat/>
    <w:uiPriority w:val="99"/>
    <w:pPr>
      <w:spacing w:after="0" w:line="240" w:lineRule="auto"/>
    </w:pPr>
    <w:tblPr>
      <w:tblBorders>
        <w:top w:val="single" w:color="B2A1C6" w:themeColor="accent4" w:themeTint="9A" w:sz="4" w:space="0"/>
        <w:bottom w:val="single" w:color="B2A1C6" w:themeColor="accent4" w:themeTint="9A" w:sz="4" w:space="0"/>
      </w:tblBorders>
      <w:tblLayout w:type="fixed"/>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57">
    <w:name w:val="List Table 6 Colorful - Accent 5"/>
    <w:qFormat/>
    <w:uiPriority w:val="99"/>
    <w:pPr>
      <w:spacing w:after="0" w:line="240" w:lineRule="auto"/>
    </w:pPr>
    <w:tblPr>
      <w:tblBorders>
        <w:top w:val="single" w:color="92CCDC" w:themeColor="accent5" w:themeTint="9A" w:sz="4" w:space="0"/>
        <w:bottom w:val="single" w:color="92CCDC" w:themeColor="accent5" w:themeTint="9A" w:sz="4" w:space="0"/>
      </w:tblBorders>
      <w:tblLayout w:type="fixed"/>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58">
    <w:name w:val="List Table 6 Colorful - Accent 6"/>
    <w:qFormat/>
    <w:uiPriority w:val="99"/>
    <w:pPr>
      <w:spacing w:after="0" w:line="240" w:lineRule="auto"/>
    </w:pPr>
    <w:tblPr>
      <w:tblBorders>
        <w:top w:val="single" w:color="FAC090" w:themeColor="accent6" w:themeTint="98" w:sz="4" w:space="0"/>
        <w:bottom w:val="single" w:color="FAC090" w:themeColor="accent6" w:themeTint="98" w:sz="4" w:space="0"/>
      </w:tblBorders>
      <w:tblLayout w:type="fixed"/>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59">
    <w:name w:val="List Table 7 Colorful"/>
    <w:qFormat/>
    <w:uiPriority w:val="99"/>
    <w:pPr>
      <w:spacing w:after="0" w:line="240" w:lineRule="auto"/>
    </w:pPr>
    <w:tblPr>
      <w:tblBorders>
        <w:right w:val="single" w:color="7E7E7E" w:themeColor="text1" w:themeTint="80" w:sz="4" w:space="0"/>
      </w:tblBorders>
      <w:tblLayout w:type="fixed"/>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60">
    <w:name w:val="List Table 7 Colorful - Accent 1"/>
    <w:qFormat/>
    <w:uiPriority w:val="99"/>
    <w:pPr>
      <w:spacing w:after="0" w:line="240" w:lineRule="auto"/>
    </w:pPr>
    <w:tblPr>
      <w:tblBorders>
        <w:right w:val="single" w:color="4F81BD" w:themeColor="accent1" w:sz="4" w:space="0"/>
      </w:tblBorders>
      <w:tblLayout w:type="fixed"/>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61">
    <w:name w:val="List Table 7 Colorful - Accent 2"/>
    <w:qFormat/>
    <w:uiPriority w:val="99"/>
    <w:pPr>
      <w:spacing w:after="0" w:line="240" w:lineRule="auto"/>
    </w:pPr>
    <w:tblPr>
      <w:tblBorders>
        <w:right w:val="single" w:color="D99795" w:themeColor="accent2" w:themeTint="97" w:sz="4" w:space="0"/>
      </w:tblBorders>
      <w:tblLayout w:type="fixed"/>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62">
    <w:name w:val="List Table 7 Colorful - Accent 3"/>
    <w:qFormat/>
    <w:uiPriority w:val="99"/>
    <w:pPr>
      <w:spacing w:after="0" w:line="240" w:lineRule="auto"/>
    </w:pPr>
    <w:tblPr>
      <w:tblBorders>
        <w:right w:val="single" w:color="C3D69C" w:themeColor="accent3" w:themeTint="98" w:sz="4" w:space="0"/>
      </w:tblBorders>
      <w:tblLayout w:type="fixed"/>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63">
    <w:name w:val="List Table 7 Colorful - Accent 4"/>
    <w:qFormat/>
    <w:uiPriority w:val="99"/>
    <w:pPr>
      <w:spacing w:after="0" w:line="240" w:lineRule="auto"/>
    </w:pPr>
    <w:tblPr>
      <w:tblBorders>
        <w:right w:val="single" w:color="B2A1C6" w:themeColor="accent4" w:themeTint="9A" w:sz="4" w:space="0"/>
      </w:tblBorders>
      <w:tblLayout w:type="fixed"/>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64">
    <w:name w:val="List Table 7 Colorful - Accent 5"/>
    <w:qFormat/>
    <w:uiPriority w:val="99"/>
    <w:pPr>
      <w:spacing w:after="0" w:line="240" w:lineRule="auto"/>
    </w:pPr>
    <w:tblPr>
      <w:tblBorders>
        <w:right w:val="single" w:color="92CCDC" w:themeColor="accent5" w:themeTint="9A" w:sz="4" w:space="0"/>
      </w:tblBorders>
      <w:tblLayout w:type="fixed"/>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65">
    <w:name w:val="List Table 7 Colorful - Accent 6"/>
    <w:qFormat/>
    <w:uiPriority w:val="99"/>
    <w:pPr>
      <w:spacing w:after="0" w:line="240" w:lineRule="auto"/>
    </w:pPr>
    <w:tblPr>
      <w:tblBorders>
        <w:right w:val="single" w:color="FAC090" w:themeColor="accent6" w:themeTint="98" w:sz="4" w:space="0"/>
      </w:tblBorders>
      <w:tblLayout w:type="fixed"/>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66">
    <w:name w:val="Lined - Accent"/>
    <w:qFormat/>
    <w:uiPriority w:val="99"/>
    <w:pPr>
      <w:spacing w:after="0" w:line="240" w:lineRule="auto"/>
    </w:pPr>
    <w:rPr>
      <w:color w:val="404040"/>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7">
    <w:name w:val="Lined - Accent 1"/>
    <w:qFormat/>
    <w:uiPriority w:val="99"/>
    <w:pPr>
      <w:spacing w:after="0" w:line="240" w:lineRule="auto"/>
    </w:pPr>
    <w:rPr>
      <w:color w:val="404040"/>
    </w:r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8">
    <w:name w:val="Lined - Accent 2"/>
    <w:qFormat/>
    <w:uiPriority w:val="99"/>
    <w:pPr>
      <w:spacing w:after="0" w:line="240" w:lineRule="auto"/>
    </w:pPr>
    <w:rPr>
      <w:color w:val="404040"/>
    </w:r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9">
    <w:name w:val="Lined - Accent 3"/>
    <w:qFormat/>
    <w:uiPriority w:val="99"/>
    <w:pPr>
      <w:spacing w:after="0" w:line="240" w:lineRule="auto"/>
    </w:pPr>
    <w:rPr>
      <w:color w:val="404040"/>
    </w:r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70">
    <w:name w:val="Lined - Accent 4"/>
    <w:qFormat/>
    <w:uiPriority w:val="99"/>
    <w:pPr>
      <w:spacing w:after="0" w:line="240" w:lineRule="auto"/>
    </w:pPr>
    <w:rPr>
      <w:color w:val="404040"/>
    </w:r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71">
    <w:name w:val="Lined - Accent 5"/>
    <w:qFormat/>
    <w:uiPriority w:val="99"/>
    <w:pPr>
      <w:spacing w:after="0" w:line="240" w:lineRule="auto"/>
    </w:pPr>
    <w:rPr>
      <w:color w:val="404040"/>
    </w:r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72">
    <w:name w:val="Lined - Accent 6"/>
    <w:qFormat/>
    <w:uiPriority w:val="99"/>
    <w:pPr>
      <w:spacing w:after="0" w:line="240" w:lineRule="auto"/>
    </w:pPr>
    <w:rPr>
      <w:color w:val="404040"/>
    </w:r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73">
    <w:name w:val="Bordered &amp; Lined - Accent"/>
    <w:qForma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Layout w:type="fixed"/>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74">
    <w:name w:val="Bordered &amp; Lined - Accent 1"/>
    <w:qFormat/>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Layout w:type="fixed"/>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75">
    <w:name w:val="Bordered &amp; Lined - Accent 2"/>
    <w:qFormat/>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Layout w:type="fixed"/>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76">
    <w:name w:val="Bordered &amp; Lined - Accent 3"/>
    <w:qFormat/>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Layout w:type="fixed"/>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77">
    <w:name w:val="Bordered &amp; Lined - Accent 4"/>
    <w:qFormat/>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Layout w:type="fixed"/>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78">
    <w:name w:val="Bordered &amp; Lined - Accent 5"/>
    <w:qFormat/>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Layout w:type="fixed"/>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79">
    <w:name w:val="Bordered &amp; Lined - Accent 6"/>
    <w:qFormat/>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Layout w:type="fixed"/>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80">
    <w:name w:val="Bordered"/>
    <w:qFormat/>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Layout w:type="fixed"/>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81">
    <w:name w:val="Bordered - Accent 1"/>
    <w:qFormat/>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Layout w:type="fixed"/>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82">
    <w:name w:val="Bordered - Accent 2"/>
    <w:qFormat/>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Layout w:type="fixed"/>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83">
    <w:name w:val="Bordered - Accent 3"/>
    <w:qFormat/>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Layout w:type="fixed"/>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84">
    <w:name w:val="Bordered - Accent 4"/>
    <w:qFormat/>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Layout w:type="fixed"/>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85">
    <w:name w:val="Bordered - Accent 5"/>
    <w:qFormat/>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Layout w:type="fixed"/>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86">
    <w:name w:val="Bordered - Accent 6"/>
    <w:qFormat/>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Layout w:type="fixed"/>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87">
    <w:name w:val="Footnote Text Char"/>
    <w:link w:val="29"/>
    <w:qFormat/>
    <w:uiPriority w:val="99"/>
    <w:rPr>
      <w:sz w:val="18"/>
    </w:rPr>
  </w:style>
  <w:style w:type="character" w:customStyle="1" w:styleId="188">
    <w:name w:val="Endnote Text Char"/>
    <w:link w:val="22"/>
    <w:qFormat/>
    <w:uiPriority w:val="99"/>
    <w:rPr>
      <w:sz w:val="20"/>
    </w:rPr>
  </w:style>
  <w:style w:type="paragraph" w:customStyle="1" w:styleId="189">
    <w:name w:val="TOC Heading"/>
    <w:unhideWhenUsed/>
    <w:qFormat/>
    <w:uiPriority w:val="39"/>
    <w:rPr>
      <w:rFonts w:hint="default" w:ascii="Times New Roman" w:hAnsi="Times New Roman" w:eastAsia="宋体" w:cs="Times New Roman"/>
    </w:rPr>
  </w:style>
  <w:style w:type="paragraph" w:customStyle="1" w:styleId="190">
    <w:name w:val="标题 11"/>
    <w:basedOn w:val="1"/>
    <w:next w:val="1"/>
    <w:qFormat/>
    <w:uiPriority w:val="0"/>
    <w:pPr>
      <w:keepNext/>
      <w:spacing w:before="120" w:after="160" w:line="259" w:lineRule="auto"/>
      <w:ind w:left="432" w:hanging="432"/>
      <w:outlineLvl w:val="0"/>
    </w:pPr>
    <w:rPr>
      <w:rFonts w:eastAsia="黑体"/>
      <w:b/>
      <w:bCs/>
      <w:color w:val="000000"/>
      <w:sz w:val="30"/>
      <w:szCs w:val="30"/>
    </w:rPr>
  </w:style>
  <w:style w:type="paragraph" w:customStyle="1" w:styleId="191">
    <w:name w:val="标题 21"/>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paragraph" w:customStyle="1" w:styleId="192">
    <w:name w:val="标题 31"/>
    <w:basedOn w:val="1"/>
    <w:next w:val="1"/>
    <w:qFormat/>
    <w:uiPriority w:val="0"/>
    <w:pPr>
      <w:keepNext/>
      <w:keepLines/>
      <w:widowControl w:val="0"/>
      <w:suppressLineNumbers w:val="0"/>
      <w:spacing w:before="260" w:beforeAutospacing="0" w:after="260" w:afterAutospacing="0" w:line="415" w:lineRule="auto"/>
      <w:ind w:left="0" w:right="0"/>
      <w:jc w:val="both"/>
      <w:outlineLvl w:val="2"/>
    </w:pPr>
    <w:rPr>
      <w:rFonts w:ascii="Times New Roman" w:hAnsi="Times New Roman" w:eastAsia="宋体" w:cs="Times New Roman"/>
      <w:b/>
      <w:sz w:val="32"/>
      <w:szCs w:val="32"/>
      <w:lang w:val="en-US" w:eastAsia="zh-CN" w:bidi="ar"/>
    </w:rPr>
  </w:style>
  <w:style w:type="paragraph" w:customStyle="1" w:styleId="193">
    <w:name w:val="标题 41"/>
    <w:basedOn w:val="1"/>
    <w:next w:val="1"/>
    <w:qFormat/>
    <w:uiPriority w:val="0"/>
    <w:pPr>
      <w:keepNext/>
      <w:keepLines/>
      <w:spacing w:before="280" w:beforeAutospacing="0" w:after="290" w:afterAutospacing="0" w:line="372" w:lineRule="auto"/>
      <w:outlineLvl w:val="3"/>
    </w:pPr>
    <w:rPr>
      <w:rFonts w:ascii="Arial" w:hAnsi="Arial" w:eastAsia="黑体"/>
      <w:b/>
      <w:sz w:val="28"/>
    </w:rPr>
  </w:style>
  <w:style w:type="character" w:customStyle="1" w:styleId="194">
    <w:name w:val="默认段落字体1"/>
    <w:link w:val="1"/>
    <w:semiHidden/>
    <w:qFormat/>
    <w:uiPriority w:val="0"/>
  </w:style>
  <w:style w:type="table" w:customStyle="1" w:styleId="195">
    <w:name w:val="普通表格1"/>
    <w:semiHidden/>
    <w:qFormat/>
    <w:uiPriority w:val="0"/>
  </w:style>
  <w:style w:type="paragraph" w:customStyle="1" w:styleId="196">
    <w:name w:val="正文缩进1"/>
    <w:basedOn w:val="1"/>
    <w:qFormat/>
    <w:uiPriority w:val="0"/>
    <w:pPr>
      <w:keepNext w:val="0"/>
      <w:keepLines w:val="0"/>
      <w:widowControl w:val="0"/>
      <w:suppressLineNumbers w:val="0"/>
      <w:spacing w:before="0" w:beforeAutospacing="0" w:after="0" w:afterAutospacing="0" w:line="360" w:lineRule="auto"/>
      <w:ind w:left="0" w:right="0" w:firstLine="420"/>
      <w:jc w:val="both"/>
    </w:pPr>
    <w:rPr>
      <w:rFonts w:ascii="Times New Roman" w:hAnsi="Times New Roman" w:eastAsia="宋体" w:cs="Times New Roman"/>
      <w:sz w:val="24"/>
      <w:szCs w:val="20"/>
      <w:lang w:val="en-US" w:eastAsia="zh-CN" w:bidi="ar"/>
    </w:rPr>
  </w:style>
  <w:style w:type="paragraph" w:customStyle="1" w:styleId="197">
    <w:name w:val="题注1"/>
    <w:basedOn w:val="1"/>
    <w:next w:val="198"/>
    <w:qFormat/>
    <w:uiPriority w:val="0"/>
    <w:rPr>
      <w:rFonts w:ascii="Arial" w:hAnsi="Arial" w:eastAsia="黑体"/>
      <w:sz w:val="20"/>
    </w:rPr>
  </w:style>
  <w:style w:type="paragraph" w:customStyle="1" w:styleId="198">
    <w:name w:val="正文首行缩进1"/>
    <w:basedOn w:val="199"/>
    <w:next w:val="200"/>
    <w:qFormat/>
    <w:uiPriority w:val="0"/>
    <w:pPr>
      <w:spacing w:before="0" w:after="120"/>
      <w:ind w:left="0" w:firstLine="420"/>
    </w:pPr>
    <w:rPr>
      <w:rFonts w:ascii="Calibri" w:hAnsi="Calibri" w:eastAsia="宋体"/>
      <w:sz w:val="22"/>
      <w:szCs w:val="22"/>
    </w:rPr>
  </w:style>
  <w:style w:type="paragraph" w:customStyle="1" w:styleId="199">
    <w:name w:val="正文文本1"/>
    <w:basedOn w:val="1"/>
    <w:next w:val="1"/>
    <w:link w:val="202"/>
    <w:qFormat/>
    <w:uiPriority w:val="0"/>
    <w:pPr>
      <w:widowControl/>
      <w:spacing w:before="60" w:after="160" w:line="259" w:lineRule="auto"/>
      <w:ind w:right="113"/>
    </w:pPr>
    <w:rPr>
      <w:sz w:val="18"/>
      <w:szCs w:val="18"/>
    </w:rPr>
  </w:style>
  <w:style w:type="paragraph" w:customStyle="1" w:styleId="200">
    <w:name w:val="正文首行缩进 21"/>
    <w:basedOn w:val="201"/>
    <w:next w:val="1"/>
    <w:qFormat/>
    <w:uiPriority w:val="99"/>
    <w:pPr>
      <w:spacing w:line="300" w:lineRule="auto"/>
      <w:ind w:firstLine="200"/>
    </w:pPr>
    <w:rPr>
      <w:rFonts w:ascii="宋体" w:hAnsi="等线" w:eastAsia="等线"/>
      <w:sz w:val="24"/>
    </w:rPr>
  </w:style>
  <w:style w:type="paragraph" w:customStyle="1" w:styleId="201">
    <w:name w:val="正文文本缩进11"/>
    <w:basedOn w:val="1"/>
    <w:link w:val="203"/>
    <w:semiHidden/>
    <w:qFormat/>
    <w:uiPriority w:val="0"/>
    <w:pPr>
      <w:spacing w:after="120"/>
      <w:ind w:left="420"/>
    </w:pPr>
  </w:style>
  <w:style w:type="character" w:customStyle="1" w:styleId="202">
    <w:name w:val="Body Text Char"/>
    <w:link w:val="199"/>
    <w:qFormat/>
    <w:uiPriority w:val="0"/>
    <w:rPr>
      <w:sz w:val="18"/>
    </w:rPr>
  </w:style>
  <w:style w:type="character" w:customStyle="1" w:styleId="203">
    <w:name w:val="Body Text Indent Char"/>
    <w:basedOn w:val="194"/>
    <w:link w:val="201"/>
    <w:semiHidden/>
    <w:qFormat/>
    <w:uiPriority w:val="0"/>
    <w:rPr>
      <w:rFonts w:ascii="Times New Roman" w:hAnsi="Times New Roman" w:eastAsia="宋体" w:cs="Times New Roman"/>
      <w:sz w:val="24"/>
      <w:szCs w:val="24"/>
    </w:rPr>
  </w:style>
  <w:style w:type="paragraph" w:customStyle="1" w:styleId="204">
    <w:name w:val="批注文字1"/>
    <w:basedOn w:val="1"/>
    <w:link w:val="205"/>
    <w:semiHidden/>
    <w:qFormat/>
    <w:uiPriority w:val="0"/>
    <w:pPr>
      <w:jc w:val="left"/>
    </w:pPr>
    <w:rPr>
      <w:sz w:val="20"/>
    </w:rPr>
  </w:style>
  <w:style w:type="character" w:customStyle="1" w:styleId="205">
    <w:name w:val="Comment Text Char"/>
    <w:link w:val="204"/>
    <w:qFormat/>
    <w:uiPriority w:val="0"/>
    <w:rPr>
      <w:rFonts w:ascii="Times New Roman" w:hAnsi="Times New Roman" w:eastAsia="宋体"/>
      <w:sz w:val="24"/>
    </w:rPr>
  </w:style>
  <w:style w:type="paragraph" w:customStyle="1" w:styleId="206">
    <w:name w:val="日期1"/>
    <w:basedOn w:val="1"/>
    <w:next w:val="1"/>
    <w:link w:val="207"/>
    <w:qFormat/>
    <w:uiPriority w:val="0"/>
    <w:pPr>
      <w:ind w:left="100"/>
    </w:pPr>
    <w:rPr>
      <w:sz w:val="20"/>
    </w:rPr>
  </w:style>
  <w:style w:type="character" w:customStyle="1" w:styleId="207">
    <w:name w:val="Date Char"/>
    <w:link w:val="206"/>
    <w:qFormat/>
    <w:uiPriority w:val="0"/>
    <w:rPr>
      <w:rFonts w:ascii="Times New Roman" w:hAnsi="Times New Roman" w:eastAsia="宋体"/>
      <w:sz w:val="24"/>
    </w:rPr>
  </w:style>
  <w:style w:type="paragraph" w:customStyle="1" w:styleId="208">
    <w:name w:val="批注框文本1"/>
    <w:basedOn w:val="1"/>
    <w:link w:val="209"/>
    <w:semiHidden/>
    <w:qFormat/>
    <w:uiPriority w:val="0"/>
    <w:rPr>
      <w:sz w:val="18"/>
      <w:szCs w:val="18"/>
    </w:rPr>
  </w:style>
  <w:style w:type="character" w:customStyle="1" w:styleId="209">
    <w:name w:val="Balloon Text Char"/>
    <w:basedOn w:val="194"/>
    <w:link w:val="208"/>
    <w:semiHidden/>
    <w:qFormat/>
    <w:uiPriority w:val="0"/>
    <w:rPr>
      <w:rFonts w:ascii="Times New Roman" w:hAnsi="Times New Roman" w:eastAsia="宋体" w:cs="Times New Roman"/>
      <w:sz w:val="18"/>
      <w:szCs w:val="18"/>
    </w:rPr>
  </w:style>
  <w:style w:type="paragraph" w:customStyle="1" w:styleId="210">
    <w:name w:val="页脚1"/>
    <w:basedOn w:val="1"/>
    <w:link w:val="211"/>
    <w:qFormat/>
    <w:uiPriority w:val="0"/>
    <w:pPr>
      <w:tabs>
        <w:tab w:val="center" w:pos="4153"/>
        <w:tab w:val="right" w:pos="8306"/>
      </w:tabs>
      <w:jc w:val="left"/>
    </w:pPr>
    <w:rPr>
      <w:sz w:val="18"/>
      <w:szCs w:val="18"/>
    </w:rPr>
  </w:style>
  <w:style w:type="character" w:customStyle="1" w:styleId="211">
    <w:name w:val="Footer Char"/>
    <w:basedOn w:val="194"/>
    <w:link w:val="210"/>
    <w:qFormat/>
    <w:uiPriority w:val="0"/>
    <w:rPr>
      <w:rFonts w:cs="Times New Roman"/>
      <w:sz w:val="18"/>
      <w:szCs w:val="18"/>
    </w:rPr>
  </w:style>
  <w:style w:type="paragraph" w:customStyle="1" w:styleId="212">
    <w:name w:val="页眉1"/>
    <w:basedOn w:val="1"/>
    <w:link w:val="213"/>
    <w:qFormat/>
    <w:uiPriority w:val="0"/>
    <w:pPr>
      <w:pBdr>
        <w:bottom w:val="single" w:color="000000" w:sz="6" w:space="1"/>
      </w:pBdr>
      <w:tabs>
        <w:tab w:val="center" w:pos="4153"/>
        <w:tab w:val="right" w:pos="8306"/>
      </w:tabs>
      <w:jc w:val="center"/>
    </w:pPr>
    <w:rPr>
      <w:sz w:val="18"/>
      <w:szCs w:val="18"/>
    </w:rPr>
  </w:style>
  <w:style w:type="character" w:customStyle="1" w:styleId="213">
    <w:name w:val="Header Char"/>
    <w:basedOn w:val="194"/>
    <w:link w:val="212"/>
    <w:qFormat/>
    <w:uiPriority w:val="0"/>
    <w:rPr>
      <w:rFonts w:cs="Times New Roman"/>
      <w:sz w:val="18"/>
      <w:szCs w:val="18"/>
    </w:rPr>
  </w:style>
  <w:style w:type="paragraph" w:customStyle="1" w:styleId="214">
    <w:name w:val="索引标题1"/>
    <w:basedOn w:val="1"/>
    <w:next w:val="215"/>
    <w:qFormat/>
    <w:uiPriority w:val="99"/>
    <w:rPr>
      <w:szCs w:val="20"/>
    </w:rPr>
  </w:style>
  <w:style w:type="paragraph" w:customStyle="1" w:styleId="215">
    <w:name w:val="索引 11"/>
    <w:basedOn w:val="1"/>
    <w:next w:val="1"/>
    <w:unhideWhenUsed/>
    <w:qFormat/>
    <w:uiPriority w:val="0"/>
  </w:style>
  <w:style w:type="paragraph" w:customStyle="1" w:styleId="216">
    <w:name w:val="副标题1"/>
    <w:basedOn w:val="1"/>
    <w:qFormat/>
    <w:uiPriority w:val="0"/>
    <w:pPr>
      <w:spacing w:before="60" w:line="460" w:lineRule="exact"/>
      <w:ind w:firstLine="0"/>
      <w:jc w:val="center"/>
    </w:pPr>
    <w:rPr>
      <w:rFonts w:ascii="黑体" w:eastAsia="黑体"/>
    </w:rPr>
  </w:style>
  <w:style w:type="paragraph" w:customStyle="1" w:styleId="217">
    <w:name w:val="正文文本缩进 31"/>
    <w:basedOn w:val="1"/>
    <w:qFormat/>
    <w:uiPriority w:val="0"/>
    <w:pPr>
      <w:spacing w:after="120"/>
      <w:ind w:left="420"/>
    </w:pPr>
    <w:rPr>
      <w:sz w:val="16"/>
      <w:szCs w:val="16"/>
    </w:rPr>
  </w:style>
  <w:style w:type="paragraph" w:customStyle="1" w:styleId="218">
    <w:name w:val="普通(网站)1"/>
    <w:basedOn w:val="1"/>
    <w:link w:val="219"/>
    <w:qFormat/>
    <w:uiPriority w:val="0"/>
    <w:pPr>
      <w:widowControl/>
      <w:spacing w:before="100" w:beforeAutospacing="1" w:after="100" w:afterAutospacing="1"/>
      <w:jc w:val="left"/>
    </w:pPr>
    <w:rPr>
      <w:rFonts w:ascii="宋体" w:hAnsi="宋体"/>
      <w:sz w:val="24"/>
    </w:rPr>
  </w:style>
  <w:style w:type="character" w:customStyle="1" w:styleId="219">
    <w:name w:val="Normal (Web) Char"/>
    <w:link w:val="218"/>
    <w:qFormat/>
    <w:uiPriority w:val="0"/>
    <w:rPr>
      <w:rFonts w:ascii="宋体" w:hAnsi="宋体" w:eastAsia="宋体"/>
      <w:sz w:val="24"/>
    </w:rPr>
  </w:style>
  <w:style w:type="paragraph" w:customStyle="1" w:styleId="220">
    <w:name w:val="批注主题1"/>
    <w:basedOn w:val="204"/>
    <w:next w:val="204"/>
    <w:link w:val="221"/>
    <w:semiHidden/>
    <w:qFormat/>
    <w:uiPriority w:val="0"/>
    <w:rPr>
      <w:b/>
      <w:bCs/>
    </w:rPr>
  </w:style>
  <w:style w:type="character" w:customStyle="1" w:styleId="221">
    <w:name w:val="Comment Subject Char"/>
    <w:basedOn w:val="205"/>
    <w:link w:val="220"/>
    <w:semiHidden/>
    <w:qFormat/>
    <w:uiPriority w:val="0"/>
    <w:rPr>
      <w:rFonts w:cs="Times New Roman"/>
      <w:b/>
      <w:bCs/>
      <w:szCs w:val="24"/>
    </w:rPr>
  </w:style>
  <w:style w:type="table" w:customStyle="1" w:styleId="222">
    <w:name w:val="网格型1"/>
    <w:basedOn w:val="195"/>
    <w:qFormat/>
    <w:uiPriority w:val="0"/>
    <w:rPr>
      <w:lang w:val="en-US" w:eastAsia="zh-CN" w:bidi="ar-SA"/>
    </w:rPr>
  </w:style>
  <w:style w:type="character" w:customStyle="1" w:styleId="223">
    <w:name w:val="要点1"/>
    <w:basedOn w:val="194"/>
    <w:link w:val="1"/>
    <w:qFormat/>
    <w:uiPriority w:val="0"/>
    <w:rPr>
      <w:b/>
    </w:rPr>
  </w:style>
  <w:style w:type="character" w:customStyle="1" w:styleId="224">
    <w:name w:val="页码1"/>
    <w:basedOn w:val="194"/>
    <w:link w:val="1"/>
    <w:qFormat/>
    <w:uiPriority w:val="0"/>
  </w:style>
  <w:style w:type="character" w:customStyle="1" w:styleId="225">
    <w:name w:val="批注引用1"/>
    <w:basedOn w:val="194"/>
    <w:link w:val="1"/>
    <w:semiHidden/>
    <w:qFormat/>
    <w:uiPriority w:val="0"/>
    <w:rPr>
      <w:sz w:val="21"/>
    </w:rPr>
  </w:style>
  <w:style w:type="paragraph" w:customStyle="1" w:styleId="226">
    <w:name w:val="_Style 1"/>
    <w:basedOn w:val="1"/>
    <w:next w:val="1"/>
    <w:qFormat/>
    <w:uiPriority w:val="0"/>
    <w:pPr>
      <w:ind w:firstLine="420"/>
    </w:pPr>
    <w:rPr>
      <w:rFonts w:ascii="Calibri" w:hAnsi="Calibri" w:eastAsia="宋体" w:cs="Times New Roman"/>
      <w:szCs w:val="22"/>
    </w:rPr>
  </w:style>
  <w:style w:type="paragraph" w:customStyle="1" w:styleId="227">
    <w:name w:val="环评文本"/>
    <w:qFormat/>
    <w:uiPriority w:val="0"/>
    <w:pPr>
      <w:spacing w:line="360" w:lineRule="auto"/>
      <w:ind w:firstLine="720"/>
      <w:jc w:val="both"/>
    </w:pPr>
    <w:rPr>
      <w:rFonts w:hint="default" w:ascii="Times New Roman" w:hAnsi="Times New Roman" w:eastAsia="宋体" w:cs="Times New Roman"/>
      <w:sz w:val="24"/>
      <w:szCs w:val="24"/>
    </w:rPr>
  </w:style>
  <w:style w:type="paragraph" w:customStyle="1" w:styleId="228">
    <w:name w:val="环评表格"/>
    <w:next w:val="227"/>
    <w:qFormat/>
    <w:uiPriority w:val="0"/>
    <w:pPr>
      <w:spacing w:after="120" w:line="240" w:lineRule="auto"/>
      <w:ind w:firstLine="0"/>
      <w:jc w:val="center"/>
      <w:outlineLvl w:val="2"/>
    </w:pPr>
    <w:rPr>
      <w:rFonts w:hint="default" w:ascii="Times New Roman" w:hAnsi="Times New Roman" w:eastAsia="宋体" w:cs="Times New Roman"/>
      <w:sz w:val="21"/>
      <w:szCs w:val="21"/>
    </w:rPr>
  </w:style>
  <w:style w:type="paragraph" w:customStyle="1" w:styleId="229">
    <w:name w:val="环评正文"/>
    <w:basedOn w:val="1"/>
    <w:qFormat/>
    <w:uiPriority w:val="0"/>
    <w:pPr>
      <w:spacing w:line="360" w:lineRule="auto"/>
      <w:ind w:firstLine="1446"/>
    </w:pPr>
    <w:rPr>
      <w:rFonts w:ascii="Times New Roman" w:hAnsi="Times New Roman" w:eastAsia="宋体" w:cs="Times New Roman"/>
      <w:sz w:val="24"/>
    </w:rPr>
  </w:style>
  <w:style w:type="paragraph" w:customStyle="1" w:styleId="230">
    <w:name w:val="报告书标题"/>
    <w:next w:val="228"/>
    <w:qFormat/>
    <w:uiPriority w:val="0"/>
    <w:pPr>
      <w:ind w:firstLine="0"/>
      <w:jc w:val="center"/>
    </w:pPr>
    <w:rPr>
      <w:rFonts w:hint="default" w:ascii="Times New Roman" w:hAnsi="Times New Roman" w:eastAsia="宋体" w:cs="Times New Roman"/>
      <w:b/>
      <w:sz w:val="24"/>
      <w:szCs w:val="24"/>
    </w:rPr>
  </w:style>
  <w:style w:type="paragraph" w:customStyle="1" w:styleId="231">
    <w:name w:val="Default"/>
    <w:basedOn w:val="204"/>
    <w:qFormat/>
    <w:uiPriority w:val="0"/>
    <w:pPr>
      <w:keepNext w:val="0"/>
      <w:keepLines w:val="0"/>
      <w:widowControl w:val="0"/>
      <w:suppressLineNumbers w:val="0"/>
      <w:spacing w:before="0" w:beforeAutospacing="0" w:after="0" w:afterAutospacing="0"/>
      <w:ind w:left="0" w:right="0"/>
      <w:jc w:val="left"/>
    </w:pPr>
    <w:rPr>
      <w:rFonts w:hint="eastAsia" w:ascii="宋体" w:hAnsi="Calibri" w:eastAsia="宋体" w:cs="宋体"/>
      <w:color w:val="000000"/>
      <w:sz w:val="24"/>
      <w:szCs w:val="24"/>
      <w:lang w:val="en-US" w:eastAsia="zh-CN" w:bidi="ar"/>
    </w:rPr>
  </w:style>
  <w:style w:type="paragraph" w:customStyle="1" w:styleId="232">
    <w:name w:val="纯文本1"/>
    <w:basedOn w:val="1"/>
    <w:qFormat/>
    <w:uiPriority w:val="0"/>
    <w:rPr>
      <w:rFonts w:ascii="宋体" w:hAnsi="Courier New"/>
      <w:szCs w:val="20"/>
    </w:rPr>
  </w:style>
  <w:style w:type="paragraph" w:customStyle="1" w:styleId="233">
    <w:name w:val="样式1"/>
    <w:basedOn w:val="214"/>
    <w:next w:val="1"/>
    <w:qFormat/>
    <w:uiPriority w:val="0"/>
    <w:pPr>
      <w:spacing w:line="440" w:lineRule="exact"/>
      <w:ind w:left="100"/>
    </w:pPr>
    <w:rPr>
      <w:rFonts w:ascii="宋体" w:hAnsi="宋体"/>
    </w:rPr>
  </w:style>
  <w:style w:type="character" w:customStyle="1" w:styleId="234">
    <w:name w:val="日期 字符"/>
    <w:basedOn w:val="194"/>
    <w:link w:val="1"/>
    <w:semiHidden/>
    <w:qFormat/>
    <w:uiPriority w:val="0"/>
    <w:rPr>
      <w:rFonts w:ascii="Times New Roman" w:hAnsi="Times New Roman" w:eastAsia="宋体" w:cs="Times New Roman"/>
      <w:sz w:val="24"/>
      <w:szCs w:val="24"/>
    </w:rPr>
  </w:style>
  <w:style w:type="character" w:customStyle="1" w:styleId="235">
    <w:name w:val="正文文本 字符1"/>
    <w:basedOn w:val="194"/>
    <w:link w:val="1"/>
    <w:semiHidden/>
    <w:qFormat/>
    <w:uiPriority w:val="0"/>
    <w:rPr>
      <w:rFonts w:ascii="Times New Roman" w:hAnsi="Times New Roman" w:eastAsia="宋体" w:cs="Times New Roman"/>
      <w:sz w:val="24"/>
      <w:szCs w:val="24"/>
    </w:rPr>
  </w:style>
  <w:style w:type="paragraph" w:customStyle="1" w:styleId="236">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237">
    <w:name w:val="表格 Char"/>
    <w:link w:val="43"/>
    <w:qFormat/>
    <w:uiPriority w:val="0"/>
    <w:rPr>
      <w:rFonts w:ascii="宋体"/>
      <w:sz w:val="21"/>
    </w:rPr>
  </w:style>
  <w:style w:type="character" w:customStyle="1" w:styleId="238">
    <w:name w:val="批注文字 字符1"/>
    <w:basedOn w:val="194"/>
    <w:link w:val="1"/>
    <w:semiHidden/>
    <w:qFormat/>
    <w:uiPriority w:val="0"/>
    <w:rPr>
      <w:rFonts w:ascii="Times New Roman" w:hAnsi="Times New Roman" w:eastAsia="宋体" w:cs="Times New Roman"/>
      <w:sz w:val="24"/>
      <w:szCs w:val="24"/>
    </w:rPr>
  </w:style>
  <w:style w:type="character" w:customStyle="1" w:styleId="239">
    <w:name w:val="普通(网站) Char"/>
    <w:link w:val="1"/>
    <w:qFormat/>
    <w:uiPriority w:val="0"/>
    <w:rPr>
      <w:rFonts w:ascii="宋体" w:hAnsi="宋体" w:eastAsia="宋体"/>
      <w:sz w:val="24"/>
    </w:rPr>
  </w:style>
  <w:style w:type="paragraph" w:customStyle="1" w:styleId="240">
    <w:name w:val="正文文本缩进1"/>
    <w:basedOn w:val="1"/>
    <w:qFormat/>
    <w:uiPriority w:val="0"/>
    <w:pPr>
      <w:keepNext w:val="0"/>
      <w:keepLines w:val="0"/>
      <w:widowControl w:val="0"/>
      <w:suppressLineNumbers w:val="0"/>
      <w:spacing w:before="0" w:beforeAutospacing="0" w:after="0" w:afterAutospacing="0" w:line="560" w:lineRule="exact"/>
      <w:ind w:left="0" w:right="0" w:firstLine="560"/>
      <w:jc w:val="both"/>
    </w:pPr>
    <w:rPr>
      <w:rFonts w:ascii="Times New Roman" w:hAnsi="Times New Roman" w:eastAsia="宋体" w:cs="Times New Roman"/>
      <w:sz w:val="21"/>
      <w:szCs w:val="20"/>
      <w:lang w:val="en-US" w:eastAsia="zh-CN" w:bidi="ar"/>
    </w:rPr>
  </w:style>
  <w:style w:type="paragraph" w:customStyle="1" w:styleId="241">
    <w:name w:val="样式1 Char Char"/>
    <w:basedOn w:val="240"/>
    <w:qFormat/>
    <w:uiPriority w:val="0"/>
    <w:pPr>
      <w:keepNext w:val="0"/>
      <w:keepLines w:val="0"/>
      <w:widowControl w:val="0"/>
      <w:suppressLineNumbers w:val="0"/>
      <w:spacing w:before="0" w:beforeAutospacing="0" w:after="0" w:afterAutospacing="0" w:line="480" w:lineRule="exact"/>
      <w:ind w:left="0" w:right="0" w:firstLine="560"/>
      <w:jc w:val="both"/>
    </w:pPr>
    <w:rPr>
      <w:rFonts w:hint="eastAsia" w:ascii="宋体" w:hAnsi="宋体" w:eastAsia="宋体" w:cs="Times New Roman"/>
      <w:sz w:val="21"/>
      <w:szCs w:val="28"/>
      <w:lang w:val="en-US" w:eastAsia="zh-CN" w:bidi="ar"/>
    </w:rPr>
  </w:style>
  <w:style w:type="paragraph" w:customStyle="1" w:styleId="242">
    <w:name w:val="正文文字"/>
    <w:basedOn w:val="196"/>
    <w:qFormat/>
    <w:uiPriority w:val="0"/>
    <w:pPr>
      <w:widowControl/>
      <w:tabs>
        <w:tab w:val="left" w:pos="480"/>
      </w:tabs>
      <w:ind w:firstLine="200"/>
      <w:jc w:val="left"/>
    </w:pPr>
  </w:style>
  <w:style w:type="paragraph" w:customStyle="1" w:styleId="243">
    <w:name w:val="Table Paragraph"/>
    <w:basedOn w:val="1"/>
    <w:qFormat/>
    <w:uiPriority w:val="1"/>
  </w:style>
  <w:style w:type="table" w:customStyle="1" w:styleId="244">
    <w:name w:val="Table Normal2"/>
    <w:unhideWhenUsed/>
    <w:qFormat/>
    <w:uiPriority w:val="2"/>
    <w:pPr>
      <w:widowControl w:val="0"/>
    </w:pPr>
    <w:rPr>
      <w:rFonts w:ascii="Calibri" w:hAnsi="Calibri"/>
      <w:sz w:val="22"/>
      <w:szCs w:val="22"/>
      <w:lang w:eastAsia="en-US"/>
    </w:rPr>
  </w:style>
  <w:style w:type="paragraph" w:customStyle="1" w:styleId="245">
    <w:name w:val="表格内容"/>
    <w:basedOn w:val="1"/>
    <w:qFormat/>
    <w:uiPriority w:val="0"/>
    <w:pPr>
      <w:spacing w:before="0" w:beforeAutospacing="0" w:after="0" w:afterAutospacing="0"/>
      <w:ind w:left="0"/>
      <w:jc w:val="center"/>
    </w:pPr>
    <w:rPr>
      <w:rFonts w:ascii="Times New Roman" w:hAnsi="Times New Roman" w:cs="宋体"/>
      <w:spacing w:val="0"/>
      <w:szCs w:val="20"/>
    </w:rPr>
  </w:style>
  <w:style w:type="paragraph" w:customStyle="1" w:styleId="246">
    <w:name w:val="表格文字"/>
    <w:basedOn w:val="199"/>
    <w:next w:val="1"/>
    <w:qFormat/>
    <w:uiPriority w:val="0"/>
    <w:pPr>
      <w:spacing w:line="360" w:lineRule="auto"/>
    </w:pPr>
    <w:rPr>
      <w:rFonts w:ascii="Times New Roman" w:hAnsi="Times New Roman" w:eastAsia="宋体" w:cs="Times New Roman"/>
      <w:sz w:val="21"/>
      <w:szCs w:val="21"/>
      <w:lang w:eastAsia="zh-CN"/>
    </w:rPr>
  </w:style>
  <w:style w:type="paragraph" w:customStyle="1" w:styleId="247">
    <w:name w:val="样式 标题 2H2He + 首行缩进:  0.5 字符"/>
    <w:basedOn w:val="191"/>
    <w:qFormat/>
    <w:uiPriority w:val="0"/>
    <w:pPr>
      <w:keepNext w:val="0"/>
      <w:keepLines w:val="0"/>
      <w:tabs>
        <w:tab w:val="left" w:pos="648"/>
      </w:tabs>
      <w:spacing w:before="40" w:after="40" w:line="400" w:lineRule="exact"/>
      <w:ind w:firstLine="221"/>
    </w:pPr>
    <w:rPr>
      <w:rFonts w:ascii="宋体" w:hAnsi="宋体" w:eastAsia="宋体" w:cs="宋体"/>
      <w:color w:val="000000"/>
      <w:szCs w:val="20"/>
    </w:rPr>
  </w:style>
  <w:style w:type="paragraph" w:customStyle="1" w:styleId="248">
    <w:name w:val="正文文字 6"/>
    <w:next w:val="1"/>
    <w:qFormat/>
    <w:uiPriority w:val="0"/>
    <w:pPr>
      <w:widowControl w:val="0"/>
      <w:ind w:left="240"/>
      <w:jc w:val="both"/>
    </w:pPr>
    <w:rPr>
      <w:rFonts w:hint="default" w:ascii="宋体" w:hAnsi="Times New Roman" w:eastAsia="宋体" w:cs="Times New Roman"/>
      <w:b/>
      <w:bCs/>
      <w:sz w:val="32"/>
      <w:szCs w:val="32"/>
      <w:lang w:val="en-US" w:eastAsia="zh-CN" w:bidi="ar-SA"/>
    </w:rPr>
  </w:style>
  <w:style w:type="paragraph" w:customStyle="1" w:styleId="249">
    <w:name w:val="正文文本缩进4"/>
    <w:basedOn w:val="1"/>
    <w:qFormat/>
    <w:uiPriority w:val="0"/>
    <w:pPr>
      <w:keepNext w:val="0"/>
      <w:keepLines w:val="0"/>
      <w:widowControl w:val="0"/>
      <w:suppressLineNumbers w:val="0"/>
      <w:spacing w:before="0" w:beforeAutospacing="0" w:after="0" w:afterAutospacing="0" w:line="560" w:lineRule="exact"/>
      <w:ind w:left="0" w:right="0" w:firstLine="560"/>
      <w:jc w:val="both"/>
    </w:pPr>
    <w:rPr>
      <w:rFonts w:ascii="Times New Roman" w:hAnsi="Times New Roman" w:eastAsia="宋体" w:cs="Times New Roman"/>
      <w:sz w:val="28"/>
      <w:szCs w:val="20"/>
      <w:lang w:val="en-US" w:eastAsia="zh-CN" w:bidi="ar"/>
    </w:rPr>
  </w:style>
  <w:style w:type="paragraph" w:customStyle="1" w:styleId="250">
    <w:name w:val="个人正文1"/>
    <w:basedOn w:val="1"/>
    <w:qFormat/>
    <w:uiPriority w:val="0"/>
    <w:pPr>
      <w:keepNext w:val="0"/>
      <w:keepLines w:val="0"/>
      <w:widowControl w:val="0"/>
      <w:suppressLineNumbers w:val="0"/>
      <w:spacing w:before="0" w:beforeAutospacing="0" w:after="0" w:afterAutospacing="0" w:line="360" w:lineRule="auto"/>
      <w:ind w:left="0" w:right="0" w:firstLine="200"/>
      <w:jc w:val="both"/>
    </w:pPr>
    <w:rPr>
      <w:rFonts w:hint="eastAsia" w:ascii="宋体" w:hAnsi="宋体" w:eastAsia="宋体" w:cs="Times New Roman"/>
      <w:sz w:val="24"/>
      <w:szCs w:val="24"/>
      <w:lang w:val="en-US" w:eastAsia="zh-CN" w:bidi="ar"/>
    </w:rPr>
  </w:style>
  <w:style w:type="paragraph" w:customStyle="1" w:styleId="251">
    <w:name w:val="WPSOffice手动目录 1"/>
    <w:qFormat/>
    <w:uiPriority w:val="0"/>
    <w:rPr>
      <w:rFonts w:hint="default" w:ascii="Times New Roman" w:hAnsi="Times New Roman" w:eastAsia="宋体" w:cs="Times New Roman"/>
      <w:sz w:val="20"/>
      <w:szCs w:val="20"/>
    </w:rPr>
  </w:style>
  <w:style w:type="paragraph" w:styleId="252">
    <w:name w:val="No Spacing"/>
    <w:qFormat/>
    <w:uiPriority w:val="1"/>
    <w:pPr>
      <w:widowControl w:val="0"/>
      <w:jc w:val="center"/>
    </w:pPr>
    <w:rPr>
      <w:rFonts w:hint="default" w:ascii="黑体" w:hAnsi="黑体" w:eastAsia="黑体" w:cs="Times New Roman"/>
      <w:sz w:val="21"/>
      <w:szCs w:val="22"/>
      <w:lang w:val="en-US" w:eastAsia="zh-CN" w:bidi="ar-SA"/>
    </w:rPr>
  </w:style>
  <w:style w:type="paragraph" w:styleId="253">
    <w:name w:val="List Paragraph"/>
    <w:basedOn w:val="1"/>
    <w:qFormat/>
    <w:uiPriority w:val="34"/>
    <w:pPr>
      <w:ind w:firstLine="420"/>
    </w:pPr>
  </w:style>
  <w:style w:type="paragraph" w:customStyle="1" w:styleId="254">
    <w:name w:val="正文3"/>
    <w:basedOn w:val="1"/>
    <w:qFormat/>
    <w:uiPriority w:val="0"/>
    <w:pPr>
      <w:tabs>
        <w:tab w:val="left" w:pos="22680"/>
      </w:tabs>
      <w:spacing w:line="360" w:lineRule="auto"/>
      <w:ind w:firstLine="602"/>
      <w:jc w:val="left"/>
    </w:pPr>
    <w:rPr>
      <w:rFonts w:ascii="宋体" w:hAnsi="宋体"/>
      <w:szCs w:val="20"/>
    </w:rPr>
  </w:style>
  <w:style w:type="paragraph" w:customStyle="1" w:styleId="255">
    <w:name w:val="表文字"/>
    <w:basedOn w:val="18"/>
    <w:next w:val="1"/>
    <w:qFormat/>
    <w:uiPriority w:val="0"/>
    <w:pPr>
      <w:spacing w:line="240" w:lineRule="atLeast"/>
      <w:jc w:val="center"/>
    </w:pPr>
    <w:rPr>
      <w:rFonts w:ascii="Times New Roman" w:hAnsi="Times New Roman" w:eastAsia="宋体" w:cs="Times New Roman"/>
      <w:sz w:val="24"/>
      <w:szCs w:val="20"/>
      <w:lang w:eastAsia="zh-CN"/>
    </w:rPr>
  </w:style>
  <w:style w:type="paragraph" w:customStyle="1" w:styleId="256">
    <w:name w:val="表格第一行"/>
    <w:next w:val="1"/>
    <w:qFormat/>
    <w:uiPriority w:val="0"/>
    <w:pPr>
      <w:spacing w:line="320" w:lineRule="exact"/>
      <w:jc w:val="center"/>
    </w:pPr>
    <w:rPr>
      <w:rFonts w:hint="default" w:ascii="Times New Roman" w:hAnsi="Times New Roman" w:eastAsia="宋体" w:cs="Times New Roman"/>
      <w:b/>
      <w:sz w:val="21"/>
      <w:szCs w:val="21"/>
      <w:lang w:val="en-US" w:eastAsia="zh-CN" w:bidi="ar-SA"/>
    </w:rPr>
  </w:style>
  <w:style w:type="paragraph" w:customStyle="1" w:styleId="257">
    <w:name w:val="表头"/>
    <w:basedOn w:val="255"/>
    <w:next w:val="1"/>
    <w:qFormat/>
    <w:uiPriority w:val="0"/>
    <w:pPr>
      <w:keepNext w:val="0"/>
      <w:keepLines w:val="0"/>
      <w:widowControl w:val="0"/>
      <w:suppressLineNumbers w:val="0"/>
      <w:tabs>
        <w:tab w:val="center" w:pos="4060"/>
        <w:tab w:val="right" w:pos="8261"/>
      </w:tabs>
      <w:spacing w:before="240" w:beforeAutospacing="0" w:after="120" w:afterAutospacing="0"/>
      <w:ind w:left="0" w:right="0"/>
      <w:jc w:val="both"/>
    </w:pPr>
    <w:rPr>
      <w:rFonts w:hint="eastAsia" w:ascii="黑体" w:hAnsi="Times New Roman" w:eastAsia="黑体" w:cs="Times New Roman"/>
      <w:sz w:val="28"/>
      <w:szCs w:val="20"/>
      <w:lang w:val="en-US" w:eastAsia="zh-CN" w:bidi="ar"/>
    </w:rPr>
  </w:style>
  <w:style w:type="paragraph" w:customStyle="1" w:styleId="258">
    <w:name w:val="表格内文字"/>
    <w:basedOn w:val="1"/>
    <w:next w:val="1"/>
    <w:qFormat/>
    <w:uiPriority w:val="0"/>
    <w:pPr>
      <w:spacing w:line="240" w:lineRule="auto"/>
      <w:ind w:firstLine="0"/>
      <w:jc w:val="center"/>
    </w:pPr>
    <w:rPr>
      <w:rFonts w:ascii="Times New Roman" w:hAnsi="Times New Roman" w:eastAsia="宋体"/>
      <w:spacing w:val="1"/>
    </w:rPr>
  </w:style>
  <w:style w:type="paragraph" w:customStyle="1" w:styleId="259">
    <w:name w:val="表格-易恒"/>
    <w:basedOn w:val="260"/>
    <w:qFormat/>
    <w:uiPriority w:val="0"/>
    <w:pPr>
      <w:spacing w:line="240" w:lineRule="auto"/>
      <w:ind w:firstLine="0"/>
      <w:jc w:val="center"/>
    </w:pPr>
    <w:rPr>
      <w:sz w:val="21"/>
    </w:rPr>
  </w:style>
  <w:style w:type="paragraph" w:customStyle="1" w:styleId="260">
    <w:name w:val="正文-易恒"/>
    <w:basedOn w:val="1"/>
    <w:qFormat/>
    <w:uiPriority w:val="0"/>
    <w:pPr>
      <w:spacing w:line="360" w:lineRule="auto"/>
      <w:ind w:firstLine="200"/>
    </w:pPr>
    <w:rPr>
      <w:rFonts w:ascii="Times New Roman" w:hAnsi="Times New Roman" w:eastAsia="宋体" w:cs="Times New Roman"/>
      <w:sz w:val="24"/>
      <w:szCs w:val="24"/>
    </w:rPr>
  </w:style>
  <w:style w:type="paragraph" w:customStyle="1" w:styleId="261">
    <w:name w:val="表头-易恒"/>
    <w:basedOn w:val="260"/>
    <w:next w:val="260"/>
    <w:qFormat/>
    <w:uiPriority w:val="0"/>
    <w:pPr>
      <w:spacing w:before="50" w:line="240" w:lineRule="auto"/>
      <w:ind w:firstLine="0"/>
      <w:jc w:val="center"/>
    </w:pPr>
    <w:rPr>
      <w:b/>
    </w:rPr>
  </w:style>
  <w:style w:type="paragraph" w:customStyle="1" w:styleId="262">
    <w:name w:val="报告书"/>
    <w:basedOn w:val="1"/>
    <w:qFormat/>
    <w:uiPriority w:val="0"/>
    <w:pPr>
      <w:spacing w:line="300" w:lineRule="auto"/>
      <w:ind w:firstLine="480"/>
    </w:pPr>
    <w:rPr>
      <w:sz w:val="24"/>
    </w:rPr>
  </w:style>
  <w:style w:type="paragraph" w:customStyle="1" w:styleId="263">
    <w:name w:val="报告书正文"/>
    <w:basedOn w:val="1"/>
    <w:qFormat/>
    <w:uiPriority w:val="0"/>
    <w:pPr>
      <w:spacing w:line="300" w:lineRule="auto"/>
      <w:ind w:firstLine="200"/>
    </w:pPr>
    <w:rPr>
      <w:sz w:val="24"/>
      <w:szCs w:val="20"/>
    </w:rPr>
  </w:style>
  <w:style w:type="paragraph" w:customStyle="1" w:styleId="264">
    <w:name w:val="报告表表格"/>
    <w:basedOn w:val="1"/>
    <w:next w:val="1"/>
    <w:qFormat/>
    <w:uiPriority w:val="0"/>
    <w:pPr>
      <w:adjustRightInd w:val="0"/>
      <w:snapToGrid w:val="0"/>
      <w:spacing w:line="240" w:lineRule="auto"/>
      <w:jc w:val="center"/>
    </w:pPr>
    <w:rPr>
      <w:rFonts w:ascii="Times New Roman" w:hAnsi="Times New Roman" w:eastAsia="宋体"/>
      <w:kern w:val="0"/>
      <w:sz w:val="21"/>
      <w:szCs w:val="21"/>
    </w:rPr>
  </w:style>
  <w:style w:type="paragraph" w:customStyle="1" w:styleId="265">
    <w:name w:val="（正文）"/>
    <w:basedOn w:val="1"/>
    <w:qFormat/>
    <w:uiPriority w:val="0"/>
    <w:pPr>
      <w:ind w:firstLine="200" w:firstLineChars="200"/>
    </w:pPr>
    <w:rPr>
      <w:rFonts w:ascii="Times New Roman" w:hAnsi="Times New Roman"/>
      <w:szCs w:val="20"/>
    </w:rPr>
  </w:style>
  <w:style w:type="character" w:customStyle="1" w:styleId="266">
    <w:name w:val="表格标题 字符"/>
    <w:link w:val="44"/>
    <w:qFormat/>
    <w:uiPriority w:val="0"/>
    <w:rPr>
      <w:rFonts w:ascii="Times New Roman" w:hAnsi="Times New Roman" w:eastAsia="宋体" w:cs="Times New Roman"/>
      <w:b/>
      <w:color w:val="000000"/>
      <w:kern w:val="21"/>
      <w:sz w:val="24"/>
      <w:szCs w:val="24"/>
    </w:rPr>
  </w:style>
  <w:style w:type="table" w:customStyle="1" w:styleId="267">
    <w:name w:val="Table Normal"/>
    <w:semiHidden/>
    <w:unhideWhenUsed/>
    <w:qFormat/>
    <w:uiPriority w:val="0"/>
    <w:tblPr>
      <w:tblLayout w:type="fixed"/>
      <w:tblCellMar>
        <w:top w:w="0" w:type="dxa"/>
        <w:left w:w="0" w:type="dxa"/>
        <w:bottom w:w="0" w:type="dxa"/>
        <w:right w:w="0" w:type="dxa"/>
      </w:tblCellMar>
    </w:tblPr>
  </w:style>
  <w:style w:type="paragraph" w:customStyle="1" w:styleId="268">
    <w:name w:val="Table Text"/>
    <w:basedOn w:val="1"/>
    <w:semiHidden/>
    <w:qFormat/>
    <w:uiPriority w:val="0"/>
    <w:rPr>
      <w:rFonts w:ascii="新宋体" w:hAnsi="新宋体" w:eastAsia="新宋体" w:cs="新宋体"/>
      <w:sz w:val="17"/>
      <w:szCs w:val="17"/>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header" Target="header3.xml"/><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png"/><Relationship Id="rId75" Type="http://schemas.openxmlformats.org/officeDocument/2006/relationships/image" Target="media/image53.png"/><Relationship Id="rId74" Type="http://schemas.openxmlformats.org/officeDocument/2006/relationships/image" Target="media/image52.png"/><Relationship Id="rId73" Type="http://schemas.openxmlformats.org/officeDocument/2006/relationships/image" Target="media/image51.png"/><Relationship Id="rId72" Type="http://schemas.openxmlformats.org/officeDocument/2006/relationships/image" Target="media/image50.png"/><Relationship Id="rId71" Type="http://schemas.openxmlformats.org/officeDocument/2006/relationships/image" Target="media/image49.png"/><Relationship Id="rId70" Type="http://schemas.openxmlformats.org/officeDocument/2006/relationships/image" Target="media/image48.png"/><Relationship Id="rId7" Type="http://schemas.openxmlformats.org/officeDocument/2006/relationships/header" Target="header2.xml"/><Relationship Id="rId69" Type="http://schemas.openxmlformats.org/officeDocument/2006/relationships/image" Target="media/image47.png"/><Relationship Id="rId68" Type="http://schemas.openxmlformats.org/officeDocument/2006/relationships/image" Target="media/image46.png"/><Relationship Id="rId67" Type="http://schemas.openxmlformats.org/officeDocument/2006/relationships/image" Target="media/image45.png"/><Relationship Id="rId66" Type="http://schemas.openxmlformats.org/officeDocument/2006/relationships/image" Target="media/image44.png"/><Relationship Id="rId65" Type="http://schemas.openxmlformats.org/officeDocument/2006/relationships/image" Target="media/image43.png"/><Relationship Id="rId64" Type="http://schemas.openxmlformats.org/officeDocument/2006/relationships/image" Target="media/image42.png"/><Relationship Id="rId63" Type="http://schemas.openxmlformats.org/officeDocument/2006/relationships/image" Target="media/image41.png"/><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footer" Target="footer3.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2.xml"/><Relationship Id="rId49" Type="http://schemas.openxmlformats.org/officeDocument/2006/relationships/image" Target="media/image27.jpeg"/><Relationship Id="rId48" Type="http://schemas.openxmlformats.org/officeDocument/2006/relationships/image" Target="media/image26.wmf"/><Relationship Id="rId47" Type="http://schemas.openxmlformats.org/officeDocument/2006/relationships/image" Target="media/image25.wmf"/><Relationship Id="rId46" Type="http://schemas.openxmlformats.org/officeDocument/2006/relationships/image" Target="media/image24.wmf"/><Relationship Id="rId45" Type="http://schemas.openxmlformats.org/officeDocument/2006/relationships/oleObject" Target="embeddings/oleObject4.bin"/><Relationship Id="rId44" Type="http://schemas.openxmlformats.org/officeDocument/2006/relationships/image" Target="media/image23.png"/><Relationship Id="rId43" Type="http://schemas.openxmlformats.org/officeDocument/2006/relationships/image" Target="media/image22.jpe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jpeg"/><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emf"/><Relationship Id="rId33" Type="http://schemas.openxmlformats.org/officeDocument/2006/relationships/oleObject" Target="embeddings/oleObject3.bin"/><Relationship Id="rId32" Type="http://schemas.openxmlformats.org/officeDocument/2006/relationships/image" Target="media/image12.emf"/><Relationship Id="rId31" Type="http://schemas.openxmlformats.org/officeDocument/2006/relationships/oleObject" Target="embeddings/oleObject2.bin"/><Relationship Id="rId30" Type="http://schemas.openxmlformats.org/officeDocument/2006/relationships/image" Target="media/image1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jpe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rgbClr val="FFFFFF"/>
        </a:solidFill>
        <a:solidFill>
          <a:srgbClr val="FFFFFF"/>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Template>
  <Company>微软</Company>
  <Pages>156</Pages>
  <Words>57970</Words>
  <Characters>68858</Characters>
  <TotalTime>1</TotalTime>
  <ScaleCrop>false</ScaleCrop>
  <LinksUpToDate>false</LinksUpToDate>
  <CharactersWithSpaces>70239</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dc:creator>
  <cp:lastModifiedBy>Administrator</cp:lastModifiedBy>
  <dcterms:modified xsi:type="dcterms:W3CDTF">2025-03-05T00:35:32Z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C9B1742096D74F82BC30996A08467FC1_13</vt:lpwstr>
  </property>
  <property fmtid="{D5CDD505-2E9C-101B-9397-08002B2CF9AE}" pid="4" name="KSOTemplateDocerSaveRecord">
    <vt:lpwstr>eyJoZGlkIjoiYjMwZGU5NTAxOTMxYmRhYzY4MzVlZjA1NmU4OGE3OTEiLCJ1c2VySWQiOiI0MDI2NTY0NjIifQ==</vt:lpwstr>
  </property>
</Properties>
</file>