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7F2C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39E8F987">
      <w:pPr>
        <w:spacing w:line="600" w:lineRule="exact"/>
        <w:rPr>
          <w:rFonts w:eastAsia="黑体"/>
          <w:sz w:val="32"/>
          <w:szCs w:val="32"/>
        </w:rPr>
      </w:pPr>
    </w:p>
    <w:p w14:paraId="025BFD9C">
      <w:pPr>
        <w:spacing w:line="600" w:lineRule="exact"/>
        <w:rPr>
          <w:rFonts w:eastAsia="黑体"/>
          <w:sz w:val="32"/>
          <w:szCs w:val="32"/>
        </w:rPr>
      </w:pPr>
    </w:p>
    <w:p w14:paraId="79AE58CE">
      <w:pPr>
        <w:spacing w:line="600" w:lineRule="exact"/>
        <w:rPr>
          <w:rFonts w:eastAsia="黑体"/>
          <w:sz w:val="32"/>
          <w:szCs w:val="32"/>
        </w:rPr>
      </w:pPr>
    </w:p>
    <w:p w14:paraId="015F960C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2023年度永州市第二技工学校</w:t>
      </w:r>
    </w:p>
    <w:p w14:paraId="4C6A661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部门整体支出绩效自评报告</w:t>
      </w:r>
    </w:p>
    <w:p w14:paraId="709163C6">
      <w:pPr>
        <w:jc w:val="center"/>
        <w:rPr>
          <w:rFonts w:eastAsia="方正小标宋_GBK"/>
          <w:b/>
          <w:sz w:val="52"/>
          <w:szCs w:val="52"/>
        </w:rPr>
      </w:pPr>
    </w:p>
    <w:p w14:paraId="26C1BCE6">
      <w:pPr>
        <w:jc w:val="center"/>
        <w:rPr>
          <w:rFonts w:eastAsia="楷体_GB2312"/>
          <w:b/>
          <w:sz w:val="32"/>
          <w:szCs w:val="32"/>
        </w:rPr>
      </w:pPr>
    </w:p>
    <w:p w14:paraId="09CA79A3">
      <w:pPr>
        <w:jc w:val="center"/>
        <w:rPr>
          <w:rFonts w:eastAsia="楷体_GB2312"/>
          <w:b/>
          <w:sz w:val="32"/>
          <w:szCs w:val="32"/>
        </w:rPr>
      </w:pPr>
    </w:p>
    <w:p w14:paraId="46BB929E">
      <w:pPr>
        <w:jc w:val="center"/>
        <w:rPr>
          <w:rFonts w:eastAsia="楷体_GB2312"/>
          <w:b/>
          <w:sz w:val="32"/>
          <w:szCs w:val="32"/>
        </w:rPr>
      </w:pPr>
    </w:p>
    <w:p w14:paraId="4FC3C927">
      <w:pPr>
        <w:jc w:val="center"/>
        <w:rPr>
          <w:rFonts w:eastAsia="楷体_GB2312"/>
          <w:b/>
          <w:sz w:val="32"/>
          <w:szCs w:val="32"/>
        </w:rPr>
      </w:pPr>
    </w:p>
    <w:p w14:paraId="3E539BF1">
      <w:pPr>
        <w:jc w:val="center"/>
        <w:rPr>
          <w:rFonts w:eastAsia="楷体_GB2312"/>
          <w:b/>
          <w:sz w:val="32"/>
          <w:szCs w:val="32"/>
        </w:rPr>
      </w:pPr>
    </w:p>
    <w:p w14:paraId="31B09887">
      <w:pPr>
        <w:jc w:val="center"/>
        <w:rPr>
          <w:rFonts w:eastAsia="楷体_GB2312"/>
          <w:b/>
          <w:sz w:val="32"/>
          <w:szCs w:val="32"/>
        </w:rPr>
      </w:pPr>
    </w:p>
    <w:p w14:paraId="48B28F50">
      <w:pPr>
        <w:jc w:val="center"/>
        <w:rPr>
          <w:rFonts w:eastAsia="黑体"/>
          <w:sz w:val="32"/>
          <w:szCs w:val="32"/>
        </w:rPr>
      </w:pPr>
    </w:p>
    <w:p w14:paraId="534A7620">
      <w:pPr>
        <w:jc w:val="center"/>
        <w:rPr>
          <w:rFonts w:eastAsia="黑体"/>
          <w:sz w:val="32"/>
          <w:szCs w:val="32"/>
        </w:rPr>
      </w:pPr>
    </w:p>
    <w:p w14:paraId="2C91A89D">
      <w:pPr>
        <w:spacing w:line="600" w:lineRule="exact"/>
        <w:jc w:val="center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>（盖章）</w:t>
      </w:r>
      <w:r>
        <w:rPr>
          <w:rFonts w:hint="eastAsia" w:eastAsia="仿宋_GB2312"/>
          <w:sz w:val="32"/>
          <w:szCs w:val="32"/>
          <w:u w:val="single"/>
        </w:rPr>
        <w:t>永州市第二技工学校</w:t>
      </w:r>
    </w:p>
    <w:p w14:paraId="4D34AAF9">
      <w:pPr>
        <w:spacing w:line="600" w:lineRule="exact"/>
        <w:ind w:firstLine="3200" w:firstLineChars="10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2024</w:t>
      </w:r>
      <w:r>
        <w:rPr>
          <w:rFonts w:eastAsia="楷体_GB2312"/>
          <w:sz w:val="32"/>
          <w:szCs w:val="32"/>
        </w:rPr>
        <w:t xml:space="preserve">年 </w:t>
      </w:r>
      <w:r>
        <w:rPr>
          <w:rFonts w:hint="eastAsia" w:eastAsia="楷体_GB2312"/>
          <w:sz w:val="32"/>
          <w:szCs w:val="32"/>
        </w:rPr>
        <w:t>9</w:t>
      </w:r>
      <w:r>
        <w:rPr>
          <w:rFonts w:eastAsia="楷体_GB2312"/>
          <w:sz w:val="32"/>
          <w:szCs w:val="32"/>
        </w:rPr>
        <w:t xml:space="preserve"> 月</w:t>
      </w:r>
      <w:r>
        <w:rPr>
          <w:rFonts w:hint="eastAsia" w:eastAsia="楷体_GB2312"/>
          <w:sz w:val="32"/>
          <w:szCs w:val="32"/>
        </w:rPr>
        <w:t>28</w:t>
      </w:r>
      <w:r>
        <w:rPr>
          <w:rFonts w:eastAsia="楷体_GB2312"/>
          <w:sz w:val="32"/>
          <w:szCs w:val="32"/>
        </w:rPr>
        <w:t xml:space="preserve"> 日</w:t>
      </w:r>
    </w:p>
    <w:p w14:paraId="30619F1B">
      <w:pPr>
        <w:jc w:val="center"/>
        <w:rPr>
          <w:rFonts w:eastAsia="黑体"/>
          <w:sz w:val="32"/>
          <w:szCs w:val="32"/>
        </w:rPr>
      </w:pPr>
    </w:p>
    <w:p w14:paraId="5D1EB31C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（此页为封面）</w:t>
      </w:r>
    </w:p>
    <w:p w14:paraId="24CAD259"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部门（单位）基本情况</w:t>
      </w:r>
    </w:p>
    <w:p w14:paraId="2EF03E55">
      <w:pPr>
        <w:shd w:val="clear" w:color="auto" w:fill="FFFFFF"/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（一）部门（单位）职能职责、机构编制、人员构成等。</w:t>
      </w:r>
    </w:p>
    <w:p w14:paraId="4E2B8E12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1．主要职能。</w:t>
      </w:r>
    </w:p>
    <w:p w14:paraId="69FE6B7B">
      <w:pPr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贯彻“中华人民共和国职业教育法”，执行党和国家职业教育方针。</w:t>
      </w:r>
    </w:p>
    <w:p w14:paraId="4458C7F4">
      <w:pPr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开展技工学校三年制中技培训和就业技能培训。</w:t>
      </w:r>
    </w:p>
    <w:p w14:paraId="5CA39A5F">
      <w:pPr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加强教育教学管理，提高教学质量，对受教育者进行思想政治教育和职业道德教育，传授职业知识，培养职业技能。</w:t>
      </w:r>
    </w:p>
    <w:p w14:paraId="37550E7D">
      <w:pPr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宣传、实施科教兴国战略，发展职业教育，提高劳动者素质，促进零陵区经济建设。</w:t>
      </w:r>
    </w:p>
    <w:p w14:paraId="2654D760">
      <w:pPr>
        <w:numPr>
          <w:numId w:val="0"/>
        </w:num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为毕业（结业）学员开展职业技能鉴定、就业咨询和指导、就业跟踪管理等工作。</w:t>
      </w:r>
    </w:p>
    <w:p w14:paraId="56D145A5">
      <w:pPr>
        <w:numPr>
          <w:ilvl w:val="0"/>
          <w:numId w:val="2"/>
        </w:num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机构情况，包括当年变动情况及原因。</w:t>
      </w:r>
    </w:p>
    <w:p w14:paraId="58ED30FD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我单位为财务独立核算单位，财政全额拨款事业单位。</w:t>
      </w:r>
    </w:p>
    <w:p w14:paraId="4D41E1F5">
      <w:pPr>
        <w:tabs>
          <w:tab w:val="left" w:pos="7525"/>
        </w:tabs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3．人员情况，包括当年变动情况及原因。</w:t>
      </w:r>
      <w:r>
        <w:rPr>
          <w:rFonts w:hint="eastAsia" w:ascii="仿宋_GB2312" w:hAnsi="仿宋" w:eastAsia="仿宋_GB2312"/>
          <w:sz w:val="32"/>
          <w:szCs w:val="32"/>
        </w:rPr>
        <w:tab/>
      </w:r>
    </w:p>
    <w:p w14:paraId="53DF8AAF">
      <w:pPr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2023年事业编制数35人，其中：实有在岗人员13人，其他单位外调人员22人，离退休人员4人。</w:t>
      </w:r>
    </w:p>
    <w:p w14:paraId="367DE960"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部门整体支出规模，包括但不限于部门整体支出情况、部门预算收支决算情况及“三公经费”支出使用和管理情况。</w:t>
      </w:r>
    </w:p>
    <w:p w14:paraId="47367563">
      <w:pPr>
        <w:widowControl/>
        <w:spacing w:line="5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　　1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eastAsia="仿宋_GB2312"/>
          <w:color w:val="000000"/>
          <w:sz w:val="32"/>
          <w:szCs w:val="32"/>
        </w:rPr>
        <w:t>年年部门整体支出情况：</w:t>
      </w:r>
      <w:r>
        <w:rPr>
          <w:rFonts w:hint="eastAsia" w:ascii="仿宋" w:hAnsi="仿宋" w:eastAsia="仿宋" w:cs="仿宋"/>
          <w:kern w:val="0"/>
          <w:sz w:val="30"/>
          <w:szCs w:val="30"/>
        </w:rPr>
        <w:t>2023年初预算数总收入316.89万元，</w:t>
      </w:r>
      <w:r>
        <w:rPr>
          <w:rFonts w:hint="eastAsia" w:ascii="仿宋" w:hAnsi="仿宋" w:eastAsia="仿宋" w:cs="仿宋"/>
          <w:sz w:val="32"/>
          <w:szCs w:val="40"/>
        </w:rPr>
        <w:t>财政专户管理资金收入11.7万元</w:t>
      </w:r>
      <w:r>
        <w:rPr>
          <w:rFonts w:hint="eastAsia" w:ascii="仿宋" w:hAnsi="仿宋" w:eastAsia="仿宋" w:cs="仿宋"/>
          <w:sz w:val="32"/>
          <w:szCs w:val="32"/>
        </w:rPr>
        <w:t>。本单位2023年度决算收入总计581.51万元，其中：一般财政决算拨款收入483.38万元，其他收入98.13万元。决算收入比年初预算收入增加83%，增加主要原因：是追加预算外收入、其他收入所致。</w:t>
      </w:r>
    </w:p>
    <w:p w14:paraId="050C0C98"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2.2023年度“三公”经费财政拨款支出预算为0.61万元，支出决算为0.61万元，完成预算的100%，决算数与预算数一致，我单位严格按预算执行决算，与上年相比增加0.11万元，增长22%，增长的主要原因是校企合作增加，来访人员增加所致。其中：</w:t>
      </w:r>
    </w:p>
    <w:p w14:paraId="1B88A3EA"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因公出国（境）费支出预算为0万元，支出决算为0万元，决算数与预算数一致，我单位严格按预算执行决算，因公出国（境）费支出与上年持平。</w:t>
      </w:r>
    </w:p>
    <w:p w14:paraId="4E5E3FA9"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务接待费支出预算为0.61万元，支出决算为0.61万元，完成预算的100%，决算数与预算数一致，我单位严格按预算执行决算，与上年相比增加0.11万元，增长22%，增长的主要原因是校企合作增加，来访人员增加所致。</w:t>
      </w:r>
    </w:p>
    <w:p w14:paraId="05416771"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公务用车购置费支出预算为0万元，支出决算为0万元，决算数与预算数一致，我单位严格按预算执行决算，公务用车购置费支出与上年持平。</w:t>
      </w:r>
    </w:p>
    <w:p w14:paraId="077B07D5"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公务用车运行维护费支出预算为0万元，支出决算为0万元，决算数与预算数一致，我单位严格按预算执行决算，公务用车运行维护费支出与上年持平。</w:t>
      </w:r>
    </w:p>
    <w:p w14:paraId="16A03879">
      <w:pPr>
        <w:pStyle w:val="9"/>
        <w:spacing w:line="46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 w14:paraId="05B0CBBD">
      <w:pPr>
        <w:pStyle w:val="9"/>
        <w:spacing w:line="4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基本支出情况：本单位2023年度决算基本支出总计351.8万元，其中：一般人员经费支出340.15万元，</w:t>
      </w:r>
      <w:r>
        <w:rPr>
          <w:rFonts w:hint="eastAsia" w:ascii="仿宋" w:hAnsi="仿宋" w:eastAsia="仿宋" w:cs="仿宋"/>
          <w:sz w:val="32"/>
          <w:szCs w:val="32"/>
        </w:rPr>
        <w:t>公用经费11.65万元。</w:t>
      </w:r>
    </w:p>
    <w:p w14:paraId="79BD456E">
      <w:pPr>
        <w:pStyle w:val="9"/>
        <w:spacing w:line="4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（二）项目支出情况</w:t>
      </w:r>
      <w:r>
        <w:rPr>
          <w:rFonts w:hint="eastAsia" w:ascii="Times New Roman" w:hAnsi="Times New Roman" w:eastAsia="仿宋_GB2312"/>
          <w:sz w:val="32"/>
          <w:szCs w:val="32"/>
        </w:rPr>
        <w:t>：本单位2023年决算</w:t>
      </w:r>
      <w:r>
        <w:rPr>
          <w:rFonts w:hint="eastAsia" w:ascii="仿宋" w:hAnsi="仿宋" w:eastAsia="仿宋" w:cs="仿宋"/>
          <w:sz w:val="32"/>
          <w:szCs w:val="32"/>
        </w:rPr>
        <w:t>项目支出131.58万元。</w:t>
      </w:r>
    </w:p>
    <w:p w14:paraId="6A0D0CB9">
      <w:pPr>
        <w:pStyle w:val="9"/>
        <w:spacing w:line="4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三、政府性基金预算支出情况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475C70D2">
      <w:pPr>
        <w:pStyle w:val="9"/>
        <w:spacing w:line="4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我单位无政府性基金预算支出情况</w:t>
      </w:r>
    </w:p>
    <w:p w14:paraId="160D731D">
      <w:pPr>
        <w:pStyle w:val="9"/>
        <w:numPr>
          <w:ilvl w:val="0"/>
          <w:numId w:val="3"/>
        </w:numPr>
        <w:spacing w:line="4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64BA346F">
      <w:pPr>
        <w:pStyle w:val="9"/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我单位无国有资本经营预算支出情况</w:t>
      </w:r>
    </w:p>
    <w:p w14:paraId="6424293A">
      <w:pPr>
        <w:pStyle w:val="9"/>
        <w:numPr>
          <w:ilvl w:val="0"/>
          <w:numId w:val="3"/>
        </w:numPr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3C0B5A16">
      <w:pPr>
        <w:pStyle w:val="9"/>
        <w:spacing w:line="460" w:lineRule="exact"/>
        <w:ind w:left="420" w:leftChars="200" w:firstLine="320" w:firstLineChars="1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我单位无社会保险基金预算支出情况</w:t>
      </w:r>
    </w:p>
    <w:p w14:paraId="0410EE9D"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14:paraId="26E3F982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部门整体支出绩效目标完成率是100%，实际完成率是88.5%。没有完成达成绩效目标的原因是</w:t>
      </w:r>
      <w:r>
        <w:rPr>
          <w:rFonts w:hint="eastAsia" w:eastAsia="仿宋_GB2312"/>
          <w:sz w:val="32"/>
          <w:szCs w:val="32"/>
          <w:lang w:eastAsia="zh-CN"/>
        </w:rPr>
        <w:t>培训、鉴定人数减少</w:t>
      </w:r>
      <w:r>
        <w:rPr>
          <w:rFonts w:hint="eastAsia" w:eastAsia="仿宋_GB2312"/>
          <w:sz w:val="32"/>
          <w:szCs w:val="32"/>
        </w:rPr>
        <w:t>影响，部分目标任务没有完成。</w:t>
      </w:r>
    </w:p>
    <w:p w14:paraId="6EA371F6">
      <w:pPr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从履职及履职效益情况来看，总体效果比较好。从经济性来看，各负责部门能够按照预算来抓好成本控制，强化勤俭办事的意识，注重节约开支，年度开支控制在财政局规定的范围内；从效率性来看，各部门对所承担的工作能够按照计划的时间把握进度，抓好质量，注重工作的效率；从有效性来看，各专项工作的分工负责部门能够按照制度和各自的目标来抓好落实，注重了专项资金的使用效果；从可持续性来看，后续的政策、相关的配套资金、必要的人员机构要继续保持。管理制度要与时俱进，相关内容进行了及时补充完善。</w:t>
      </w:r>
    </w:p>
    <w:p w14:paraId="3B645165">
      <w:pPr>
        <w:pStyle w:val="9"/>
        <w:numPr>
          <w:ilvl w:val="0"/>
          <w:numId w:val="3"/>
        </w:numPr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 w14:paraId="15DE43D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1.年初预算金额跟年末决算金额相差较大，相差较大原因是上级补助年初没有列入预算。</w:t>
      </w:r>
    </w:p>
    <w:p w14:paraId="6C4EABB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2.财务管理工作不细致，对各类经济业务开展组织及业务流程不全面。</w:t>
      </w:r>
    </w:p>
    <w:p w14:paraId="74F8420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3.进一步加强各项财务管理工作，梳理规范财务流程，落实各项财务制度。</w:t>
      </w:r>
      <w:bookmarkStart w:id="0" w:name="_GoBack"/>
      <w:bookmarkEnd w:id="0"/>
    </w:p>
    <w:p w14:paraId="392609B1"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14:paraId="698E1D93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进一步细化预算编制，编制预算时做好规划，按预算编制匹配开支，控制预算成本率。上级转移支付补助也要列入年初预算中来。</w:t>
      </w:r>
    </w:p>
    <w:p w14:paraId="492878E1"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</w:p>
    <w:p w14:paraId="20BB468D">
      <w:pPr>
        <w:numPr>
          <w:ilvl w:val="0"/>
          <w:numId w:val="4"/>
        </w:num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部门整体支出绩效自评结果拟应用和公开情况</w:t>
      </w:r>
    </w:p>
    <w:p w14:paraId="4D237A76"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永州市第二技工学校部门整体绩效评价评分表》，从决策、过程、产出、效益四项指标逐一分析评价打分，学校各项支出基本合理、规范、有效，项目基本完成，绩效评价综合得分88.5分，评价等级为“良”。要求及时在零陵区财政局各门户网站进行了公开。</w:t>
      </w:r>
    </w:p>
    <w:p w14:paraId="69529699">
      <w:pPr>
        <w:pStyle w:val="2"/>
        <w:ind w:firstLine="0" w:firstLineChars="0"/>
      </w:pPr>
    </w:p>
    <w:p w14:paraId="3B3B764A">
      <w:pPr>
        <w:numPr>
          <w:ilvl w:val="0"/>
          <w:numId w:val="4"/>
        </w:num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其他需要说明的情况</w:t>
      </w:r>
    </w:p>
    <w:p w14:paraId="3DCEAF1D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无其他需要说明的情况</w:t>
      </w:r>
    </w:p>
    <w:p w14:paraId="7D15A1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32300"/>
    <w:multiLevelType w:val="singleLevel"/>
    <w:tmpl w:val="9573230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E555826"/>
    <w:multiLevelType w:val="singleLevel"/>
    <w:tmpl w:val="9E555826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2FF6BCC0"/>
    <w:multiLevelType w:val="singleLevel"/>
    <w:tmpl w:val="2FF6BCC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142A255"/>
    <w:multiLevelType w:val="singleLevel"/>
    <w:tmpl w:val="5142A25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NDc2MzA2OWEzNTQ5NDU3ZjU4YTE4Y2ViZjQzMGIifQ=="/>
  </w:docVars>
  <w:rsids>
    <w:rsidRoot w:val="00930E32"/>
    <w:rsid w:val="000A1EE6"/>
    <w:rsid w:val="00256538"/>
    <w:rsid w:val="00632B3B"/>
    <w:rsid w:val="00930E32"/>
    <w:rsid w:val="00E82F51"/>
    <w:rsid w:val="01965397"/>
    <w:rsid w:val="5AB1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正文文本 Char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首行缩进 Char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kern w:val="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1636</Words>
  <Characters>1743</Characters>
  <Lines>12</Lines>
  <Paragraphs>3</Paragraphs>
  <TotalTime>21</TotalTime>
  <ScaleCrop>false</ScaleCrop>
  <LinksUpToDate>false</LinksUpToDate>
  <CharactersWithSpaces>1748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2024-04-30T01:54:00Z</dcterms:created>
  <dc:creator>xb21cn</dc:creator>
  <cp:lastModifiedBy>Administrator</cp:lastModifiedBy>
  <dcterms:modified xsi:type="dcterms:W3CDTF">2024-09-29T09:14:32Z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E8DD9ADDB07F42BAAD833592CB122314_13</vt:lpwstr>
  </property>
</Properties>
</file>