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方正小标宋_GBK"/>
          <w:sz w:val="48"/>
          <w:szCs w:val="48"/>
          <w:lang w:val="en-US" w:eastAsia="zh-CN"/>
        </w:rPr>
      </w:pPr>
    </w:p>
    <w:p>
      <w:pPr>
        <w:jc w:val="center"/>
        <w:rPr>
          <w:rFonts w:hint="eastAsia" w:eastAsia="方正小标宋_GBK"/>
          <w:b/>
          <w:bCs/>
          <w:sz w:val="48"/>
          <w:szCs w:val="48"/>
          <w:lang w:val="en-US" w:eastAsia="zh-CN"/>
        </w:rPr>
      </w:pPr>
    </w:p>
    <w:p>
      <w:pPr>
        <w:jc w:val="center"/>
        <w:rPr>
          <w:rFonts w:hint="eastAsia" w:eastAsia="方正小标宋_GBK"/>
          <w:b/>
          <w:bCs/>
          <w:sz w:val="48"/>
          <w:szCs w:val="48"/>
          <w:lang w:eastAsia="zh-CN"/>
        </w:rPr>
      </w:pPr>
      <w:r>
        <w:rPr>
          <w:rFonts w:hint="eastAsia" w:eastAsia="方正小标宋_GBK"/>
          <w:b/>
          <w:bCs/>
          <w:sz w:val="48"/>
          <w:szCs w:val="48"/>
          <w:lang w:val="en-US" w:eastAsia="zh-CN"/>
        </w:rPr>
        <w:t>2022</w:t>
      </w:r>
      <w:r>
        <w:rPr>
          <w:rFonts w:eastAsia="方正小标宋_GBK"/>
          <w:b/>
          <w:bCs/>
          <w:sz w:val="48"/>
          <w:szCs w:val="48"/>
        </w:rPr>
        <w:t>年度</w:t>
      </w:r>
      <w:r>
        <w:rPr>
          <w:rFonts w:hint="eastAsia" w:eastAsia="方正小标宋_GBK"/>
          <w:b/>
          <w:bCs/>
          <w:sz w:val="48"/>
          <w:szCs w:val="48"/>
          <w:lang w:eastAsia="zh-CN"/>
        </w:rPr>
        <w:t>零陵区卫生健康局部门</w:t>
      </w:r>
    </w:p>
    <w:p>
      <w:pPr>
        <w:jc w:val="center"/>
        <w:rPr>
          <w:rFonts w:eastAsia="方正小标宋_GBK"/>
          <w:b/>
          <w:bCs/>
          <w:sz w:val="48"/>
          <w:szCs w:val="48"/>
        </w:rPr>
      </w:pPr>
      <w:r>
        <w:rPr>
          <w:rFonts w:eastAsia="方正小标宋_GBK"/>
          <w:b/>
          <w:bCs/>
          <w:sz w:val="48"/>
          <w:szCs w:val="48"/>
        </w:rPr>
        <w:t>整体支出绩效自评报告</w:t>
      </w:r>
    </w:p>
    <w:p>
      <w:pPr>
        <w:jc w:val="center"/>
        <w:rPr>
          <w:rFonts w:eastAsia="黑体"/>
          <w:sz w:val="32"/>
          <w:szCs w:val="32"/>
        </w:rPr>
      </w:pPr>
    </w:p>
    <w:p>
      <w:pPr>
        <w:jc w:val="center"/>
        <w:rPr>
          <w:rFonts w:hint="eastAsia" w:eastAsia="黑体"/>
          <w:sz w:val="32"/>
          <w:szCs w:val="32"/>
          <w:lang w:eastAsia="zh-CN"/>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720" w:firstLineChars="200"/>
        <w:jc w:val="center"/>
        <w:rPr>
          <w:rFonts w:eastAsia="黑体"/>
          <w:sz w:val="36"/>
          <w:szCs w:val="36"/>
        </w:rPr>
      </w:pPr>
    </w:p>
    <w:p>
      <w:pPr>
        <w:jc w:val="center"/>
        <w:rPr>
          <w:rFonts w:hint="eastAsia" w:eastAsia="黑体"/>
          <w:sz w:val="36"/>
          <w:szCs w:val="36"/>
          <w:lang w:eastAsia="zh-CN"/>
        </w:rPr>
      </w:pPr>
      <w:r>
        <w:rPr>
          <w:rFonts w:hint="eastAsia" w:eastAsia="黑体"/>
          <w:sz w:val="36"/>
          <w:szCs w:val="36"/>
          <w:lang w:eastAsia="zh-CN"/>
        </w:rPr>
        <w:t>永州市零陵区卫生健康局</w:t>
      </w:r>
    </w:p>
    <w:p>
      <w:pPr>
        <w:pStyle w:val="2"/>
        <w:rPr>
          <w:rFonts w:hint="default"/>
          <w:lang w:val="en-US" w:eastAsia="zh-CN"/>
        </w:rPr>
      </w:pPr>
      <w:r>
        <w:rPr>
          <w:rFonts w:hint="eastAsia" w:eastAsia="黑体"/>
          <w:sz w:val="36"/>
          <w:szCs w:val="36"/>
          <w:lang w:val="en-US" w:eastAsia="zh-CN"/>
        </w:rPr>
        <w:t xml:space="preserve">         二</w:t>
      </w:r>
      <w:r>
        <w:rPr>
          <w:rFonts w:hint="eastAsia" w:eastAsia="黑体"/>
          <w:sz w:val="44"/>
          <w:szCs w:val="44"/>
          <w:lang w:val="en-US" w:eastAsia="zh-CN"/>
        </w:rPr>
        <w:t>0</w:t>
      </w:r>
      <w:r>
        <w:rPr>
          <w:rFonts w:hint="eastAsia" w:eastAsia="黑体"/>
          <w:sz w:val="36"/>
          <w:szCs w:val="36"/>
          <w:lang w:val="en-US" w:eastAsia="zh-CN"/>
        </w:rPr>
        <w:t>二三年三月</w:t>
      </w:r>
    </w:p>
    <w:p>
      <w:pPr>
        <w:jc w:val="center"/>
        <w:rPr>
          <w:rFonts w:eastAsia="仿宋_GB2312"/>
          <w:sz w:val="32"/>
          <w:szCs w:val="32"/>
        </w:rPr>
      </w:pPr>
    </w:p>
    <w:p>
      <w:pPr>
        <w:jc w:val="center"/>
        <w:rPr>
          <w:rFonts w:eastAsia="黑体"/>
          <w:sz w:val="36"/>
          <w:szCs w:val="36"/>
        </w:rPr>
      </w:pPr>
    </w:p>
    <w:p>
      <w:pPr>
        <w:jc w:val="center"/>
        <w:rPr>
          <w:rFonts w:eastAsia="黑体"/>
          <w:sz w:val="32"/>
          <w:szCs w:val="32"/>
        </w:rPr>
      </w:pPr>
    </w:p>
    <w:p>
      <w:pPr>
        <w:spacing w:line="600" w:lineRule="exact"/>
        <w:ind w:firstLine="640" w:firstLineChars="200"/>
        <w:rPr>
          <w:rFonts w:eastAsia="黑体"/>
          <w:sz w:val="32"/>
          <w:szCs w:val="32"/>
        </w:rPr>
      </w:pPr>
    </w:p>
    <w:p>
      <w:pPr>
        <w:spacing w:line="600" w:lineRule="exact"/>
        <w:ind w:firstLine="640" w:firstLineChars="200"/>
        <w:rPr>
          <w:rFonts w:eastAsia="黑体"/>
          <w:sz w:val="32"/>
          <w:szCs w:val="32"/>
        </w:rPr>
      </w:pPr>
    </w:p>
    <w:p>
      <w:pPr>
        <w:spacing w:line="600" w:lineRule="exact"/>
        <w:ind w:firstLine="640" w:firstLineChars="200"/>
        <w:rPr>
          <w:rFonts w:eastAsia="黑体"/>
          <w:sz w:val="32"/>
          <w:szCs w:val="32"/>
        </w:rPr>
      </w:pPr>
      <w:r>
        <w:rPr>
          <w:rFonts w:eastAsia="黑体"/>
          <w:sz w:val="32"/>
          <w:szCs w:val="32"/>
        </w:rPr>
        <w:t>一、基本情况</w:t>
      </w:r>
    </w:p>
    <w:p>
      <w:pPr>
        <w:spacing w:line="600" w:lineRule="exact"/>
        <w:ind w:firstLine="643" w:firstLineChars="200"/>
        <w:rPr>
          <w:rFonts w:eastAsia="楷体_GB2312"/>
          <w:b/>
          <w:sz w:val="32"/>
          <w:szCs w:val="32"/>
        </w:rPr>
      </w:pPr>
      <w:r>
        <w:rPr>
          <w:rFonts w:eastAsia="楷体_GB2312"/>
          <w:b/>
          <w:sz w:val="32"/>
          <w:szCs w:val="32"/>
        </w:rPr>
        <w:t>（一）部门</w:t>
      </w:r>
      <w:r>
        <w:rPr>
          <w:rFonts w:ascii="Times New Roman" w:hAnsi="Times New Roman" w:eastAsia="楷体_GB2312" w:cs="Times New Roman"/>
          <w:b/>
          <w:sz w:val="32"/>
          <w:szCs w:val="32"/>
        </w:rPr>
        <w:t>（单位）</w:t>
      </w:r>
      <w:r>
        <w:rPr>
          <w:rFonts w:eastAsia="楷体_GB2312"/>
          <w:b/>
          <w:sz w:val="32"/>
          <w:szCs w:val="32"/>
        </w:rPr>
        <w:t>基本情况</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Times New Roman" w:hAnsi="Times New Roman" w:eastAsia="楷体_GB2312" w:cs="Times New Roman"/>
          <w:b/>
          <w:sz w:val="32"/>
          <w:szCs w:val="32"/>
          <w:lang w:val="en-US" w:eastAsia="zh-CN"/>
        </w:rPr>
      </w:pPr>
      <w:r>
        <w:rPr>
          <w:rFonts w:hint="eastAsia" w:ascii="Times New Roman" w:hAnsi="Times New Roman" w:eastAsia="楷体_GB2312" w:cs="Times New Roman"/>
          <w:b/>
          <w:sz w:val="32"/>
          <w:szCs w:val="32"/>
          <w:lang w:val="en-US" w:eastAsia="zh-CN"/>
        </w:rPr>
        <w:t>1、部门职能职责</w:t>
      </w:r>
    </w:p>
    <w:p>
      <w:pPr>
        <w:ind w:firstLine="640" w:firstLineChars="200"/>
        <w:jc w:val="left"/>
        <w:textAlignment w:val="baseline"/>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1）贯彻执行国民健康政策及国家、省卫生健康法律法规及规章，拟制全区卫生健康政策措施、规划、地方之间和技术规范并组织实施。统筹规划全区卫生健康服务资源配置，指导乡镇卫生健康规划的编制和实施。编制实施推进卫生健康基本公共服务均等化、普惠化、便捷化和公共资源向基层延伸等政策措施。</w:t>
      </w:r>
    </w:p>
    <w:p>
      <w:pPr>
        <w:ind w:firstLine="640" w:firstLineChars="200"/>
        <w:jc w:val="left"/>
        <w:textAlignment w:val="baseline"/>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2）协调推进全区深化医药卫生体制改革，研究提出全区深化医药卫生体制改革政策措施的建议。组织深化公立医院综合改革，推进管办分离，健全现代医院管理制度，编制实施推动卫生健康公共服务提供主体多元化、提供方式多样化的政策措施，提出医疗服务和药品价格政策的建议。</w:t>
      </w:r>
    </w:p>
    <w:p>
      <w:pPr>
        <w:ind w:firstLine="640" w:firstLineChars="200"/>
        <w:jc w:val="left"/>
        <w:textAlignment w:val="baseline"/>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3）编制实施全区疾病预防控制规划、免疫规划以及严重危害人民健康公共卫生问题的干预措施。负责卫生应急工作，组织指导全区突发公共卫生事件的预防控制和各类突发公共事件的医疗卫生救援，承担传染病疫情信息发布工作。</w:t>
      </w:r>
    </w:p>
    <w:p>
      <w:pPr>
        <w:ind w:firstLine="640" w:firstLineChars="200"/>
        <w:jc w:val="left"/>
        <w:textAlignment w:val="baseline"/>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（4）组织拟订并协调落实应对人口老龄化政策措施，推进老年健康服务体系建设和医养结合工作。</w:t>
      </w:r>
    </w:p>
    <w:p>
      <w:pPr>
        <w:ind w:firstLine="640" w:firstLineChars="200"/>
        <w:jc w:val="left"/>
        <w:textAlignment w:val="baseline"/>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5）贯彻执行国家药物政策和国家基本药物制度，开展药品使用监测、临床综合评价和短缺药品预警。组织开展食品安全风险监测评估，依法拟制并公布食品安全地方标准意见，负责食源性疾病及与食品安全事故有关的流行病学调查。</w:t>
      </w:r>
    </w:p>
    <w:p>
      <w:pPr>
        <w:ind w:firstLine="640" w:firstLineChars="200"/>
        <w:jc w:val="left"/>
        <w:textAlignment w:val="baseline"/>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（6）负责职责范围内的职业卫生、放射卫生、环境卫生、学校卫生、公共场所卫生、饮用水卫生等公共卫生的监督管理。负责传染病防治监督，健全卫生健康综合监督体系。</w:t>
      </w:r>
    </w:p>
    <w:p>
      <w:pPr>
        <w:ind w:firstLine="640" w:firstLineChars="200"/>
        <w:jc w:val="left"/>
        <w:textAlignment w:val="baseline"/>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7）拟制医疗机构、医疗服务行业管理办法并监督实施，建立医疗服务评价和监督管理体系。会同有关部门实施卫生健康专业技术人员资格标准。编制实施医疗服务规范、标准意见和卫生健康专业技术人员执业规则、服务规范。</w:t>
      </w:r>
    </w:p>
    <w:p>
      <w:pPr>
        <w:ind w:firstLine="640" w:firstLineChars="200"/>
        <w:jc w:val="left"/>
        <w:textAlignment w:val="baseline"/>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（8）负责计划生育管理和服务工作，开展人口监测预警，研究提出人口与家庭发展相关政策建议，完善计划生育政策措施。</w:t>
      </w:r>
    </w:p>
    <w:p>
      <w:pPr>
        <w:ind w:firstLine="640" w:firstLineChars="200"/>
        <w:jc w:val="left"/>
        <w:textAlignment w:val="baseline"/>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(9)指导全区卫生健康工作，指导基层医疗卫生、妇幼健康服务体系建设，加强全科医生队伍建设。推进卫生健康科技创新发展。</w:t>
      </w:r>
    </w:p>
    <w:p>
      <w:pPr>
        <w:ind w:firstLine="640" w:firstLineChars="200"/>
        <w:jc w:val="left"/>
        <w:textAlignment w:val="baseline"/>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（10）负责全区病媒生物防治、卫生创建等爱国卫生工作。</w:t>
      </w:r>
    </w:p>
    <w:p>
      <w:pPr>
        <w:ind w:firstLine="640" w:firstLineChars="200"/>
        <w:jc w:val="left"/>
        <w:textAlignment w:val="baseline"/>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（11）负责全区健康教育、健康促进和卫生健康信息化建设等工作。</w:t>
      </w:r>
    </w:p>
    <w:p>
      <w:pPr>
        <w:ind w:firstLine="640" w:firstLineChars="200"/>
        <w:jc w:val="left"/>
        <w:textAlignment w:val="baseline"/>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（12）负责区保健对象的医疗保健工作，负责重要来宾、重要会议与重大活动的医疗卫生保障工作，指导全区保健工作。</w:t>
      </w:r>
    </w:p>
    <w:p>
      <w:pPr>
        <w:ind w:firstLine="640" w:firstLineChars="200"/>
        <w:jc w:val="left"/>
        <w:textAlignment w:val="baseline"/>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（13）指导区计划生育协会和区红十字会的业务工作。</w:t>
      </w:r>
    </w:p>
    <w:p>
      <w:pPr>
        <w:ind w:firstLine="640" w:firstLineChars="200"/>
        <w:jc w:val="left"/>
        <w:textAlignment w:val="baseline"/>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（14）拟制全区中医药事业发展年度计划并组织实施。监督指导全区中医药领域相关业务工作，负责权限内中医医疗机构评审评价和校验管理。负责加强师承教育、毕业后教育、继续教育等中医人才培养工作。</w:t>
      </w:r>
    </w:p>
    <w:p>
      <w:pPr>
        <w:ind w:firstLine="640" w:firstLineChars="200"/>
        <w:jc w:val="left"/>
        <w:textAlignment w:val="baseline"/>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（15）完成区委区人民政府交办的其他任务。</w:t>
      </w:r>
    </w:p>
    <w:p>
      <w:pPr>
        <w:ind w:firstLine="643" w:firstLineChars="200"/>
        <w:jc w:val="left"/>
        <w:textAlignment w:val="baseline"/>
        <w:rPr>
          <w:rFonts w:hint="eastAsia" w:ascii="仿宋_GB2312" w:hAnsi="仿宋_GB2312" w:eastAsia="仿宋_GB2312" w:cs="仿宋_GB2312"/>
          <w:b w:val="0"/>
          <w:bCs/>
          <w:color w:val="auto"/>
          <w:sz w:val="32"/>
          <w:lang w:val="en-US" w:eastAsia="zh-CN"/>
        </w:rPr>
      </w:pPr>
      <w:r>
        <w:rPr>
          <w:rFonts w:hint="eastAsia" w:ascii="Times New Roman" w:hAnsi="Times New Roman" w:eastAsia="楷体_GB2312" w:cs="Times New Roman"/>
          <w:b/>
          <w:sz w:val="32"/>
          <w:szCs w:val="32"/>
          <w:lang w:val="en-US" w:eastAsia="zh-CN"/>
        </w:rPr>
        <w:t>2、机构设置</w:t>
      </w:r>
    </w:p>
    <w:p>
      <w:pPr>
        <w:ind w:firstLine="640" w:firstLineChars="200"/>
        <w:jc w:val="left"/>
        <w:textAlignment w:val="baseline"/>
        <w:rPr>
          <w:rFonts w:hint="eastAsia" w:ascii="仿宋_GB2312" w:hAnsi="仿宋_GB2312" w:eastAsia="仿宋_GB2312" w:cs="仿宋_GB2312"/>
          <w:b w:val="0"/>
          <w:bCs/>
          <w:color w:val="auto"/>
          <w:sz w:val="32"/>
          <w:lang w:eastAsia="zh-CN"/>
        </w:rPr>
      </w:pPr>
      <w:r>
        <w:rPr>
          <w:rFonts w:hint="eastAsia" w:ascii="仿宋_GB2312" w:hAnsi="仿宋_GB2312" w:eastAsia="仿宋_GB2312" w:cs="仿宋_GB2312"/>
          <w:b w:val="0"/>
          <w:bCs/>
          <w:color w:val="auto"/>
          <w:sz w:val="32"/>
          <w:lang w:val="en-US" w:eastAsia="zh-CN"/>
        </w:rPr>
        <w:t>我局</w:t>
      </w:r>
      <w:r>
        <w:rPr>
          <w:rFonts w:hint="eastAsia" w:ascii="仿宋_GB2312" w:hAnsi="仿宋_GB2312" w:eastAsia="仿宋_GB2312" w:cs="仿宋_GB2312"/>
          <w:b w:val="0"/>
          <w:bCs/>
          <w:color w:val="auto"/>
          <w:sz w:val="32"/>
          <w:lang w:eastAsia="zh-CN"/>
        </w:rPr>
        <w:t>内设机构为15个：办公室、政工室、政策法规与综合监督室、财务室、基层卫生健康室（扶贫工作办公室、卫生应急办）、医政医管室、妇幼健康室（药具站）、药物政策与科技教育室、规划发展与信息化室、职业健康室、人口监测与家庭发展室、宣传室、行政审批室、疾病预防控制室、老龄健康与保健室。</w:t>
      </w:r>
    </w:p>
    <w:p>
      <w:pPr>
        <w:widowControl/>
        <w:numPr>
          <w:ilvl w:val="0"/>
          <w:numId w:val="0"/>
        </w:numPr>
        <w:spacing w:line="480" w:lineRule="auto"/>
        <w:ind w:firstLine="643" w:firstLineChars="200"/>
        <w:jc w:val="left"/>
        <w:rPr>
          <w:rFonts w:hint="eastAsia" w:ascii="仿宋" w:hAnsi="仿宋" w:eastAsia="仿宋" w:cs="仿宋"/>
          <w:sz w:val="32"/>
          <w:szCs w:val="32"/>
          <w:lang w:val="en-US" w:eastAsia="zh-CN"/>
        </w:rPr>
      </w:pPr>
      <w:r>
        <w:rPr>
          <w:rFonts w:hint="eastAsia" w:ascii="Times New Roman" w:hAnsi="Times New Roman" w:eastAsia="楷体_GB2312" w:cs="Times New Roman"/>
          <w:b/>
          <w:sz w:val="32"/>
          <w:szCs w:val="32"/>
          <w:lang w:val="en-US" w:eastAsia="zh-CN"/>
        </w:rPr>
        <w:t>3、人员编制</w:t>
      </w:r>
    </w:p>
    <w:p>
      <w:pPr>
        <w:widowControl/>
        <w:numPr>
          <w:ilvl w:val="0"/>
          <w:numId w:val="0"/>
        </w:numPr>
        <w:spacing w:line="480" w:lineRule="auto"/>
        <w:ind w:firstLine="640" w:firstLineChars="200"/>
        <w:jc w:val="left"/>
        <w:rPr>
          <w:rFonts w:hint="eastAsia" w:ascii="仿宋" w:hAnsi="仿宋" w:eastAsia="仿宋" w:cs="仿宋"/>
          <w:color w:val="000000"/>
          <w:kern w:val="0"/>
          <w:sz w:val="32"/>
          <w:szCs w:val="32"/>
          <w:lang w:eastAsia="zh-CN"/>
        </w:rPr>
      </w:pPr>
      <w:r>
        <w:rPr>
          <w:rFonts w:hint="eastAsia" w:ascii="仿宋" w:hAnsi="仿宋" w:eastAsia="仿宋" w:cs="仿宋"/>
          <w:sz w:val="32"/>
          <w:szCs w:val="32"/>
        </w:rPr>
        <w:t>零陵区卫</w:t>
      </w:r>
      <w:r>
        <w:rPr>
          <w:rFonts w:hint="eastAsia" w:ascii="仿宋" w:hAnsi="仿宋" w:eastAsia="仿宋" w:cs="仿宋"/>
          <w:sz w:val="32"/>
          <w:szCs w:val="32"/>
          <w:lang w:eastAsia="zh-CN"/>
        </w:rPr>
        <w:t>生</w:t>
      </w:r>
      <w:r>
        <w:rPr>
          <w:rFonts w:hint="eastAsia" w:ascii="仿宋" w:hAnsi="仿宋" w:eastAsia="仿宋" w:cs="仿宋"/>
          <w:sz w:val="32"/>
          <w:szCs w:val="32"/>
        </w:rPr>
        <w:t>健</w:t>
      </w:r>
      <w:r>
        <w:rPr>
          <w:rFonts w:hint="eastAsia" w:ascii="仿宋" w:hAnsi="仿宋" w:eastAsia="仿宋" w:cs="仿宋"/>
          <w:sz w:val="32"/>
          <w:szCs w:val="32"/>
          <w:lang w:eastAsia="zh-CN"/>
        </w:rPr>
        <w:t>康</w:t>
      </w:r>
      <w:r>
        <w:rPr>
          <w:rFonts w:hint="eastAsia" w:ascii="仿宋" w:hAnsi="仿宋" w:eastAsia="仿宋" w:cs="仿宋"/>
          <w:sz w:val="32"/>
          <w:szCs w:val="32"/>
        </w:rPr>
        <w:t>局</w:t>
      </w:r>
      <w:r>
        <w:rPr>
          <w:rFonts w:hint="eastAsia" w:ascii="仿宋" w:hAnsi="仿宋" w:eastAsia="仿宋" w:cs="仿宋"/>
          <w:color w:val="000000"/>
          <w:kern w:val="0"/>
          <w:sz w:val="32"/>
          <w:szCs w:val="32"/>
        </w:rPr>
        <w:t>核定编制数</w:t>
      </w:r>
      <w:r>
        <w:rPr>
          <w:rFonts w:hint="eastAsia" w:ascii="仿宋" w:hAnsi="仿宋" w:eastAsia="仿宋" w:cs="仿宋"/>
          <w:color w:val="000000"/>
          <w:kern w:val="0"/>
          <w:sz w:val="32"/>
          <w:szCs w:val="32"/>
          <w:lang w:val="en-US" w:eastAsia="zh-CN"/>
        </w:rPr>
        <w:t>67</w:t>
      </w:r>
      <w:r>
        <w:rPr>
          <w:rFonts w:hint="eastAsia" w:ascii="仿宋" w:hAnsi="仿宋" w:eastAsia="仿宋" w:cs="仿宋"/>
          <w:color w:val="000000"/>
          <w:kern w:val="0"/>
          <w:sz w:val="32"/>
          <w:szCs w:val="32"/>
        </w:rPr>
        <w:t>人，全额编制</w:t>
      </w:r>
      <w:r>
        <w:rPr>
          <w:rFonts w:hint="eastAsia" w:ascii="仿宋" w:hAnsi="仿宋" w:eastAsia="仿宋" w:cs="仿宋"/>
          <w:color w:val="000000"/>
          <w:kern w:val="0"/>
          <w:sz w:val="32"/>
          <w:szCs w:val="32"/>
          <w:lang w:val="en-US" w:eastAsia="zh-CN"/>
        </w:rPr>
        <w:t>67</w:t>
      </w:r>
      <w:r>
        <w:rPr>
          <w:rFonts w:hint="eastAsia" w:ascii="仿宋" w:hAnsi="仿宋" w:eastAsia="仿宋" w:cs="仿宋"/>
          <w:color w:val="000000"/>
          <w:kern w:val="0"/>
          <w:sz w:val="32"/>
          <w:szCs w:val="32"/>
        </w:rPr>
        <w:t>人，</w:t>
      </w:r>
      <w:r>
        <w:rPr>
          <w:rFonts w:hint="eastAsia" w:ascii="仿宋" w:hAnsi="仿宋" w:eastAsia="仿宋" w:cs="仿宋"/>
          <w:color w:val="000000"/>
          <w:kern w:val="0"/>
          <w:sz w:val="32"/>
          <w:szCs w:val="32"/>
          <w:lang w:eastAsia="zh-CN"/>
        </w:rPr>
        <w:t>截至</w:t>
      </w:r>
      <w:r>
        <w:rPr>
          <w:rFonts w:hint="eastAsia" w:ascii="仿宋" w:hAnsi="仿宋" w:eastAsia="仿宋" w:cs="仿宋"/>
          <w:color w:val="000000"/>
          <w:kern w:val="0"/>
          <w:sz w:val="32"/>
          <w:szCs w:val="32"/>
          <w:lang w:val="en-US" w:eastAsia="zh-CN"/>
        </w:rPr>
        <w:t>2021年底，我局实际人员为111人，</w:t>
      </w:r>
      <w:r>
        <w:rPr>
          <w:rFonts w:hint="eastAsia" w:ascii="仿宋" w:hAnsi="仿宋" w:eastAsia="仿宋" w:cs="仿宋"/>
          <w:color w:val="000000"/>
          <w:kern w:val="0"/>
          <w:sz w:val="32"/>
          <w:szCs w:val="32"/>
        </w:rPr>
        <w:t>在</w:t>
      </w:r>
      <w:r>
        <w:rPr>
          <w:rFonts w:hint="eastAsia" w:ascii="仿宋" w:hAnsi="仿宋" w:eastAsia="仿宋" w:cs="仿宋"/>
          <w:color w:val="000000"/>
          <w:kern w:val="0"/>
          <w:sz w:val="32"/>
          <w:szCs w:val="32"/>
          <w:lang w:eastAsia="zh-CN"/>
        </w:rPr>
        <w:t>职</w:t>
      </w:r>
      <w:r>
        <w:rPr>
          <w:rFonts w:hint="eastAsia" w:ascii="仿宋" w:hAnsi="仿宋" w:eastAsia="仿宋" w:cs="仿宋"/>
          <w:color w:val="000000"/>
          <w:kern w:val="0"/>
          <w:sz w:val="32"/>
          <w:szCs w:val="32"/>
        </w:rPr>
        <w:t>人员</w:t>
      </w:r>
      <w:r>
        <w:rPr>
          <w:rFonts w:hint="eastAsia" w:ascii="仿宋" w:hAnsi="仿宋" w:eastAsia="仿宋" w:cs="仿宋"/>
          <w:color w:val="000000"/>
          <w:kern w:val="0"/>
          <w:sz w:val="32"/>
          <w:szCs w:val="32"/>
          <w:lang w:val="en-US" w:eastAsia="zh-CN"/>
        </w:rPr>
        <w:t>67</w:t>
      </w:r>
      <w:r>
        <w:rPr>
          <w:rFonts w:hint="eastAsia" w:ascii="仿宋" w:hAnsi="仿宋" w:eastAsia="仿宋" w:cs="仿宋"/>
          <w:color w:val="000000"/>
          <w:kern w:val="0"/>
          <w:sz w:val="32"/>
          <w:szCs w:val="32"/>
        </w:rPr>
        <w:t>人，退休人员4</w:t>
      </w:r>
      <w:r>
        <w:rPr>
          <w:rFonts w:hint="eastAsia" w:ascii="仿宋" w:hAnsi="仿宋" w:eastAsia="仿宋" w:cs="仿宋"/>
          <w:color w:val="000000"/>
          <w:kern w:val="0"/>
          <w:sz w:val="32"/>
          <w:szCs w:val="32"/>
          <w:lang w:val="en-US" w:eastAsia="zh-CN"/>
        </w:rPr>
        <w:t>4</w:t>
      </w:r>
      <w:r>
        <w:rPr>
          <w:rFonts w:hint="eastAsia" w:ascii="仿宋" w:hAnsi="仿宋" w:eastAsia="仿宋" w:cs="仿宋"/>
          <w:color w:val="000000"/>
          <w:kern w:val="0"/>
          <w:sz w:val="32"/>
          <w:szCs w:val="32"/>
        </w:rPr>
        <w:t>人</w:t>
      </w:r>
      <w:r>
        <w:rPr>
          <w:rFonts w:hint="eastAsia" w:ascii="仿宋" w:hAnsi="仿宋" w:eastAsia="仿宋" w:cs="仿宋"/>
          <w:color w:val="000000"/>
          <w:kern w:val="0"/>
          <w:sz w:val="32"/>
          <w:szCs w:val="32"/>
          <w:lang w:eastAsia="zh-CN"/>
        </w:rPr>
        <w:t>。</w:t>
      </w:r>
    </w:p>
    <w:p>
      <w:pPr>
        <w:spacing w:line="600" w:lineRule="exact"/>
        <w:ind w:firstLine="643" w:firstLineChars="200"/>
        <w:rPr>
          <w:rFonts w:eastAsia="楷体_GB2312"/>
          <w:b/>
          <w:sz w:val="32"/>
          <w:szCs w:val="32"/>
        </w:rPr>
      </w:pPr>
      <w:r>
        <w:rPr>
          <w:rFonts w:eastAsia="楷体_GB2312"/>
          <w:b/>
          <w:sz w:val="32"/>
          <w:szCs w:val="32"/>
        </w:rPr>
        <w:t>（二）部门（单位）年度整体支出绩效目标，</w:t>
      </w:r>
      <w:r>
        <w:rPr>
          <w:rFonts w:hint="eastAsia" w:eastAsia="楷体_GB2312"/>
          <w:b/>
          <w:sz w:val="32"/>
          <w:szCs w:val="32"/>
          <w:lang w:eastAsia="zh-CN"/>
        </w:rPr>
        <w:t>区</w:t>
      </w:r>
      <w:r>
        <w:rPr>
          <w:rFonts w:eastAsia="楷体_GB2312"/>
          <w:b/>
          <w:sz w:val="32"/>
          <w:szCs w:val="32"/>
        </w:rPr>
        <w:t>级专项资金绩效目标、其他项目支出（除</w:t>
      </w:r>
      <w:r>
        <w:rPr>
          <w:rFonts w:hint="eastAsia" w:eastAsia="楷体_GB2312"/>
          <w:b/>
          <w:sz w:val="32"/>
          <w:szCs w:val="32"/>
          <w:lang w:eastAsia="zh-CN"/>
        </w:rPr>
        <w:t>区</w:t>
      </w:r>
      <w:r>
        <w:rPr>
          <w:rFonts w:eastAsia="楷体_GB2312"/>
          <w:b/>
          <w:sz w:val="32"/>
          <w:szCs w:val="32"/>
        </w:rPr>
        <w:t>级专项资金以外）绩效目标</w:t>
      </w:r>
    </w:p>
    <w:p>
      <w:pPr>
        <w:keepNext w:val="0"/>
        <w:keepLines w:val="0"/>
        <w:pageBreakBefore w:val="0"/>
        <w:widowControl w:val="0"/>
        <w:numPr>
          <w:ilvl w:val="0"/>
          <w:numId w:val="0"/>
        </w:numPr>
        <w:pBdr>
          <w:bottom w:val="none" w:color="CCCCCC" w:sz="0" w:space="30"/>
        </w:pBdr>
        <w:kinsoku/>
        <w:wordWrap/>
        <w:overflowPunct/>
        <w:topLinePunct w:val="0"/>
        <w:autoSpaceDE/>
        <w:autoSpaceDN w:val="0"/>
        <w:bidi w:val="0"/>
        <w:adjustRightInd/>
        <w:snapToGrid/>
        <w:spacing w:before="0" w:beforeLines="0" w:after="0" w:afterLines="0"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lang w:val="en-US" w:eastAsia="zh-CN"/>
        </w:rPr>
      </w:pPr>
      <w:r>
        <w:rPr>
          <w:rFonts w:hint="eastAsia" w:ascii="楷体_GB2312" w:hAnsi="楷体_GB2312" w:eastAsia="楷体_GB2312" w:cs="楷体_GB2312"/>
          <w:b/>
          <w:bCs/>
          <w:sz w:val="32"/>
          <w:lang w:val="en-US" w:eastAsia="zh-CN"/>
        </w:rPr>
        <w:t>1、年度整体支出绩效目标</w:t>
      </w:r>
    </w:p>
    <w:p>
      <w:pPr>
        <w:keepNext w:val="0"/>
        <w:keepLines w:val="0"/>
        <w:pageBreakBefore w:val="0"/>
        <w:widowControl w:val="0"/>
        <w:numPr>
          <w:ilvl w:val="0"/>
          <w:numId w:val="0"/>
        </w:numPr>
        <w:pBdr>
          <w:bottom w:val="none" w:color="CCCCCC" w:sz="0" w:space="30"/>
        </w:pBdr>
        <w:kinsoku/>
        <w:wordWrap/>
        <w:overflowPunct/>
        <w:topLinePunct w:val="0"/>
        <w:autoSpaceDE/>
        <w:autoSpaceDN w:val="0"/>
        <w:bidi w:val="0"/>
        <w:adjustRightInd/>
        <w:snapToGrid/>
        <w:spacing w:before="0" w:line="600" w:lineRule="exact"/>
        <w:ind w:left="0" w:leftChars="0" w:right="0" w:rightChars="0" w:firstLine="643" w:firstLineChars="200"/>
        <w:jc w:val="both"/>
        <w:textAlignment w:val="auto"/>
        <w:outlineLvl w:val="9"/>
        <w:rPr>
          <w:rFonts w:hint="eastAsia" w:ascii="仿宋_GB2312" w:hAnsi="仿宋_GB2312" w:eastAsia="仿宋_GB2312" w:cs="仿宋_GB2312"/>
          <w:b w:val="0"/>
          <w:bCs/>
          <w:color w:val="auto"/>
          <w:sz w:val="32"/>
          <w:lang w:eastAsia="zh-CN"/>
        </w:rPr>
      </w:pPr>
      <w:r>
        <w:rPr>
          <w:rFonts w:hint="eastAsia" w:ascii="楷体_GB2312" w:hAnsi="楷体_GB2312" w:eastAsia="楷体_GB2312" w:cs="楷体_GB2312"/>
          <w:b/>
          <w:bCs/>
          <w:sz w:val="32"/>
          <w:lang w:val="en-US" w:eastAsia="zh-CN"/>
        </w:rPr>
        <w:t>（1）.切实抓好新冠肺炎疫情常态化防控和疫苗接种工作。</w:t>
      </w:r>
      <w:r>
        <w:rPr>
          <w:rFonts w:hint="eastAsia" w:ascii="仿宋_GB2312" w:hAnsi="仿宋_GB2312" w:eastAsia="仿宋_GB2312" w:cs="仿宋_GB2312"/>
          <w:b w:val="0"/>
          <w:bCs/>
          <w:color w:val="auto"/>
          <w:sz w:val="32"/>
          <w:lang w:eastAsia="zh-CN"/>
        </w:rPr>
        <w:t>按照思想不松、机制不变、队伍不散的要求，强化“外防输入、内防反弹”，继续巩固和保持我区疫情向好局面。继续开展全区疫苗接种工作，做到全人群接种，建成免疫屏障。</w:t>
      </w:r>
    </w:p>
    <w:p>
      <w:pPr>
        <w:keepNext w:val="0"/>
        <w:keepLines w:val="0"/>
        <w:pageBreakBefore w:val="0"/>
        <w:widowControl w:val="0"/>
        <w:numPr>
          <w:ilvl w:val="0"/>
          <w:numId w:val="0"/>
        </w:numPr>
        <w:pBdr>
          <w:bottom w:val="none" w:color="CCCCCC" w:sz="0" w:space="30"/>
        </w:pBdr>
        <w:kinsoku/>
        <w:wordWrap/>
        <w:overflowPunct/>
        <w:topLinePunct w:val="0"/>
        <w:autoSpaceDE/>
        <w:autoSpaceDN w:val="0"/>
        <w:bidi w:val="0"/>
        <w:adjustRightInd/>
        <w:snapToGrid/>
        <w:spacing w:before="0" w:line="600" w:lineRule="exact"/>
        <w:ind w:left="0" w:leftChars="0" w:right="0" w:rightChars="0" w:firstLine="643" w:firstLineChars="200"/>
        <w:jc w:val="both"/>
        <w:textAlignment w:val="auto"/>
        <w:outlineLvl w:val="9"/>
        <w:rPr>
          <w:rFonts w:hint="eastAsia" w:ascii="仿宋_GB2312" w:hAnsi="仿宋_GB2312" w:eastAsia="仿宋_GB2312" w:cs="仿宋_GB2312"/>
          <w:b w:val="0"/>
          <w:bCs/>
          <w:color w:val="auto"/>
          <w:sz w:val="32"/>
          <w:lang w:eastAsia="zh-CN"/>
        </w:rPr>
      </w:pPr>
      <w:r>
        <w:rPr>
          <w:rFonts w:hint="eastAsia" w:ascii="楷体_GB2312" w:hAnsi="楷体_GB2312" w:eastAsia="楷体_GB2312" w:cs="楷体_GB2312"/>
          <w:b/>
          <w:bCs/>
          <w:sz w:val="32"/>
          <w:lang w:val="en-US" w:eastAsia="zh-CN"/>
        </w:rPr>
        <w:t>（2）.全面提升医疗卫生服务能力。</w:t>
      </w:r>
      <w:r>
        <w:rPr>
          <w:rFonts w:hint="eastAsia" w:ascii="仿宋" w:hAnsi="仿宋" w:eastAsia="仿宋" w:cs="仿宋"/>
          <w:b/>
          <w:i w:val="0"/>
          <w:snapToGrid/>
          <w:color w:val="auto"/>
          <w:sz w:val="32"/>
          <w:szCs w:val="32"/>
          <w:shd w:val="clear" w:color="auto" w:fill="FFFFFF"/>
          <w:lang w:eastAsia="zh-CN"/>
        </w:rPr>
        <w:t>一是加快床位项目建设工作。</w:t>
      </w:r>
      <w:r>
        <w:rPr>
          <w:rFonts w:hint="eastAsia" w:ascii="仿宋_GB2312" w:hAnsi="仿宋_GB2312" w:eastAsia="仿宋_GB2312" w:cs="仿宋_GB2312"/>
          <w:b w:val="0"/>
          <w:bCs/>
          <w:color w:val="auto"/>
          <w:sz w:val="32"/>
          <w:lang w:eastAsia="zh-CN"/>
        </w:rPr>
        <w:t>全面完成中医医院、妇保院搬迁项目，完成石岩头、珠山、富家桥、凼底</w:t>
      </w:r>
      <w:r>
        <w:rPr>
          <w:rFonts w:hint="eastAsia" w:ascii="仿宋_GB2312" w:hAnsi="仿宋_GB2312" w:eastAsia="仿宋_GB2312" w:cs="仿宋_GB2312"/>
          <w:b w:val="0"/>
          <w:bCs/>
          <w:color w:val="auto"/>
          <w:sz w:val="32"/>
          <w:lang w:val="en-US" w:eastAsia="zh-CN"/>
        </w:rPr>
        <w:t>卫生院</w:t>
      </w:r>
      <w:r>
        <w:rPr>
          <w:rFonts w:hint="eastAsia" w:ascii="仿宋_GB2312" w:hAnsi="仿宋_GB2312" w:eastAsia="仿宋_GB2312" w:cs="仿宋_GB2312"/>
          <w:b w:val="0"/>
          <w:bCs/>
          <w:color w:val="auto"/>
          <w:sz w:val="32"/>
          <w:lang w:eastAsia="zh-CN"/>
        </w:rPr>
        <w:t>建设，积极推动区中医医院整体搬迁；</w:t>
      </w:r>
      <w:r>
        <w:rPr>
          <w:rFonts w:hint="eastAsia" w:ascii="仿宋" w:hAnsi="仿宋" w:eastAsia="仿宋" w:cs="仿宋"/>
          <w:b/>
          <w:bCs/>
          <w:color w:val="auto"/>
          <w:sz w:val="32"/>
          <w:szCs w:val="32"/>
          <w:lang w:eastAsia="zh-CN"/>
        </w:rPr>
        <w:t>二是</w:t>
      </w:r>
      <w:r>
        <w:rPr>
          <w:rFonts w:hint="eastAsia" w:ascii="仿宋" w:hAnsi="仿宋" w:eastAsia="仿宋" w:cs="仿宋"/>
          <w:b/>
          <w:bCs/>
          <w:i w:val="0"/>
          <w:snapToGrid/>
          <w:color w:val="auto"/>
          <w:sz w:val="32"/>
          <w:szCs w:val="32"/>
          <w:shd w:val="clear" w:color="auto" w:fill="FFFFFF"/>
          <w:lang w:eastAsia="zh-CN"/>
        </w:rPr>
        <w:t>提升全区医疗卫生服务水平。</w:t>
      </w:r>
      <w:r>
        <w:rPr>
          <w:rFonts w:hint="eastAsia" w:ascii="仿宋_GB2312" w:hAnsi="仿宋_GB2312" w:eastAsia="仿宋_GB2312" w:cs="仿宋_GB2312"/>
          <w:b w:val="0"/>
          <w:bCs/>
          <w:color w:val="auto"/>
          <w:sz w:val="32"/>
          <w:lang w:eastAsia="zh-CN"/>
        </w:rPr>
        <w:t>把基层业务量抓起来，有效缓解基层看病难的问题，大力推进医联体建设，建设零陵区医疗次中心，乡镇建设好珠山医院，城区建设好七里店社区医院，全面建成远程医疗。</w:t>
      </w:r>
      <w:r>
        <w:rPr>
          <w:rFonts w:hint="eastAsia" w:ascii="仿宋" w:hAnsi="仿宋" w:eastAsia="仿宋" w:cs="仿宋"/>
          <w:b/>
          <w:bCs/>
          <w:i w:val="0"/>
          <w:snapToGrid/>
          <w:color w:val="auto"/>
          <w:sz w:val="32"/>
          <w:szCs w:val="32"/>
          <w:shd w:val="clear" w:color="auto" w:fill="FFFFFF"/>
          <w:lang w:eastAsia="zh-CN"/>
        </w:rPr>
        <w:t>三是加强人才队伍建设。</w:t>
      </w:r>
      <w:r>
        <w:rPr>
          <w:rFonts w:hint="eastAsia" w:ascii="仿宋_GB2312" w:hAnsi="仿宋_GB2312" w:eastAsia="仿宋_GB2312" w:cs="仿宋_GB2312"/>
          <w:b w:val="0"/>
          <w:bCs/>
          <w:color w:val="auto"/>
          <w:sz w:val="32"/>
          <w:lang w:eastAsia="zh-CN"/>
        </w:rPr>
        <w:t>继续开展“三名工程”。</w:t>
      </w:r>
    </w:p>
    <w:p>
      <w:pPr>
        <w:keepNext w:val="0"/>
        <w:keepLines w:val="0"/>
        <w:pageBreakBefore w:val="0"/>
        <w:widowControl w:val="0"/>
        <w:numPr>
          <w:ilvl w:val="0"/>
          <w:numId w:val="0"/>
        </w:numPr>
        <w:pBdr>
          <w:bottom w:val="none" w:color="CCCCCC" w:sz="0" w:space="30"/>
        </w:pBdr>
        <w:kinsoku/>
        <w:wordWrap/>
        <w:overflowPunct/>
        <w:topLinePunct w:val="0"/>
        <w:autoSpaceDE/>
        <w:autoSpaceDN w:val="0"/>
        <w:bidi w:val="0"/>
        <w:adjustRightInd/>
        <w:snapToGrid/>
        <w:spacing w:before="0" w:line="600" w:lineRule="exact"/>
        <w:ind w:left="0" w:leftChars="0" w:right="0" w:rightChars="0" w:firstLine="643" w:firstLineChars="200"/>
        <w:jc w:val="both"/>
        <w:textAlignment w:val="auto"/>
        <w:outlineLvl w:val="9"/>
        <w:rPr>
          <w:rFonts w:hint="eastAsia" w:ascii="仿宋_GB2312" w:hAnsi="仿宋_GB2312" w:eastAsia="仿宋_GB2312" w:cs="仿宋_GB2312"/>
          <w:b w:val="0"/>
          <w:bCs/>
          <w:color w:val="auto"/>
          <w:sz w:val="32"/>
          <w:lang w:eastAsia="zh-CN"/>
        </w:rPr>
      </w:pPr>
      <w:r>
        <w:rPr>
          <w:rFonts w:hint="eastAsia" w:ascii="楷体_GB2312" w:hAnsi="楷体_GB2312" w:eastAsia="楷体_GB2312" w:cs="楷体_GB2312"/>
          <w:b/>
          <w:bCs/>
          <w:sz w:val="32"/>
          <w:lang w:val="en-US" w:eastAsia="zh-CN"/>
        </w:rPr>
        <w:t>（3）.提高重大疾病防控水平和公共卫生服务能力。</w:t>
      </w:r>
      <w:r>
        <w:rPr>
          <w:rFonts w:hint="eastAsia" w:ascii="仿宋_GB2312" w:hAnsi="仿宋_GB2312" w:eastAsia="仿宋_GB2312" w:cs="仿宋_GB2312"/>
          <w:b w:val="0"/>
          <w:bCs/>
          <w:color w:val="auto"/>
          <w:sz w:val="32"/>
          <w:lang w:eastAsia="zh-CN"/>
        </w:rPr>
        <w:t>加强卫生应急能力建设，规划建设疾病检验检测中心、第四人民医院传染病区建设、区中医院康复中心，整体提升疾病预防体系。推进基本公共卫生服务。</w:t>
      </w:r>
    </w:p>
    <w:p>
      <w:pPr>
        <w:keepNext w:val="0"/>
        <w:keepLines w:val="0"/>
        <w:pageBreakBefore w:val="0"/>
        <w:widowControl w:val="0"/>
        <w:numPr>
          <w:ilvl w:val="0"/>
          <w:numId w:val="0"/>
        </w:numPr>
        <w:pBdr>
          <w:bottom w:val="none" w:color="CCCCCC" w:sz="0" w:space="30"/>
        </w:pBdr>
        <w:kinsoku/>
        <w:wordWrap/>
        <w:overflowPunct/>
        <w:topLinePunct w:val="0"/>
        <w:autoSpaceDE/>
        <w:autoSpaceDN w:val="0"/>
        <w:bidi w:val="0"/>
        <w:adjustRightInd/>
        <w:snapToGrid/>
        <w:spacing w:before="0" w:beforeLines="0" w:after="0" w:afterLines="0" w:line="560" w:lineRule="exact"/>
        <w:ind w:right="0" w:rightChars="0" w:firstLine="643" w:firstLineChars="200"/>
        <w:jc w:val="both"/>
        <w:textAlignment w:val="auto"/>
        <w:outlineLvl w:val="9"/>
        <w:rPr>
          <w:rFonts w:hint="default" w:ascii="Times New Roman" w:hAnsi="Times New Roman" w:eastAsia="楷体_GB2312" w:cs="Times New Roman"/>
          <w:b/>
          <w:sz w:val="32"/>
          <w:szCs w:val="32"/>
          <w:lang w:val="en-US" w:eastAsia="zh-CN"/>
        </w:rPr>
      </w:pPr>
      <w:r>
        <w:rPr>
          <w:rFonts w:hint="eastAsia" w:eastAsia="楷体_GB2312"/>
          <w:b/>
          <w:sz w:val="32"/>
          <w:szCs w:val="32"/>
          <w:lang w:val="en-US" w:eastAsia="zh-CN"/>
        </w:rPr>
        <w:t>2、</w:t>
      </w:r>
      <w:r>
        <w:rPr>
          <w:rFonts w:hint="eastAsia" w:eastAsia="楷体_GB2312"/>
          <w:b/>
          <w:sz w:val="32"/>
          <w:szCs w:val="32"/>
          <w:lang w:eastAsia="zh-CN"/>
        </w:rPr>
        <w:t>区</w:t>
      </w:r>
      <w:r>
        <w:rPr>
          <w:rFonts w:eastAsia="楷体_GB2312"/>
          <w:b/>
          <w:sz w:val="32"/>
          <w:szCs w:val="32"/>
        </w:rPr>
        <w:t>级专项资金绩效目标</w:t>
      </w:r>
      <w:r>
        <w:rPr>
          <w:rFonts w:hint="eastAsia" w:eastAsia="楷体_GB2312"/>
          <w:b/>
          <w:sz w:val="32"/>
          <w:szCs w:val="32"/>
          <w:lang w:eastAsia="zh-CN"/>
        </w:rPr>
        <w:t>、</w:t>
      </w:r>
      <w:r>
        <w:rPr>
          <w:rFonts w:hint="eastAsia" w:ascii="Times New Roman" w:hAnsi="Times New Roman" w:eastAsia="楷体_GB2312" w:cs="Times New Roman"/>
          <w:b/>
          <w:sz w:val="32"/>
          <w:szCs w:val="32"/>
          <w:lang w:val="en-US" w:eastAsia="zh-CN"/>
        </w:rPr>
        <w:t>其他项目支出（除</w:t>
      </w:r>
      <w:r>
        <w:rPr>
          <w:rFonts w:hint="default" w:ascii="Times New Roman" w:hAnsi="Times New Roman" w:eastAsia="楷体_GB2312" w:cs="Times New Roman"/>
          <w:b/>
          <w:sz w:val="32"/>
          <w:szCs w:val="32"/>
          <w:lang w:val="en-US" w:eastAsia="zh-CN"/>
        </w:rPr>
        <w:t>区级专项资金以外）绩效目标</w:t>
      </w:r>
    </w:p>
    <w:p>
      <w:pPr>
        <w:keepNext w:val="0"/>
        <w:keepLines w:val="0"/>
        <w:pageBreakBefore w:val="0"/>
        <w:widowControl w:val="0"/>
        <w:numPr>
          <w:ilvl w:val="0"/>
          <w:numId w:val="0"/>
        </w:numPr>
        <w:pBdr>
          <w:bottom w:val="none" w:color="CCCCCC" w:sz="0" w:space="30"/>
        </w:pBdr>
        <w:kinsoku/>
        <w:wordWrap/>
        <w:overflowPunct/>
        <w:topLinePunct w:val="0"/>
        <w:autoSpaceDE/>
        <w:autoSpaceDN w:val="0"/>
        <w:bidi w:val="0"/>
        <w:adjustRightInd/>
        <w:snapToGrid/>
        <w:spacing w:before="0" w:beforeLines="0" w:after="0" w:afterLines="0" w:line="560" w:lineRule="exact"/>
        <w:ind w:left="0" w:leftChars="0" w:right="0" w:rightChars="0" w:firstLine="640" w:firstLineChars="200"/>
        <w:jc w:val="both"/>
        <w:textAlignment w:val="auto"/>
        <w:outlineLvl w:val="9"/>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 xml:space="preserve">(1) 两扶专项 </w:t>
      </w:r>
    </w:p>
    <w:p>
      <w:pPr>
        <w:keepNext w:val="0"/>
        <w:keepLines w:val="0"/>
        <w:pageBreakBefore w:val="0"/>
        <w:widowControl w:val="0"/>
        <w:numPr>
          <w:ilvl w:val="0"/>
          <w:numId w:val="0"/>
        </w:numPr>
        <w:pBdr>
          <w:bottom w:val="none" w:color="CCCCCC" w:sz="0" w:space="30"/>
        </w:pBdr>
        <w:kinsoku/>
        <w:wordWrap/>
        <w:overflowPunct/>
        <w:topLinePunct w:val="0"/>
        <w:autoSpaceDE/>
        <w:autoSpaceDN w:val="0"/>
        <w:bidi w:val="0"/>
        <w:adjustRightInd/>
        <w:snapToGrid/>
        <w:spacing w:before="0" w:beforeLines="0" w:after="0" w:afterLines="0" w:line="560" w:lineRule="exact"/>
        <w:ind w:left="0" w:leftChars="0" w:right="0" w:rightChars="0" w:firstLine="640" w:firstLineChars="200"/>
        <w:jc w:val="both"/>
        <w:textAlignment w:val="auto"/>
        <w:outlineLvl w:val="9"/>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实施农村部分计划生育家庭奖励扶助制度，缓解农村独生子女和双女家庭面临的困难和问题，帮助计划生育家庭发展生产；实施计划生育家庭特别扶助制度，缓解扶助对象在生产、生活、医疗和养老等方面的困难，提升家庭发展能力的总体目标。</w:t>
      </w:r>
    </w:p>
    <w:p>
      <w:pPr>
        <w:keepNext w:val="0"/>
        <w:keepLines w:val="0"/>
        <w:pageBreakBefore w:val="0"/>
        <w:widowControl w:val="0"/>
        <w:numPr>
          <w:ilvl w:val="0"/>
          <w:numId w:val="1"/>
        </w:numPr>
        <w:pBdr>
          <w:bottom w:val="none" w:color="CCCCCC" w:sz="0" w:space="30"/>
        </w:pBdr>
        <w:kinsoku/>
        <w:wordWrap/>
        <w:overflowPunct/>
        <w:topLinePunct w:val="0"/>
        <w:autoSpaceDE/>
        <w:autoSpaceDN w:val="0"/>
        <w:bidi w:val="0"/>
        <w:adjustRightInd/>
        <w:snapToGrid/>
        <w:spacing w:before="0" w:beforeLines="0" w:after="0" w:afterLines="0" w:line="560" w:lineRule="exact"/>
        <w:ind w:right="0" w:rightChars="0" w:firstLine="640" w:firstLineChars="200"/>
        <w:jc w:val="both"/>
        <w:textAlignment w:val="auto"/>
        <w:outlineLvl w:val="9"/>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全区特困老年人意外伤害保险专项</w:t>
      </w:r>
    </w:p>
    <w:p>
      <w:pPr>
        <w:keepNext w:val="0"/>
        <w:keepLines w:val="0"/>
        <w:pageBreakBefore w:val="0"/>
        <w:widowControl w:val="0"/>
        <w:numPr>
          <w:ilvl w:val="0"/>
          <w:numId w:val="0"/>
        </w:numPr>
        <w:pBdr>
          <w:bottom w:val="none" w:color="CCCCCC" w:sz="0" w:space="30"/>
        </w:pBdr>
        <w:kinsoku/>
        <w:wordWrap/>
        <w:overflowPunct/>
        <w:topLinePunct w:val="0"/>
        <w:autoSpaceDE/>
        <w:autoSpaceDN w:val="0"/>
        <w:bidi w:val="0"/>
        <w:adjustRightInd/>
        <w:snapToGrid/>
        <w:spacing w:before="0" w:beforeLines="0" w:after="0" w:afterLines="0" w:line="560" w:lineRule="exact"/>
        <w:ind w:right="0" w:rightChars="0" w:firstLine="640" w:firstLineChars="200"/>
        <w:jc w:val="both"/>
        <w:textAlignment w:val="auto"/>
        <w:outlineLvl w:val="9"/>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该项目主要用于为我区60岁及以上的“特困老人”投保意外伤害保险，对被保险人发生的意外人身伤害，由有关商业保险机构按照投保数额及保险合同予以相应赔偿。</w:t>
      </w:r>
    </w:p>
    <w:p>
      <w:pPr>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600" w:lineRule="exact"/>
        <w:ind w:leftChars="200" w:right="0" w:rightChars="0" w:firstLine="320" w:firstLineChars="1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（3）全区领导干部健康体检经费</w:t>
      </w:r>
    </w:p>
    <w:p>
      <w:pPr>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600" w:lineRule="exact"/>
        <w:ind w:left="0" w:leftChars="0" w:right="0" w:rightChars="0" w:firstLine="640" w:firstLineChars="200"/>
        <w:jc w:val="left"/>
        <w:textAlignment w:val="auto"/>
        <w:outlineLvl w:val="9"/>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 xml:space="preserve"> 该项目主要用于组织开展全区领导干部健康体检，2022年预计完成体检总人数840人。</w:t>
      </w:r>
    </w:p>
    <w:p>
      <w:pPr>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600" w:lineRule="exact"/>
        <w:ind w:left="0" w:leftChars="0" w:right="0" w:rightChars="0" w:firstLine="640" w:firstLineChars="200"/>
        <w:jc w:val="left"/>
        <w:textAlignment w:val="auto"/>
        <w:outlineLvl w:val="9"/>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（4）城镇独生子女父母奖励专项</w:t>
      </w:r>
    </w:p>
    <w:p>
      <w:pPr>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600" w:lineRule="exact"/>
        <w:ind w:left="0" w:leftChars="0" w:right="0" w:rightChars="0" w:firstLine="640" w:firstLineChars="200"/>
        <w:jc w:val="left"/>
        <w:textAlignment w:val="auto"/>
        <w:outlineLvl w:val="9"/>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 xml:space="preserve"> 该项目主要用于城镇独生子女父母奖励金打卡发放。</w:t>
      </w:r>
    </w:p>
    <w:p>
      <w:pPr>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600" w:lineRule="exact"/>
        <w:ind w:left="0" w:leftChars="0" w:right="0" w:rightChars="0" w:firstLine="640" w:firstLineChars="200"/>
        <w:jc w:val="left"/>
        <w:textAlignment w:val="auto"/>
        <w:outlineLvl w:val="9"/>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（5）独生子女保健费专项</w:t>
      </w:r>
    </w:p>
    <w:p>
      <w:pPr>
        <w:pStyle w:val="10"/>
        <w:numPr>
          <w:ilvl w:val="0"/>
          <w:numId w:val="0"/>
        </w:numPr>
        <w:ind w:firstLine="640" w:firstLineChars="200"/>
        <w:jc w:val="left"/>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rPr>
        <w:t>该项目主要用于</w:t>
      </w:r>
      <w:r>
        <w:rPr>
          <w:rFonts w:hint="eastAsia" w:ascii="仿宋" w:hAnsi="仿宋" w:eastAsia="仿宋" w:cs="仿宋"/>
          <w:color w:val="000000"/>
          <w:kern w:val="0"/>
          <w:sz w:val="32"/>
          <w:szCs w:val="32"/>
          <w:lang w:val="en-US" w:eastAsia="zh-CN" w:bidi="ar-SA"/>
        </w:rPr>
        <w:t>打卡发放独生子女保健费。</w:t>
      </w:r>
    </w:p>
    <w:p>
      <w:pPr>
        <w:pStyle w:val="10"/>
        <w:numPr>
          <w:ilvl w:val="0"/>
          <w:numId w:val="0"/>
        </w:numPr>
        <w:ind w:firstLine="640" w:firstLineChars="200"/>
        <w:jc w:val="left"/>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（6）麻风病人专项</w:t>
      </w:r>
    </w:p>
    <w:p>
      <w:pPr>
        <w:pStyle w:val="10"/>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麻风病人专项主要用于零陵区麻风病人在院治疗的生活、医疗费支出。</w:t>
      </w:r>
    </w:p>
    <w:p>
      <w:pPr>
        <w:pStyle w:val="10"/>
        <w:numPr>
          <w:ilvl w:val="0"/>
          <w:numId w:val="0"/>
        </w:numPr>
        <w:ind w:firstLine="640" w:firstLineChars="200"/>
        <w:jc w:val="left"/>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（7）计生事业费</w:t>
      </w:r>
    </w:p>
    <w:p>
      <w:pPr>
        <w:keepNext w:val="0"/>
        <w:keepLines w:val="0"/>
        <w:pageBreakBefore w:val="0"/>
        <w:widowControl/>
        <w:suppressLineNumbers w:val="0"/>
        <w:kinsoku/>
        <w:wordWrap/>
        <w:overflowPunct/>
        <w:topLinePunct w:val="0"/>
        <w:autoSpaceDE/>
        <w:autoSpaceDN/>
        <w:bidi w:val="0"/>
        <w:adjustRightInd/>
        <w:snapToGrid/>
        <w:jc w:val="both"/>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 xml:space="preserve">     贯彻落实党中央关于卫生健康工作的方针政策和决策部署，全面落实省委、市委、区委关于卫生健康工作的部署要求；按照我局工作职能，完成各有关业务专项工作；协调推进全区深化医药卫生体制改革、提升医疗卫生机构服务能力、加强公共卫生与重大疾病防控工作、卫生健康全行业管理不断加强，群众满意度不断提高。按照我局工作职能，完成年度各有关业务专项工作。</w:t>
      </w:r>
    </w:p>
    <w:p>
      <w:pPr>
        <w:keepNext w:val="0"/>
        <w:keepLines w:val="0"/>
        <w:widowControl/>
        <w:numPr>
          <w:ilvl w:val="0"/>
          <w:numId w:val="0"/>
        </w:numPr>
        <w:suppressLineNumbers w:val="0"/>
        <w:ind w:firstLine="640" w:firstLineChars="200"/>
        <w:jc w:val="left"/>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(8)防病、医务管理及安全治理、健康教育科研等经费</w:t>
      </w:r>
    </w:p>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 xml:space="preserve">     按照我局工作职能负责：卫生应急工作，组织指导突发公共卫生事件的预防控制和各类突发公共卫生事件的预防控制和各类突发公共事件的医疗卫生救援，承担传染病疫情信息发布工作；负责全区健康教育、健康促进和卫生健康信息化建设工作；负责权限内医疗机构评审评价和校验管理；监督指导全区中医药领域相关业务工作。</w:t>
      </w:r>
    </w:p>
    <w:p>
      <w:pPr>
        <w:keepNext w:val="0"/>
        <w:keepLines w:val="0"/>
        <w:widowControl/>
        <w:suppressLineNumbers w:val="0"/>
        <w:jc w:val="left"/>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 xml:space="preserve">   （9）老年乡村医生生活困难补助</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该项目主要用于打卡发放老年乡村医生生活困难补助资金。</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200" w:firstLine="320" w:firstLineChars="1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(10)病媒生物防治专项</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该项目用于支付零陵城区除“四害”药物采购及服务项目费。</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rPr>
        <w:t>（11）医师节活动及表彰经费</w:t>
      </w:r>
    </w:p>
    <w:p>
      <w:pPr>
        <w:pStyle w:val="2"/>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 xml:space="preserve"> 组织开展医师节活动，褒扬全区优秀的医务工作者，激发全区卫健系统创业干事热情，推动全区卫生事业发展。</w:t>
      </w:r>
    </w:p>
    <w:p>
      <w:pPr>
        <w:pStyle w:val="2"/>
        <w:keepNext w:val="0"/>
        <w:keepLines w:val="0"/>
        <w:pageBreakBefore w:val="0"/>
        <w:widowControl w:val="0"/>
        <w:numPr>
          <w:ilvl w:val="0"/>
          <w:numId w:val="2"/>
        </w:numPr>
        <w:kinsoku/>
        <w:wordWrap/>
        <w:overflowPunct/>
        <w:topLinePunct w:val="0"/>
        <w:autoSpaceDE/>
        <w:autoSpaceDN/>
        <w:bidi w:val="0"/>
        <w:adjustRightInd/>
        <w:snapToGrid/>
        <w:ind w:left="0" w:leftChars="0"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红十字会经费</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该项目主要用于零陵区红十字会开展以下工作：（1）、大病救助，（2）、无偿献血、应急救护知识技能培训，（3）、应急救灾物资储备。</w:t>
      </w:r>
    </w:p>
    <w:p>
      <w:pPr>
        <w:pStyle w:val="2"/>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严重精神障碍患者监护人奖励</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该项目主要用于打卡发放严重精神障碍患者监护人奖励经费。</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default" w:ascii="仿宋" w:hAnsi="仿宋" w:eastAsia="仿宋" w:cs="仿宋"/>
          <w:color w:val="000000"/>
          <w:kern w:val="0"/>
          <w:sz w:val="32"/>
          <w:szCs w:val="32"/>
          <w:lang w:val="en-US" w:eastAsia="zh-CN" w:bidi="ar-SA"/>
        </w:rPr>
      </w:pPr>
      <w:bookmarkStart w:id="0" w:name="_GoBack"/>
      <w:r>
        <w:rPr>
          <w:rFonts w:hint="eastAsia" w:ascii="仿宋" w:hAnsi="仿宋" w:eastAsia="仿宋" w:cs="仿宋"/>
          <w:color w:val="000000"/>
          <w:kern w:val="0"/>
          <w:sz w:val="32"/>
          <w:szCs w:val="32"/>
          <w:lang w:val="en-US" w:eastAsia="zh-CN" w:bidi="ar-SA"/>
        </w:rPr>
        <w:t>（14）疫情防控经费</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该项目主要用于疫情防控物资采购、开展核酸检测等支出。</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（15）省补助尘肺病康复站建设专项经费</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该项目主要用于在珠山镇中心医院建设一个尘肺病康复站。</w:t>
      </w:r>
    </w:p>
    <w:bookmarkEnd w:id="0"/>
    <w:p>
      <w:pPr>
        <w:pStyle w:val="9"/>
        <w:spacing w:line="600" w:lineRule="exact"/>
        <w:ind w:left="0" w:leftChars="0" w:firstLine="640" w:firstLineChars="200"/>
        <w:rPr>
          <w:rFonts w:ascii="Times New Roman" w:hAnsi="Times New Roman" w:eastAsia="黑体"/>
          <w:sz w:val="32"/>
          <w:szCs w:val="32"/>
        </w:rPr>
      </w:pPr>
      <w:r>
        <w:rPr>
          <w:rFonts w:ascii="Times New Roman" w:hAnsi="Times New Roman" w:eastAsia="黑体"/>
          <w:sz w:val="32"/>
          <w:szCs w:val="32"/>
        </w:rPr>
        <w:t>二、一般公共预算支出情况</w:t>
      </w:r>
    </w:p>
    <w:p>
      <w:pPr>
        <w:pStyle w:val="9"/>
        <w:spacing w:line="600" w:lineRule="exact"/>
        <w:ind w:firstLine="643"/>
        <w:rPr>
          <w:rFonts w:ascii="Times New Roman" w:hAnsi="Times New Roman" w:eastAsia="楷体_GB2312"/>
          <w:b/>
          <w:sz w:val="32"/>
          <w:szCs w:val="32"/>
        </w:rPr>
      </w:pPr>
      <w:r>
        <w:rPr>
          <w:rFonts w:ascii="Times New Roman" w:hAnsi="Times New Roman" w:eastAsia="楷体_GB2312"/>
          <w:b/>
          <w:sz w:val="32"/>
          <w:szCs w:val="32"/>
        </w:rPr>
        <w:t>（一）基本支出情况</w:t>
      </w:r>
    </w:p>
    <w:p>
      <w:pPr>
        <w:pStyle w:val="9"/>
        <w:keepNext w:val="0"/>
        <w:keepLines w:val="0"/>
        <w:pageBreakBefore w:val="0"/>
        <w:widowControl w:val="0"/>
        <w:kinsoku/>
        <w:wordWrap/>
        <w:overflowPunct/>
        <w:topLinePunct w:val="0"/>
        <w:autoSpaceDE/>
        <w:autoSpaceDN/>
        <w:bidi w:val="0"/>
        <w:adjustRightInd/>
        <w:snapToGrid/>
        <w:spacing w:line="540" w:lineRule="exact"/>
        <w:ind w:left="0" w:leftChars="0" w:firstLine="964" w:firstLineChars="300"/>
        <w:textAlignment w:val="auto"/>
        <w:rPr>
          <w:rFonts w:hint="eastAsia" w:ascii="Times New Roman" w:hAnsi="Times New Roman" w:eastAsia="楷体_GB2312" w:cs="Times New Roman"/>
          <w:b/>
          <w:sz w:val="32"/>
          <w:szCs w:val="32"/>
          <w:lang w:val="en-US" w:eastAsia="zh-CN"/>
        </w:rPr>
      </w:pPr>
      <w:r>
        <w:rPr>
          <w:rFonts w:hint="eastAsia" w:ascii="Times New Roman" w:hAnsi="Times New Roman" w:eastAsia="楷体_GB2312" w:cs="Times New Roman"/>
          <w:b/>
          <w:sz w:val="32"/>
          <w:szCs w:val="32"/>
          <w:lang w:val="en-US" w:eastAsia="zh-CN"/>
        </w:rPr>
        <w:t>1、基本支出决算情况说明</w:t>
      </w:r>
    </w:p>
    <w:p>
      <w:pPr>
        <w:keepNext w:val="0"/>
        <w:keepLines w:val="0"/>
        <w:widowControl/>
        <w:suppressLineNumbers w:val="0"/>
        <w:ind w:firstLine="960" w:firstLineChars="300"/>
        <w:jc w:val="left"/>
        <w:rPr>
          <w:rFonts w:hint="eastAsia" w:ascii="仿宋" w:hAnsi="仿宋" w:eastAsia="仿宋" w:cs="仿宋"/>
          <w:sz w:val="32"/>
          <w:szCs w:val="32"/>
        </w:rPr>
      </w:pPr>
      <w:r>
        <w:rPr>
          <w:rFonts w:hint="eastAsia" w:ascii="仿宋" w:hAnsi="仿宋" w:eastAsia="仿宋" w:cs="仿宋"/>
          <w:b w:val="0"/>
          <w:bCs/>
          <w:sz w:val="32"/>
          <w:szCs w:val="32"/>
          <w:lang w:val="en-US" w:eastAsia="zh-CN"/>
        </w:rPr>
        <w:t>我局2022年</w:t>
      </w:r>
      <w:r>
        <w:rPr>
          <w:rFonts w:hint="eastAsia" w:ascii="仿宋" w:hAnsi="仿宋" w:eastAsia="仿宋" w:cs="仿宋"/>
          <w:color w:val="000000"/>
          <w:kern w:val="0"/>
          <w:sz w:val="32"/>
          <w:szCs w:val="32"/>
          <w:lang w:val="en-US" w:eastAsia="zh-CN" w:bidi="ar"/>
        </w:rPr>
        <w:t>度财政拨款基本支出 741.40万元。其中：</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 xml:space="preserve">（1）人员经费 698.81万元，占比 94.25%。主要包括：基本工资、津贴补贴、绩效工资、机关事业单位基本养老保险缴费、职工基本医疗保险缴费、其他社会保障缴费、其他工资福利支出、生活补助。 </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（2）公用经费 42.59万元，占比 5.75%，其中：商品和服务支出 42.59万元。主要包括：办公费、印刷费、水费、电费、邮电费、维修（护）费、公务接待费、劳务费、委托业务费、工会经费、福利费、其他商品和服务支出。</w:t>
      </w:r>
    </w:p>
    <w:p>
      <w:pPr>
        <w:pStyle w:val="9"/>
        <w:keepNext w:val="0"/>
        <w:keepLines w:val="0"/>
        <w:pageBreakBefore w:val="0"/>
        <w:widowControl w:val="0"/>
        <w:kinsoku/>
        <w:wordWrap/>
        <w:overflowPunct/>
        <w:topLinePunct w:val="0"/>
        <w:autoSpaceDE/>
        <w:autoSpaceDN/>
        <w:bidi w:val="0"/>
        <w:adjustRightInd/>
        <w:snapToGrid/>
        <w:spacing w:line="540" w:lineRule="exact"/>
        <w:ind w:firstLine="964" w:firstLineChars="300"/>
        <w:textAlignment w:val="auto"/>
        <w:rPr>
          <w:rFonts w:hint="eastAsia" w:ascii="Times New Roman" w:hAnsi="Times New Roman" w:eastAsia="楷体_GB2312" w:cs="Times New Roman"/>
          <w:b/>
          <w:sz w:val="32"/>
          <w:szCs w:val="32"/>
          <w:lang w:val="en-US" w:eastAsia="zh-CN"/>
        </w:rPr>
      </w:pPr>
      <w:r>
        <w:rPr>
          <w:rFonts w:hint="eastAsia" w:ascii="Times New Roman" w:hAnsi="Times New Roman" w:eastAsia="楷体_GB2312" w:cs="Times New Roman"/>
          <w:b/>
          <w:sz w:val="32"/>
          <w:szCs w:val="32"/>
          <w:lang w:val="en-US" w:eastAsia="zh-CN"/>
        </w:rPr>
        <w:t>2、</w:t>
      </w:r>
      <w:r>
        <w:rPr>
          <w:rFonts w:hint="default" w:ascii="Times New Roman" w:hAnsi="Times New Roman" w:eastAsia="楷体_GB2312" w:cs="Times New Roman"/>
          <w:b/>
          <w:sz w:val="32"/>
          <w:szCs w:val="32"/>
          <w:lang w:val="en-US" w:eastAsia="zh-CN"/>
        </w:rPr>
        <w:t>“</w:t>
      </w:r>
      <w:r>
        <w:rPr>
          <w:rFonts w:hint="eastAsia" w:ascii="Times New Roman" w:hAnsi="Times New Roman" w:eastAsia="楷体_GB2312" w:cs="Times New Roman"/>
          <w:b/>
          <w:sz w:val="32"/>
          <w:szCs w:val="32"/>
          <w:lang w:val="en-US" w:eastAsia="zh-CN"/>
        </w:rPr>
        <w:t>三公</w:t>
      </w:r>
      <w:r>
        <w:rPr>
          <w:rFonts w:hint="default" w:ascii="Times New Roman" w:hAnsi="Times New Roman" w:eastAsia="楷体_GB2312" w:cs="Times New Roman"/>
          <w:b/>
          <w:sz w:val="32"/>
          <w:szCs w:val="32"/>
          <w:lang w:val="en-US" w:eastAsia="zh-CN"/>
        </w:rPr>
        <w:t>”</w:t>
      </w:r>
      <w:r>
        <w:rPr>
          <w:rFonts w:hint="eastAsia" w:ascii="Times New Roman" w:hAnsi="Times New Roman" w:eastAsia="楷体_GB2312" w:cs="Times New Roman"/>
          <w:b/>
          <w:sz w:val="32"/>
          <w:szCs w:val="32"/>
          <w:lang w:val="en-US" w:eastAsia="zh-CN"/>
        </w:rPr>
        <w:t xml:space="preserve">经费支出决算情况说明 </w:t>
      </w:r>
    </w:p>
    <w:p>
      <w:pPr>
        <w:keepNext w:val="0"/>
        <w:keepLines w:val="0"/>
        <w:widowControl/>
        <w:suppressLineNumbers w:val="0"/>
        <w:ind w:firstLine="640" w:firstLineChars="20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（1）“三公”经费财政拨款支出决算总体情况说明 </w:t>
      </w:r>
    </w:p>
    <w:p>
      <w:pPr>
        <w:keepNext w:val="0"/>
        <w:keepLines w:val="0"/>
        <w:widowControl/>
        <w:suppressLineNumbers w:val="0"/>
        <w:ind w:firstLine="640" w:firstLineChars="20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我局2022年度“三公”经费财政拨款支出预算为 14万元，支出决算为8.14万元，完成预算的 58.12%，其中：公务用车购置及运行维护费支出预算为0万元，支出决算为0万元。 </w:t>
      </w:r>
    </w:p>
    <w:p>
      <w:pPr>
        <w:keepNext w:val="0"/>
        <w:keepLines w:val="0"/>
        <w:widowControl/>
        <w:suppressLineNumbers w:val="0"/>
        <w:ind w:firstLine="640" w:firstLineChars="20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因公出国（境）费支出预算为0万元，支出决算为0万元。</w:t>
      </w:r>
    </w:p>
    <w:p>
      <w:pPr>
        <w:keepNext w:val="0"/>
        <w:keepLines w:val="0"/>
        <w:widowControl/>
        <w:suppressLineNumbers w:val="0"/>
        <w:ind w:firstLine="640" w:firstLineChars="20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公务接待费支出预算为14万元，支出决算为8.14万元，完成预算的 58.12%。决算数小于预算数的主要原因是我局认真贯彻落实中央“八项规定”、省委“九项规定”精神及关于厉行节约的各项要求，严控公务接待费支出。 </w:t>
      </w:r>
    </w:p>
    <w:p>
      <w:pPr>
        <w:keepNext w:val="0"/>
        <w:keepLines w:val="0"/>
        <w:widowControl/>
        <w:suppressLineNumbers w:val="0"/>
        <w:ind w:firstLine="640" w:firstLineChars="20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（2）“三公”经费财政拨款支出决算具体情况说明 </w:t>
      </w:r>
    </w:p>
    <w:p>
      <w:pPr>
        <w:keepNext w:val="0"/>
        <w:keepLines w:val="0"/>
        <w:widowControl/>
        <w:suppressLineNumbers w:val="0"/>
        <w:ind w:firstLine="960" w:firstLineChars="30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2022年度“三公”经费财政拨款支出决算中，公务用车购置及运行维护费决算支出0万元；因公出国（境）费决算支出 0万元；公务接待费支出8.14万元，占比100%。 </w:t>
      </w:r>
    </w:p>
    <w:p>
      <w:pPr>
        <w:pStyle w:val="9"/>
        <w:spacing w:line="600" w:lineRule="exact"/>
        <w:ind w:left="0" w:leftChars="0" w:firstLine="643" w:firstLineChars="200"/>
        <w:rPr>
          <w:rFonts w:ascii="Times New Roman" w:hAnsi="Times New Roman" w:eastAsia="楷体_GB2312"/>
          <w:b/>
          <w:sz w:val="32"/>
          <w:szCs w:val="32"/>
        </w:rPr>
      </w:pPr>
      <w:r>
        <w:rPr>
          <w:rFonts w:ascii="Times New Roman" w:hAnsi="Times New Roman" w:eastAsia="楷体_GB2312"/>
          <w:b/>
          <w:sz w:val="32"/>
          <w:szCs w:val="32"/>
        </w:rPr>
        <w:t>（二）项目支出情况</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default" w:ascii="仿宋" w:hAnsi="仿宋" w:eastAsia="仿宋" w:cs="仿宋"/>
          <w:color w:val="000000"/>
          <w:kern w:val="0"/>
          <w:sz w:val="32"/>
          <w:szCs w:val="32"/>
          <w:lang w:val="en-US" w:eastAsia="zh-CN" w:bidi="ar"/>
        </w:rPr>
      </w:pPr>
      <w:r>
        <w:rPr>
          <w:rFonts w:hint="eastAsia" w:eastAsia="仿宋_GB2312"/>
          <w:sz w:val="32"/>
          <w:szCs w:val="32"/>
          <w:lang w:val="en-US" w:eastAsia="zh-CN"/>
        </w:rPr>
        <w:t xml:space="preserve"> </w:t>
      </w:r>
      <w:r>
        <w:rPr>
          <w:rFonts w:hint="eastAsia" w:ascii="仿宋" w:hAnsi="仿宋" w:eastAsia="仿宋" w:cs="仿宋"/>
          <w:color w:val="000000"/>
          <w:kern w:val="0"/>
          <w:sz w:val="32"/>
          <w:szCs w:val="32"/>
          <w:lang w:val="en-US" w:eastAsia="zh-CN" w:bidi="ar"/>
        </w:rPr>
        <w:t>项目支出是指单位为完成特定行政工作任务或事业发展目标而发生的支出。</w:t>
      </w:r>
      <w:r>
        <w:rPr>
          <w:rFonts w:hint="default" w:ascii="仿宋" w:hAnsi="仿宋" w:eastAsia="仿宋" w:cs="仿宋"/>
          <w:color w:val="000000"/>
          <w:kern w:val="0"/>
          <w:sz w:val="32"/>
          <w:szCs w:val="32"/>
          <w:lang w:val="en-US" w:eastAsia="zh-CN" w:bidi="ar"/>
        </w:rPr>
        <w:t>202</w:t>
      </w:r>
      <w:r>
        <w:rPr>
          <w:rFonts w:hint="eastAsia" w:ascii="仿宋" w:hAnsi="仿宋" w:eastAsia="仿宋" w:cs="仿宋"/>
          <w:color w:val="000000"/>
          <w:kern w:val="0"/>
          <w:sz w:val="32"/>
          <w:szCs w:val="32"/>
          <w:lang w:val="en-US" w:eastAsia="zh-CN" w:bidi="ar"/>
        </w:rPr>
        <w:t>2年度财政拨款项目支出4279.35万元。其中：计生事业费97.72万元；防病、医务管理及安全治理、健康教育、科研等经费15.79万元；全区特困老年人意外伤害保险21.35万元；老年乡村医生生活困难补助203.27万元；病媒生物防治39.00万元；全区领导干部健康体检经费58.80万元；严重精神障碍患者监护人奖励经费76.65万元；全市深化医改暨基层卫生工作现场会经费57.20万元；医师节活动表彰经费7.02万元；春节走访慰问经费3.2万元；红十字会经费5.00万元；麻风病人专项（含上级转移支付）9.46万元；两扶项目（含上级转移支付）1014.10万元；城镇独生子女父母奖励（含上级转移支付）403.24万元；独生子女保健费（含上级转移支付）11.84万元；疫情防控项目经费（含上级转移支付）1982.64万元；省补助公共卫生项目（社区卫生）-接履桥社区卫生服务中心业务用房修缮项目6.00万元；省补助村卫生室运行经费89.70万元；上级转移支付徐家井、七里店社区卫生服务中心修缮项目68.80万元；省补助尘肺病康复站建设专项经费54.65万元；省补助农民工尘肺病基本医疗救助资金23.91万元；上级转移支付永州市第四人民医院家属区老旧小区改造项目经费30.00万元。</w:t>
      </w:r>
    </w:p>
    <w:p>
      <w:pPr>
        <w:pStyle w:val="9"/>
        <w:numPr>
          <w:ilvl w:val="0"/>
          <w:numId w:val="3"/>
        </w:numPr>
        <w:spacing w:line="600" w:lineRule="exact"/>
        <w:ind w:left="0" w:leftChars="0" w:firstLine="640" w:firstLineChars="200"/>
        <w:rPr>
          <w:rFonts w:ascii="Times New Roman" w:hAnsi="Times New Roman" w:eastAsia="黑体"/>
          <w:sz w:val="32"/>
          <w:szCs w:val="32"/>
        </w:rPr>
      </w:pPr>
      <w:r>
        <w:rPr>
          <w:rFonts w:ascii="Times New Roman" w:hAnsi="Times New Roman" w:eastAsia="黑体"/>
          <w:sz w:val="32"/>
          <w:szCs w:val="32"/>
        </w:rPr>
        <w:t>政府性基金预算支出情况</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2022年本单位无政府性基金预算支出。</w:t>
      </w:r>
    </w:p>
    <w:p>
      <w:pPr>
        <w:pStyle w:val="9"/>
        <w:numPr>
          <w:ilvl w:val="0"/>
          <w:numId w:val="3"/>
        </w:numPr>
        <w:spacing w:line="600" w:lineRule="exact"/>
        <w:ind w:left="0" w:leftChars="0" w:firstLine="640" w:firstLineChars="200"/>
        <w:rPr>
          <w:rFonts w:ascii="Times New Roman" w:hAnsi="Times New Roman" w:eastAsia="黑体"/>
          <w:sz w:val="32"/>
          <w:szCs w:val="32"/>
        </w:rPr>
      </w:pPr>
      <w:r>
        <w:rPr>
          <w:rFonts w:ascii="Times New Roman" w:hAnsi="Times New Roman" w:eastAsia="黑体"/>
          <w:sz w:val="32"/>
          <w:szCs w:val="32"/>
        </w:rPr>
        <w:t>国有资本经营预算支出情况</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200"/>
        <w:textAlignment w:val="auto"/>
        <w:rPr>
          <w:rFonts w:hint="eastAsia" w:ascii="仿宋" w:hAnsi="仿宋" w:eastAsia="仿宋" w:cs="仿宋"/>
          <w:sz w:val="32"/>
          <w:szCs w:val="32"/>
          <w:lang w:val="en-US" w:eastAsia="zh-CN"/>
        </w:rPr>
      </w:pPr>
      <w:r>
        <w:rPr>
          <w:rFonts w:hint="eastAsia" w:ascii="Times New Roman" w:hAnsi="Times New Roman" w:eastAsia="黑体"/>
          <w:sz w:val="32"/>
          <w:szCs w:val="32"/>
          <w:lang w:val="en-US" w:eastAsia="zh-CN"/>
        </w:rPr>
        <w:t xml:space="preserve"> </w:t>
      </w:r>
      <w:r>
        <w:rPr>
          <w:rFonts w:hint="eastAsia" w:ascii="仿宋" w:hAnsi="仿宋" w:eastAsia="仿宋" w:cs="仿宋"/>
          <w:sz w:val="32"/>
          <w:szCs w:val="32"/>
          <w:lang w:val="en-US" w:eastAsia="zh-CN"/>
        </w:rPr>
        <w:t>2022年本单位无国有资本经营预算支出。</w:t>
      </w:r>
    </w:p>
    <w:p>
      <w:pPr>
        <w:pStyle w:val="9"/>
        <w:numPr>
          <w:ilvl w:val="0"/>
          <w:numId w:val="3"/>
        </w:numPr>
        <w:spacing w:line="600" w:lineRule="exact"/>
        <w:ind w:left="0" w:leftChars="0" w:firstLine="640" w:firstLineChars="200"/>
        <w:rPr>
          <w:rFonts w:ascii="Times New Roman" w:hAnsi="Times New Roman" w:eastAsia="黑体"/>
          <w:sz w:val="32"/>
          <w:szCs w:val="32"/>
        </w:rPr>
      </w:pPr>
      <w:r>
        <w:rPr>
          <w:rFonts w:ascii="Times New Roman" w:hAnsi="Times New Roman" w:eastAsia="黑体"/>
          <w:sz w:val="32"/>
          <w:szCs w:val="32"/>
        </w:rPr>
        <w:t>社会保险基金预算支出情况</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2022年本单位无社会保险基金预算支出情况</w:t>
      </w:r>
    </w:p>
    <w:p>
      <w:pPr>
        <w:pStyle w:val="9"/>
        <w:numPr>
          <w:ilvl w:val="0"/>
          <w:numId w:val="0"/>
        </w:numPr>
        <w:spacing w:line="600" w:lineRule="exact"/>
        <w:ind w:leftChars="200"/>
        <w:rPr>
          <w:rFonts w:hint="eastAsia" w:ascii="Times New Roman" w:hAnsi="Times New Roman" w:eastAsia="黑体"/>
          <w:sz w:val="32"/>
          <w:szCs w:val="32"/>
          <w:lang w:val="en-US" w:eastAsia="zh-CN"/>
        </w:rPr>
      </w:pPr>
    </w:p>
    <w:p>
      <w:pPr>
        <w:spacing w:line="600" w:lineRule="exact"/>
        <w:ind w:firstLine="640" w:firstLineChars="200"/>
        <w:rPr>
          <w:rFonts w:eastAsia="黑体"/>
          <w:sz w:val="32"/>
          <w:szCs w:val="32"/>
        </w:rPr>
      </w:pPr>
      <w:r>
        <w:rPr>
          <w:rFonts w:eastAsia="黑体"/>
          <w:sz w:val="32"/>
          <w:szCs w:val="32"/>
        </w:rPr>
        <w:t>六、部门整体支出绩效情况</w:t>
      </w:r>
    </w:p>
    <w:p>
      <w:pPr>
        <w:spacing w:line="600" w:lineRule="exact"/>
        <w:ind w:firstLine="640" w:firstLineChars="200"/>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2022年在区委区政府的正确领导下，市卫健委的指导支持下，零陵区卫生健康工作水平不断提高，疫情防控工作有力有效。</w:t>
      </w:r>
    </w:p>
    <w:p>
      <w:pPr>
        <w:keepNext w:val="0"/>
        <w:keepLines w:val="0"/>
        <w:widowControl/>
        <w:suppressLineNumbers w:val="0"/>
        <w:ind w:firstLine="640" w:firstLineChars="200"/>
        <w:jc w:val="left"/>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我局自评认为，本部门“四本预算”支出的绩效目标完成情况良好，年度整体绩效目标顺利完成，各项工作取得了新成效，全区卫生健康事业取得了新的进展，可持续发展能力稳步提高，服务对象满意度不断增强。根据《2022年度部门整体支出绩效自评表》评分，2022年度我局整体支出绩效自评得分 98分，部门整体支出绩效为“优”。</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bidi w:val="0"/>
        <w:adjustRightInd/>
        <w:snapToGrid/>
        <w:spacing w:before="0" w:beforeAutospacing="0" w:after="0" w:afterAutospacing="0" w:line="600" w:lineRule="exact"/>
        <w:ind w:left="0" w:right="0" w:firstLine="643" w:firstLineChars="200"/>
        <w:textAlignment w:val="auto"/>
        <w:rPr>
          <w:rStyle w:val="8"/>
          <w:rFonts w:hint="eastAsia" w:ascii="仿宋_GB2312" w:hAnsi="仿宋_GB2312" w:eastAsia="仿宋_GB2312" w:cs="仿宋_GB2312"/>
          <w:b w:val="0"/>
          <w:bCs w:val="0"/>
          <w:i w:val="0"/>
          <w:iCs w:val="0"/>
          <w:caps w:val="0"/>
          <w:color w:val="auto"/>
          <w:spacing w:val="0"/>
          <w:kern w:val="0"/>
          <w:sz w:val="32"/>
          <w:szCs w:val="32"/>
          <w:shd w:val="clear" w:color="auto" w:fill="FFFFFF"/>
          <w:lang w:val="en-US" w:eastAsia="zh-CN" w:bidi="ar"/>
        </w:rPr>
      </w:pPr>
      <w:r>
        <w:rPr>
          <w:rFonts w:hint="eastAsia" w:ascii="楷体_GB2312" w:hAnsi="楷体_GB2312" w:eastAsia="楷体_GB2312" w:cs="楷体_GB2312"/>
          <w:b/>
          <w:bCs/>
          <w:color w:val="auto"/>
          <w:sz w:val="32"/>
          <w:szCs w:val="32"/>
          <w:lang w:val="en-US" w:eastAsia="zh-CN"/>
        </w:rPr>
        <w:t>1.疫情防控总体向好。</w:t>
      </w:r>
      <w:r>
        <w:rPr>
          <w:rStyle w:val="8"/>
          <w:rFonts w:hint="eastAsia" w:ascii="仿宋_GB2312" w:hAnsi="仿宋_GB2312" w:eastAsia="仿宋_GB2312" w:cs="仿宋_GB2312"/>
          <w:b w:val="0"/>
          <w:bCs w:val="0"/>
          <w:i w:val="0"/>
          <w:iCs w:val="0"/>
          <w:caps w:val="0"/>
          <w:color w:val="auto"/>
          <w:spacing w:val="0"/>
          <w:kern w:val="0"/>
          <w:sz w:val="32"/>
          <w:szCs w:val="32"/>
          <w:shd w:val="clear" w:color="auto" w:fill="FFFFFF"/>
          <w:lang w:val="en-US" w:eastAsia="zh-CN" w:bidi="ar"/>
        </w:rPr>
        <w:t>今年以来，在省市的的坚强领导下，在区委区政府的统筹指挥下，坚持“外防输入、内防扩散总策略，坚持“动态清零”总方针，1-11月，累计排查管控省外返零人员89638人，全部按要求落实管控措施。成功处置“3.18”“9.25”过境疫情，“11.02”疫情发生后，全卫健系统第一时间响应，出动医务人员2526人，排查密接 6558人，为打好打赢“11.02”疫情防控全民战、阻击战、攻坚战、歼灭战贡献卫健力量。</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bidi w:val="0"/>
        <w:adjustRightInd/>
        <w:snapToGrid/>
        <w:spacing w:before="0" w:beforeAutospacing="0" w:after="0" w:afterAutospacing="0" w:line="600" w:lineRule="exact"/>
        <w:ind w:left="0" w:right="0" w:firstLine="643"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楷体_GB2312" w:hAnsi="楷体_GB2312" w:eastAsia="楷体_GB2312" w:cs="楷体_GB2312"/>
          <w:b/>
          <w:bCs/>
          <w:color w:val="auto"/>
          <w:kern w:val="2"/>
          <w:sz w:val="32"/>
          <w:szCs w:val="32"/>
          <w:lang w:val="en-US" w:eastAsia="zh-CN" w:bidi="ar-SA"/>
        </w:rPr>
        <w:t>2.床位建设进一步加速。</w:t>
      </w:r>
      <w:r>
        <w:rPr>
          <w:rFonts w:hint="eastAsia" w:ascii="仿宋_GB2312" w:hAnsi="仿宋_GB2312" w:eastAsia="仿宋_GB2312" w:cs="仿宋_GB2312"/>
          <w:b w:val="0"/>
          <w:bCs w:val="0"/>
          <w:color w:val="auto"/>
          <w:sz w:val="32"/>
          <w:szCs w:val="32"/>
          <w:lang w:eastAsia="zh-CN"/>
        </w:rPr>
        <w:t>《健康零陵行动》</w:t>
      </w:r>
      <w:r>
        <w:rPr>
          <w:rFonts w:hint="eastAsia" w:ascii="仿宋_GB2312" w:hAnsi="仿宋_GB2312" w:eastAsia="仿宋_GB2312" w:cs="仿宋_GB2312"/>
          <w:b w:val="0"/>
          <w:bCs w:val="0"/>
          <w:color w:val="auto"/>
          <w:sz w:val="32"/>
          <w:szCs w:val="32"/>
          <w:lang w:val="en-US" w:eastAsia="zh-CN"/>
        </w:rPr>
        <w:t>2021年考核在</w:t>
      </w:r>
      <w:r>
        <w:rPr>
          <w:rFonts w:hint="eastAsia" w:ascii="仿宋_GB2312" w:hAnsi="仿宋_GB2312" w:eastAsia="仿宋_GB2312" w:cs="仿宋_GB2312"/>
          <w:b w:val="0"/>
          <w:bCs w:val="0"/>
          <w:color w:val="auto"/>
          <w:sz w:val="32"/>
          <w:szCs w:val="32"/>
          <w:lang w:eastAsia="zh-CN"/>
        </w:rPr>
        <w:t>全市卫健系统排名第三。</w:t>
      </w:r>
      <w:r>
        <w:rPr>
          <w:rFonts w:hint="eastAsia" w:ascii="仿宋_GB2312" w:hAnsi="仿宋_GB2312" w:eastAsia="仿宋_GB2312" w:cs="仿宋_GB2312"/>
          <w:b w:val="0"/>
          <w:bCs w:val="0"/>
          <w:color w:val="auto"/>
          <w:sz w:val="32"/>
          <w:szCs w:val="32"/>
        </w:rPr>
        <w:t>区中医综合救治应急能力占地面积64921平方米（约98亩）。初步规划</w:t>
      </w:r>
      <w:r>
        <w:rPr>
          <w:rFonts w:hint="eastAsia" w:ascii="仿宋_GB2312" w:hAnsi="仿宋_GB2312" w:eastAsia="仿宋_GB2312" w:cs="仿宋_GB2312"/>
          <w:b w:val="0"/>
          <w:bCs w:val="0"/>
          <w:color w:val="auto"/>
          <w:sz w:val="32"/>
          <w:szCs w:val="32"/>
          <w:lang w:eastAsia="zh-CN"/>
        </w:rPr>
        <w:t>总建筑面积约</w:t>
      </w:r>
      <w:r>
        <w:rPr>
          <w:rFonts w:hint="eastAsia" w:ascii="仿宋_GB2312" w:hAnsi="仿宋_GB2312" w:eastAsia="仿宋_GB2312" w:cs="仿宋_GB2312"/>
          <w:b w:val="0"/>
          <w:bCs w:val="0"/>
          <w:color w:val="auto"/>
          <w:sz w:val="32"/>
          <w:szCs w:val="32"/>
        </w:rPr>
        <w:t>70000平方米</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编制床位600张，总投资4.5亿元</w:t>
      </w:r>
      <w:r>
        <w:rPr>
          <w:rFonts w:hint="eastAsia" w:ascii="仿宋_GB2312" w:hAnsi="仿宋_GB2312" w:eastAsia="仿宋_GB2312" w:cs="仿宋_GB2312"/>
          <w:b w:val="0"/>
          <w:bCs w:val="0"/>
          <w:color w:val="auto"/>
          <w:sz w:val="32"/>
          <w:szCs w:val="32"/>
          <w:lang w:eastAsia="zh-CN"/>
        </w:rPr>
        <w:t>的</w:t>
      </w:r>
      <w:r>
        <w:rPr>
          <w:rFonts w:hint="eastAsia" w:ascii="仿宋_GB2312" w:hAnsi="仿宋_GB2312" w:eastAsia="仿宋_GB2312" w:cs="仿宋_GB2312"/>
          <w:b w:val="0"/>
          <w:bCs w:val="0"/>
          <w:color w:val="auto"/>
          <w:sz w:val="32"/>
          <w:szCs w:val="32"/>
        </w:rPr>
        <w:t>中医康复建设项目</w:t>
      </w:r>
      <w:r>
        <w:rPr>
          <w:rFonts w:hint="eastAsia" w:ascii="仿宋_GB2312" w:hAnsi="仿宋_GB2312" w:eastAsia="仿宋_GB2312" w:cs="仿宋_GB2312"/>
          <w:b w:val="0"/>
          <w:bCs w:val="0"/>
          <w:color w:val="auto"/>
          <w:sz w:val="32"/>
          <w:szCs w:val="32"/>
          <w:lang w:eastAsia="zh-CN"/>
        </w:rPr>
        <w:t>（区中医医院搬迁）有序推进</w:t>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b w:val="0"/>
          <w:bCs w:val="0"/>
          <w:color w:val="auto"/>
          <w:sz w:val="32"/>
          <w:szCs w:val="32"/>
          <w:lang w:eastAsia="zh-CN"/>
        </w:rPr>
        <w:t>妇保中心</w:t>
      </w:r>
      <w:r>
        <w:rPr>
          <w:rFonts w:hint="eastAsia" w:ascii="仿宋_GB2312" w:hAnsi="仿宋_GB2312" w:eastAsia="仿宋_GB2312" w:cs="仿宋_GB2312"/>
          <w:b w:val="0"/>
          <w:bCs w:val="0"/>
          <w:color w:val="auto"/>
          <w:sz w:val="32"/>
          <w:szCs w:val="32"/>
          <w:lang w:val="en-US" w:eastAsia="zh-CN"/>
        </w:rPr>
        <w:t>整体搬迁已全面完成。乡镇卫生院标准化建设即将全面完成。</w:t>
      </w:r>
    </w:p>
    <w:p>
      <w:pPr>
        <w:keepNext w:val="0"/>
        <w:keepLines w:val="0"/>
        <w:pageBreakBefore w:val="0"/>
        <w:widowControl w:val="0"/>
        <w:numPr>
          <w:ilvl w:val="0"/>
          <w:numId w:val="0"/>
        </w:numPr>
        <w:kinsoku/>
        <w:wordWrap/>
        <w:overflowPunct/>
        <w:topLinePunct w:val="0"/>
        <w:autoSpaceDE/>
        <w:bidi w:val="0"/>
        <w:adjustRightInd/>
        <w:snapToGrid/>
        <w:spacing w:line="600" w:lineRule="exact"/>
        <w:ind w:firstLine="643" w:firstLineChars="200"/>
        <w:jc w:val="left"/>
        <w:textAlignment w:val="auto"/>
        <w:rPr>
          <w:rFonts w:hint="eastAsia" w:ascii="仿宋_GB2312" w:hAnsi="仿宋_GB2312" w:eastAsia="仿宋_GB2312" w:cs="仿宋_GB2312"/>
          <w:color w:val="auto"/>
          <w:sz w:val="32"/>
          <w:szCs w:val="32"/>
        </w:rPr>
      </w:pPr>
      <w:r>
        <w:rPr>
          <w:rFonts w:hint="eastAsia" w:ascii="楷体_GB2312" w:hAnsi="楷体_GB2312" w:eastAsia="楷体_GB2312" w:cs="楷体_GB2312"/>
          <w:b/>
          <w:bCs/>
          <w:color w:val="auto"/>
          <w:sz w:val="32"/>
          <w:szCs w:val="32"/>
          <w:lang w:val="en-US" w:eastAsia="zh-CN"/>
        </w:rPr>
        <w:t>3.深化医药卫生体制改革。</w:t>
      </w:r>
      <w:r>
        <w:rPr>
          <w:rFonts w:hint="eastAsia" w:ascii="仿宋_GB2312" w:hAnsi="仿宋_GB2312" w:eastAsia="仿宋_GB2312" w:cs="仿宋_GB2312"/>
          <w:b/>
          <w:bCs/>
          <w:color w:val="auto"/>
          <w:sz w:val="32"/>
          <w:szCs w:val="32"/>
          <w:lang w:val="en-US" w:eastAsia="zh-CN"/>
        </w:rPr>
        <w:t>构建有序的就医和诊疗新格局，</w:t>
      </w:r>
      <w:r>
        <w:rPr>
          <w:rFonts w:hint="eastAsia" w:ascii="仿宋_GB2312" w:hAnsi="仿宋_GB2312" w:eastAsia="仿宋_GB2312" w:cs="仿宋_GB2312"/>
          <w:color w:val="auto"/>
          <w:sz w:val="32"/>
          <w:szCs w:val="32"/>
          <w:lang w:val="en-US" w:eastAsia="zh-CN"/>
        </w:rPr>
        <w:t>推进全区紧密型医共体建设。成立医管委，制定方案组建永州市第四人民医院医</w:t>
      </w:r>
      <w:r>
        <w:rPr>
          <w:rFonts w:hint="eastAsia" w:ascii="仿宋_GB2312" w:hAnsi="仿宋_GB2312" w:eastAsia="仿宋_GB2312" w:cs="仿宋_GB2312"/>
          <w:color w:val="auto"/>
          <w:sz w:val="32"/>
          <w:szCs w:val="32"/>
          <w:lang w:eastAsia="zh-CN"/>
        </w:rPr>
        <w:t>共体和区中医医院医共体</w:t>
      </w:r>
      <w:r>
        <w:rPr>
          <w:rFonts w:hint="eastAsia" w:ascii="仿宋_GB2312" w:hAnsi="仿宋_GB2312" w:eastAsia="仿宋_GB2312" w:cs="仿宋_GB2312"/>
          <w:color w:val="auto"/>
          <w:sz w:val="32"/>
          <w:szCs w:val="32"/>
          <w:lang w:val="en-US" w:eastAsia="zh-CN"/>
        </w:rPr>
        <w:t>两个</w:t>
      </w:r>
      <w:r>
        <w:rPr>
          <w:rFonts w:hint="eastAsia" w:ascii="仿宋_GB2312" w:hAnsi="仿宋_GB2312" w:eastAsia="仿宋_GB2312" w:cs="仿宋_GB2312"/>
          <w:color w:val="auto"/>
          <w:sz w:val="32"/>
          <w:szCs w:val="32"/>
          <w:lang w:eastAsia="zh-CN"/>
        </w:rPr>
        <w:t>紧密型</w:t>
      </w:r>
      <w:r>
        <w:rPr>
          <w:rFonts w:hint="eastAsia" w:ascii="仿宋_GB2312" w:hAnsi="仿宋_GB2312" w:eastAsia="仿宋_GB2312" w:cs="仿宋_GB2312"/>
          <w:color w:val="auto"/>
          <w:sz w:val="32"/>
          <w:szCs w:val="32"/>
        </w:rPr>
        <w:t>医共体</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设立了医共体内部运营机构（“二室六部”），</w:t>
      </w:r>
      <w:r>
        <w:rPr>
          <w:rFonts w:hint="eastAsia" w:ascii="仿宋_GB2312" w:hAnsi="仿宋_GB2312" w:eastAsia="仿宋_GB2312" w:cs="仿宋_GB2312"/>
          <w:b w:val="0"/>
          <w:bCs w:val="0"/>
          <w:i w:val="0"/>
          <w:iCs w:val="0"/>
          <w:caps w:val="0"/>
          <w:color w:val="auto"/>
          <w:spacing w:val="0"/>
          <w:sz w:val="32"/>
          <w:szCs w:val="32"/>
          <w:vertAlign w:val="baseline"/>
          <w:lang w:val="en-US" w:eastAsia="zh-CN"/>
        </w:rPr>
        <w:t>全面开展紧密型医共体建设。</w:t>
      </w:r>
      <w:r>
        <w:rPr>
          <w:rFonts w:hint="eastAsia" w:ascii="仿宋_GB2312" w:hAnsi="仿宋_GB2312" w:eastAsia="仿宋_GB2312" w:cs="仿宋_GB2312"/>
          <w:color w:val="auto"/>
          <w:sz w:val="32"/>
          <w:szCs w:val="32"/>
        </w:rPr>
        <w:t>扶持临床重点学科，2022年区财政从基层卫生院收入调控资金中安排一定的资金予以支持专科建设（创建国家重点专科奖300万元，省级重点专科奖200万元，市级重点专科奖100万元）</w:t>
      </w: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val="0"/>
          <w:bCs w:val="0"/>
          <w:color w:val="auto"/>
          <w:sz w:val="32"/>
          <w:szCs w:val="32"/>
          <w:lang w:eastAsia="zh-CN"/>
        </w:rPr>
        <w:t>永州市第四人民医院和区中医院积极开展三级医院创建，获市卫健委审批同意。</w:t>
      </w:r>
      <w:r>
        <w:rPr>
          <w:rFonts w:hint="eastAsia" w:ascii="仿宋_GB2312" w:hAnsi="仿宋_GB2312" w:eastAsia="仿宋_GB2312" w:cs="仿宋_GB2312"/>
          <w:b/>
          <w:bCs/>
          <w:color w:val="auto"/>
          <w:sz w:val="32"/>
          <w:szCs w:val="32"/>
          <w:lang w:val="en-US" w:eastAsia="zh-CN"/>
        </w:rPr>
        <w:t>加强基层卫生高质量发展。</w:t>
      </w:r>
      <w:r>
        <w:rPr>
          <w:rFonts w:hint="eastAsia" w:ascii="仿宋_GB2312" w:hAnsi="仿宋_GB2312" w:eastAsia="仿宋_GB2312" w:cs="仿宋_GB2312"/>
          <w:b w:val="0"/>
          <w:bCs w:val="0"/>
          <w:color w:val="auto"/>
          <w:sz w:val="32"/>
          <w:szCs w:val="32"/>
          <w:lang w:val="en-US" w:eastAsia="zh-CN"/>
        </w:rPr>
        <w:t>2022年基层医疗机构开展2个特色专科创建工作，珠山中心卫生院的尘肺病康复工作站已通过验收，邮亭圩中心卫生院的疼痛科已建成投入使用。</w:t>
      </w:r>
    </w:p>
    <w:p>
      <w:pPr>
        <w:keepNext w:val="0"/>
        <w:keepLines w:val="0"/>
        <w:pageBreakBefore w:val="0"/>
        <w:widowControl w:val="0"/>
        <w:numPr>
          <w:ilvl w:val="0"/>
          <w:numId w:val="0"/>
        </w:numPr>
        <w:pBdr>
          <w:bottom w:val="none" w:color="CCCCCC" w:sz="0" w:space="30"/>
        </w:pBdr>
        <w:kinsoku/>
        <w:wordWrap/>
        <w:overflowPunct/>
        <w:topLinePunct w:val="0"/>
        <w:autoSpaceDE/>
        <w:autoSpaceDN w:val="0"/>
        <w:bidi w:val="0"/>
        <w:adjustRightInd/>
        <w:snapToGrid/>
        <w:spacing w:beforeAutospacing="0" w:afterAutospacing="0" w:line="600" w:lineRule="exact"/>
        <w:ind w:right="0" w:rightChars="0" w:firstLine="643" w:firstLineChars="200"/>
        <w:jc w:val="both"/>
        <w:textAlignment w:val="auto"/>
        <w:outlineLvl w:val="9"/>
        <w:rPr>
          <w:rFonts w:hint="eastAsia" w:ascii="仿宋_GB2312" w:hAnsi="仿宋_GB2312" w:eastAsia="仿宋_GB2312" w:cs="仿宋_GB2312"/>
          <w:b w:val="0"/>
          <w:bCs w:val="0"/>
          <w:color w:val="auto"/>
          <w:kern w:val="0"/>
          <w:sz w:val="32"/>
          <w:szCs w:val="32"/>
          <w:lang w:val="en-US" w:eastAsia="zh-CN" w:bidi="ar-SA"/>
        </w:rPr>
      </w:pPr>
      <w:r>
        <w:rPr>
          <w:rFonts w:hint="eastAsia" w:ascii="楷体_GB2312" w:hAnsi="楷体_GB2312" w:eastAsia="楷体_GB2312" w:cs="楷体_GB2312"/>
          <w:b/>
          <w:bCs/>
          <w:color w:val="auto"/>
          <w:sz w:val="32"/>
          <w:szCs w:val="32"/>
          <w:lang w:val="en-US" w:eastAsia="zh-CN"/>
        </w:rPr>
        <w:t>4.卫生人才队伍建设进一步优化。</w:t>
      </w:r>
      <w:r>
        <w:rPr>
          <w:rFonts w:hint="eastAsia" w:ascii="仿宋_GB2312" w:hAnsi="仿宋_GB2312" w:eastAsia="仿宋_GB2312" w:cs="仿宋_GB2312"/>
          <w:b w:val="0"/>
          <w:bCs w:val="0"/>
          <w:color w:val="auto"/>
          <w:kern w:val="0"/>
          <w:sz w:val="32"/>
          <w:szCs w:val="32"/>
          <w:lang w:val="en-US" w:eastAsia="zh-CN" w:bidi="ar-SA"/>
        </w:rPr>
        <w:t>全区现有</w:t>
      </w:r>
      <w:r>
        <w:rPr>
          <w:rFonts w:hint="eastAsia" w:ascii="仿宋_GB2312" w:hAnsi="仿宋_GB2312" w:eastAsia="仿宋_GB2312" w:cs="仿宋_GB2312"/>
          <w:b w:val="0"/>
          <w:bCs w:val="0"/>
          <w:color w:val="auto"/>
          <w:sz w:val="32"/>
          <w:szCs w:val="32"/>
          <w:lang w:val="en-US" w:eastAsia="zh-CN"/>
        </w:rPr>
        <w:t>中医执业（含助理）医师183名，中医执业护士23名。</w:t>
      </w:r>
      <w:r>
        <w:rPr>
          <w:rFonts w:hint="eastAsia" w:ascii="仿宋_GB2312" w:hAnsi="仿宋_GB2312" w:eastAsia="仿宋_GB2312" w:cs="仿宋_GB2312"/>
          <w:b w:val="0"/>
          <w:bCs w:val="0"/>
          <w:color w:val="auto"/>
          <w:kern w:val="0"/>
          <w:sz w:val="32"/>
          <w:szCs w:val="32"/>
          <w:lang w:val="en-US" w:eastAsia="zh-CN" w:bidi="ar-SA"/>
        </w:rPr>
        <w:t>现基层医疗卫生机构有全科医生140人，已注册140人，注册率为100%。2022年农村定向免费本科医学生培训计划8名，2022年农医特岗生培训计划20名。2022年开展“5.12”国际护士节表彰活动，共表彰“优质护理服务先进科室”6个，“优秀护理管理者”6名，“优秀护士”37名。开展“8.19”中国医师节表彰大会，共表彰“名院长”3名、“名医生”5名、“名护士”5名以及“好院长”3名、“好医生”33名、“好护士”37名。</w:t>
      </w:r>
    </w:p>
    <w:p>
      <w:pPr>
        <w:keepNext w:val="0"/>
        <w:keepLines w:val="0"/>
        <w:pageBreakBefore w:val="0"/>
        <w:widowControl w:val="0"/>
        <w:numPr>
          <w:ilvl w:val="0"/>
          <w:numId w:val="0"/>
        </w:numPr>
        <w:pBdr>
          <w:bottom w:val="none" w:color="CCCCCC" w:sz="0" w:space="30"/>
        </w:pBdr>
        <w:kinsoku/>
        <w:wordWrap/>
        <w:overflowPunct/>
        <w:topLinePunct w:val="0"/>
        <w:autoSpaceDE/>
        <w:autoSpaceDN w:val="0"/>
        <w:bidi w:val="0"/>
        <w:adjustRightInd/>
        <w:snapToGrid/>
        <w:spacing w:beforeAutospacing="0" w:afterAutospacing="0" w:line="600" w:lineRule="exact"/>
        <w:ind w:leftChars="0" w:right="0" w:rightChars="0" w:firstLine="643" w:firstLineChars="200"/>
        <w:jc w:val="both"/>
        <w:textAlignment w:val="auto"/>
        <w:outlineLvl w:val="9"/>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楷体_GB2312" w:hAnsi="楷体_GB2312" w:eastAsia="楷体_GB2312" w:cs="楷体_GB2312"/>
          <w:b/>
          <w:bCs/>
          <w:color w:val="auto"/>
          <w:sz w:val="32"/>
          <w:szCs w:val="32"/>
          <w:lang w:val="en-US" w:eastAsia="zh-CN"/>
        </w:rPr>
        <w:t>5.重点民生实事得到有效落实。</w:t>
      </w:r>
      <w:r>
        <w:rPr>
          <w:rFonts w:hint="eastAsia" w:ascii="仿宋_GB2312" w:hAnsi="仿宋_GB2312" w:eastAsia="仿宋_GB2312" w:cs="仿宋_GB2312"/>
          <w:i w:val="0"/>
          <w:iCs w:val="0"/>
          <w:caps w:val="0"/>
          <w:color w:val="auto"/>
          <w:spacing w:val="0"/>
          <w:sz w:val="32"/>
          <w:szCs w:val="32"/>
          <w:shd w:val="clear" w:color="auto" w:fill="FFFFFF"/>
        </w:rPr>
        <w:t>根据省、市政府的统一部署和安排，</w:t>
      </w:r>
      <w:r>
        <w:rPr>
          <w:rFonts w:hint="eastAsia" w:ascii="仿宋_GB2312" w:hAnsi="仿宋_GB2312" w:eastAsia="仿宋_GB2312" w:cs="仿宋_GB2312"/>
          <w:i w:val="0"/>
          <w:iCs w:val="0"/>
          <w:caps w:val="0"/>
          <w:color w:val="auto"/>
          <w:spacing w:val="0"/>
          <w:sz w:val="32"/>
          <w:szCs w:val="32"/>
          <w:shd w:val="clear" w:color="auto" w:fill="FFFFFF"/>
          <w:lang w:val="en-US" w:eastAsia="zh-CN"/>
        </w:rPr>
        <w:t>区卫健局承担的重点民生实事项目共4项，</w:t>
      </w:r>
      <w:r>
        <w:rPr>
          <w:rFonts w:hint="eastAsia" w:ascii="仿宋_GB2312" w:hAnsi="仿宋_GB2312" w:eastAsia="仿宋_GB2312" w:cs="仿宋_GB2312"/>
          <w:color w:val="auto"/>
          <w:kern w:val="2"/>
          <w:sz w:val="32"/>
          <w:szCs w:val="32"/>
          <w:highlight w:val="none"/>
          <w:lang w:val="en-US" w:eastAsia="zh-CN" w:bidi="ar-SA"/>
        </w:rPr>
        <w:t>孕产妇免费产前筛查任务数2400人，已完成筛查2463人，完成率为102.63%。新生儿先天性心脏病免费筛查任务数为2400人，已完成筛查2446人，完成率为101.92%。农村适龄和城镇低保适龄妇女“两癌”筛查目标任务数12000人，已完成筛查12001人，完成率为100%。65岁以上老年人免费体检49350人，已完成65岁以上老年人免费健康体检49351人，完成率100%。</w:t>
      </w:r>
    </w:p>
    <w:p>
      <w:pPr>
        <w:keepNext w:val="0"/>
        <w:keepLines w:val="0"/>
        <w:pageBreakBefore w:val="0"/>
        <w:widowControl w:val="0"/>
        <w:numPr>
          <w:ilvl w:val="0"/>
          <w:numId w:val="0"/>
        </w:numPr>
        <w:pBdr>
          <w:bottom w:val="none" w:color="CCCCCC" w:sz="0" w:space="30"/>
        </w:pBdr>
        <w:kinsoku/>
        <w:wordWrap/>
        <w:overflowPunct/>
        <w:topLinePunct w:val="0"/>
        <w:autoSpaceDE/>
        <w:autoSpaceDN w:val="0"/>
        <w:bidi w:val="0"/>
        <w:adjustRightInd/>
        <w:snapToGrid/>
        <w:spacing w:beforeAutospacing="0" w:afterAutospacing="0" w:line="600" w:lineRule="exact"/>
        <w:ind w:leftChars="0" w:right="0" w:rightChars="0" w:firstLine="643"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b/>
          <w:bCs/>
          <w:color w:val="auto"/>
          <w:sz w:val="32"/>
          <w:szCs w:val="32"/>
          <w:lang w:val="en-US" w:eastAsia="zh-CN"/>
        </w:rPr>
        <w:t>6.中医药事业创新发展。</w:t>
      </w:r>
      <w:r>
        <w:rPr>
          <w:rFonts w:hint="eastAsia" w:ascii="仿宋_GB2312" w:hAnsi="仿宋_GB2312" w:eastAsia="仿宋_GB2312" w:cs="仿宋_GB2312"/>
          <w:b w:val="0"/>
          <w:bCs w:val="0"/>
          <w:color w:val="auto"/>
          <w:kern w:val="0"/>
          <w:sz w:val="32"/>
          <w:szCs w:val="32"/>
          <w:lang w:val="en-US" w:eastAsia="zh-CN" w:bidi="ar-SA"/>
        </w:rPr>
        <w:t>以零陵区中医医院为龙头，大力提升中医药服务能力。</w:t>
      </w:r>
      <w:r>
        <w:rPr>
          <w:rFonts w:hint="eastAsia" w:ascii="仿宋_GB2312" w:hAnsi="仿宋_GB2312" w:eastAsia="仿宋_GB2312" w:cs="仿宋_GB2312"/>
          <w:color w:val="auto"/>
          <w:kern w:val="2"/>
          <w:sz w:val="32"/>
          <w:szCs w:val="32"/>
          <w:lang w:val="en-US" w:eastAsia="zh-CN" w:bidi="ar-SA"/>
        </w:rPr>
        <w:t>区中医医院零陵卷烟厂分院改扩建项目于2022年1月17日正式投入使用,总投资1500万元，新增床位70张，主要满足社区便捷就医和医养服务。</w:t>
      </w:r>
      <w:r>
        <w:rPr>
          <w:rFonts w:hint="eastAsia" w:ascii="仿宋_GB2312" w:hAnsi="仿宋_GB2312" w:eastAsia="仿宋_GB2312" w:cs="仿宋_GB2312"/>
          <w:b w:val="0"/>
          <w:bCs w:val="0"/>
          <w:color w:val="auto"/>
          <w:kern w:val="0"/>
          <w:sz w:val="32"/>
          <w:szCs w:val="32"/>
          <w:lang w:val="en-US" w:eastAsia="zh-CN" w:bidi="ar-SA"/>
        </w:rPr>
        <w:t>鼓励社会力量举办中医医疗机构，截止2022年12月底，零陵区辖区内共有中医类民营医院1家，中医类诊所36家。持续推进基层中医药人才培养</w:t>
      </w:r>
      <w:r>
        <w:rPr>
          <w:rFonts w:hint="eastAsia" w:ascii="仿宋_GB2312" w:hAnsi="仿宋_GB2312" w:eastAsia="仿宋_GB2312" w:cs="仿宋_GB2312"/>
          <w:color w:val="auto"/>
          <w:sz w:val="32"/>
          <w:szCs w:val="32"/>
          <w:lang w:val="en-US" w:eastAsia="zh-CN"/>
        </w:rPr>
        <w:t>。</w:t>
      </w:r>
    </w:p>
    <w:p>
      <w:pPr>
        <w:keepNext w:val="0"/>
        <w:keepLines w:val="0"/>
        <w:pageBreakBefore w:val="0"/>
        <w:widowControl w:val="0"/>
        <w:numPr>
          <w:ilvl w:val="0"/>
          <w:numId w:val="0"/>
        </w:numPr>
        <w:pBdr>
          <w:bottom w:val="none" w:color="CCCCCC" w:sz="0" w:space="30"/>
        </w:pBdr>
        <w:kinsoku/>
        <w:wordWrap/>
        <w:overflowPunct/>
        <w:topLinePunct w:val="0"/>
        <w:autoSpaceDE/>
        <w:autoSpaceDN w:val="0"/>
        <w:bidi w:val="0"/>
        <w:adjustRightInd/>
        <w:snapToGrid/>
        <w:spacing w:beforeAutospacing="0" w:afterAutospacing="0" w:line="600" w:lineRule="exact"/>
        <w:ind w:leftChars="0" w:right="0" w:rightChars="0" w:firstLine="640" w:firstLineChars="200"/>
        <w:jc w:val="both"/>
        <w:textAlignment w:val="auto"/>
        <w:outlineLvl w:val="9"/>
        <w:rPr>
          <w:rFonts w:ascii="Times New Roman" w:hAnsi="Times New Roman" w:eastAsia="黑体"/>
          <w:sz w:val="32"/>
          <w:szCs w:val="32"/>
        </w:rPr>
      </w:pPr>
      <w:r>
        <w:rPr>
          <w:rFonts w:ascii="Times New Roman" w:hAnsi="Times New Roman" w:eastAsia="黑体"/>
          <w:sz w:val="32"/>
          <w:szCs w:val="32"/>
        </w:rPr>
        <w:t>七、存在的问题及原因分析</w:t>
      </w:r>
    </w:p>
    <w:p>
      <w:pPr>
        <w:spacing w:line="600" w:lineRule="exact"/>
        <w:ind w:rightChars="-31" w:firstLine="420" w:firstLineChars="200"/>
        <w:rPr>
          <w:rFonts w:hint="eastAsia" w:ascii="仿宋" w:hAnsi="仿宋" w:eastAsia="仿宋" w:cs="仿宋"/>
          <w:b w:val="0"/>
          <w:bCs/>
          <w:sz w:val="32"/>
          <w:szCs w:val="32"/>
          <w:lang w:eastAsia="zh-CN"/>
        </w:rPr>
      </w:pPr>
      <w:r>
        <w:rPr>
          <w:rFonts w:hint="eastAsia"/>
          <w:lang w:val="en-US" w:eastAsia="zh-CN"/>
        </w:rPr>
        <w:t xml:space="preserve">  </w:t>
      </w:r>
      <w:r>
        <w:rPr>
          <w:rFonts w:hint="eastAsia" w:ascii="仿宋" w:hAnsi="仿宋" w:eastAsia="仿宋" w:cs="仿宋"/>
          <w:b w:val="0"/>
          <w:bCs/>
          <w:sz w:val="32"/>
          <w:szCs w:val="32"/>
          <w:lang w:eastAsia="zh-CN"/>
        </w:rPr>
        <w:t>（一）由于</w:t>
      </w:r>
      <w:r>
        <w:rPr>
          <w:rFonts w:hint="eastAsia" w:ascii="仿宋" w:hAnsi="仿宋" w:eastAsia="仿宋" w:cs="仿宋"/>
          <w:b w:val="0"/>
          <w:bCs/>
          <w:sz w:val="32"/>
          <w:szCs w:val="32"/>
          <w:lang w:val="en-US" w:eastAsia="zh-CN"/>
        </w:rPr>
        <w:t>两扶、独生子女父母奖励、独生子女保健费等民生项目扶助对象的浮动性，</w:t>
      </w:r>
      <w:r>
        <w:rPr>
          <w:rFonts w:hint="eastAsia" w:ascii="仿宋" w:hAnsi="仿宋" w:eastAsia="仿宋" w:cs="仿宋"/>
          <w:b w:val="0"/>
          <w:bCs/>
          <w:sz w:val="32"/>
          <w:szCs w:val="32"/>
          <w:lang w:eastAsia="zh-CN"/>
        </w:rPr>
        <w:t>编制预算时难以精确预计，导致预算执行中存在偏差。</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right="0" w:firstLine="640" w:firstLineChars="200"/>
        <w:jc w:val="both"/>
        <w:rPr>
          <w:rFonts w:hint="eastAsia" w:ascii="仿宋" w:hAnsi="仿宋" w:eastAsia="仿宋" w:cs="仿宋"/>
          <w:b w:val="0"/>
          <w:bCs/>
          <w:kern w:val="2"/>
          <w:sz w:val="32"/>
          <w:szCs w:val="32"/>
          <w:lang w:val="en-US" w:eastAsia="zh-CN" w:bidi="ar-SA"/>
        </w:rPr>
      </w:pPr>
      <w:r>
        <w:rPr>
          <w:rFonts w:hint="eastAsia" w:ascii="仿宋" w:hAnsi="仿宋" w:eastAsia="仿宋" w:cs="仿宋"/>
          <w:b w:val="0"/>
          <w:bCs/>
          <w:kern w:val="2"/>
          <w:sz w:val="32"/>
          <w:szCs w:val="32"/>
          <w:lang w:val="en-US" w:eastAsia="zh-CN" w:bidi="ar-SA"/>
        </w:rPr>
        <w:t>（二）、预算绩效工作有待提高，预算绩效目标编制的规范性、合理性、科学性有待提升。</w:t>
      </w:r>
    </w:p>
    <w:p>
      <w:pPr>
        <w:spacing w:line="600" w:lineRule="exact"/>
        <w:ind w:firstLine="640" w:firstLineChars="200"/>
        <w:rPr>
          <w:rFonts w:eastAsia="黑体"/>
          <w:sz w:val="32"/>
          <w:szCs w:val="32"/>
        </w:rPr>
      </w:pPr>
      <w:r>
        <w:rPr>
          <w:rFonts w:eastAsia="黑体"/>
          <w:sz w:val="32"/>
          <w:szCs w:val="32"/>
        </w:rPr>
        <w:t>八、下一步改进措施</w:t>
      </w:r>
    </w:p>
    <w:p>
      <w:pPr>
        <w:spacing w:line="600" w:lineRule="exact"/>
        <w:ind w:rightChars="-31" w:firstLine="640" w:firstLineChars="200"/>
        <w:rPr>
          <w:rFonts w:hint="default"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（一）</w:t>
      </w:r>
      <w:r>
        <w:rPr>
          <w:rFonts w:hint="eastAsia" w:ascii="仿宋" w:hAnsi="仿宋" w:eastAsia="仿宋" w:cs="仿宋"/>
          <w:b w:val="0"/>
          <w:bCs/>
          <w:sz w:val="32"/>
          <w:szCs w:val="32"/>
          <w:lang w:eastAsia="zh-CN"/>
        </w:rPr>
        <w:t>科学编制预算，提高预算准确率</w:t>
      </w:r>
    </w:p>
    <w:p>
      <w:pPr>
        <w:spacing w:line="600" w:lineRule="exact"/>
        <w:ind w:rightChars="-31" w:firstLine="640" w:firstLineChars="200"/>
        <w:rPr>
          <w:rFonts w:hint="default" w:ascii="仿宋" w:hAnsi="仿宋" w:eastAsia="仿宋" w:cs="仿宋"/>
          <w:b w:val="0"/>
          <w:bCs/>
          <w:sz w:val="32"/>
          <w:szCs w:val="32"/>
          <w:lang w:eastAsia="zh-CN"/>
        </w:rPr>
      </w:pPr>
      <w:r>
        <w:rPr>
          <w:rFonts w:hint="eastAsia" w:ascii="仿宋" w:hAnsi="仿宋" w:eastAsia="仿宋" w:cs="仿宋"/>
          <w:b w:val="0"/>
          <w:bCs/>
          <w:sz w:val="32"/>
          <w:szCs w:val="32"/>
          <w:lang w:val="en-US" w:eastAsia="zh-CN"/>
        </w:rPr>
        <w:t>（二）</w:t>
      </w:r>
      <w:r>
        <w:rPr>
          <w:rFonts w:hint="eastAsia" w:ascii="仿宋" w:hAnsi="仿宋" w:eastAsia="仿宋" w:cs="仿宋"/>
          <w:b w:val="0"/>
          <w:bCs/>
          <w:sz w:val="32"/>
          <w:szCs w:val="32"/>
          <w:lang w:eastAsia="zh-CN"/>
        </w:rPr>
        <w:t>按照财政部门的要求，同部开展预算绩效管理工作，加强业务知识学习，提升预算绩效目标编制的规范性、合理性、科学性。</w:t>
      </w:r>
    </w:p>
    <w:p>
      <w:pPr>
        <w:spacing w:line="600" w:lineRule="exact"/>
        <w:ind w:firstLine="640" w:firstLineChars="200"/>
        <w:rPr>
          <w:rFonts w:eastAsia="黑体"/>
          <w:sz w:val="32"/>
          <w:szCs w:val="32"/>
        </w:rPr>
      </w:pPr>
      <w:r>
        <w:rPr>
          <w:rFonts w:eastAsia="黑体"/>
          <w:sz w:val="32"/>
          <w:szCs w:val="32"/>
        </w:rPr>
        <w:t>九、绩效自评结果拟应用和公开情况</w:t>
      </w:r>
    </w:p>
    <w:p>
      <w:pPr>
        <w:spacing w:line="600" w:lineRule="exact"/>
        <w:ind w:rightChars="-31" w:firstLine="640" w:firstLineChars="200"/>
        <w:rPr>
          <w:rFonts w:hint="default"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我局将根据绩效自评结果，对照绩效目标完成情况，健全和完善相关政策制度，认真完成各项工作任务，提高社会各界的满意度。自评结果按规定在我局部门网站公开。</w:t>
      </w:r>
    </w:p>
    <w:p>
      <w:pPr>
        <w:spacing w:line="600" w:lineRule="exact"/>
        <w:ind w:firstLine="640" w:firstLineChars="200"/>
        <w:rPr>
          <w:rFonts w:eastAsia="黑体"/>
          <w:sz w:val="32"/>
          <w:szCs w:val="32"/>
        </w:rPr>
      </w:pPr>
      <w:r>
        <w:rPr>
          <w:rFonts w:hint="eastAsia" w:eastAsia="黑体"/>
          <w:sz w:val="32"/>
          <w:szCs w:val="32"/>
          <w:lang w:eastAsia="zh-CN"/>
        </w:rPr>
        <w:t>十、</w:t>
      </w:r>
      <w:r>
        <w:rPr>
          <w:rFonts w:eastAsia="黑体"/>
          <w:sz w:val="32"/>
          <w:szCs w:val="32"/>
        </w:rPr>
        <w:t>其他需要说明的情况</w:t>
      </w:r>
    </w:p>
    <w:p>
      <w:pPr>
        <w:rPr>
          <w:rFonts w:hint="eastAsia" w:ascii="仿宋" w:hAnsi="仿宋" w:eastAsia="仿宋" w:cs="仿宋"/>
          <w:b w:val="0"/>
          <w:bCs/>
          <w:sz w:val="32"/>
          <w:szCs w:val="32"/>
          <w:lang w:val="en-US" w:eastAsia="zh-CN"/>
        </w:rPr>
      </w:pPr>
      <w:r>
        <w:rPr>
          <w:rFonts w:hint="eastAsia"/>
          <w:lang w:val="en-US" w:eastAsia="zh-CN"/>
        </w:rPr>
        <w:t xml:space="preserve">      </w:t>
      </w:r>
      <w:r>
        <w:rPr>
          <w:rFonts w:hint="eastAsia" w:ascii="仿宋" w:hAnsi="仿宋" w:eastAsia="仿宋" w:cs="仿宋"/>
          <w:b w:val="0"/>
          <w:bCs/>
          <w:sz w:val="32"/>
          <w:szCs w:val="32"/>
          <w:lang w:val="en-US" w:eastAsia="zh-CN"/>
        </w:rPr>
        <w:t>无</w:t>
      </w:r>
    </w:p>
    <w:p>
      <w:pPr>
        <w:pStyle w:val="2"/>
        <w:rPr>
          <w:rFonts w:hint="eastAsia" w:ascii="仿宋" w:hAnsi="仿宋" w:eastAsia="仿宋" w:cs="仿宋"/>
          <w:b w:val="0"/>
          <w:bCs/>
          <w:sz w:val="32"/>
          <w:szCs w:val="32"/>
          <w:lang w:val="en-US" w:eastAsia="zh-CN"/>
        </w:rPr>
      </w:pPr>
    </w:p>
    <w:p>
      <w:pPr>
        <w:pStyle w:val="2"/>
        <w:rPr>
          <w:rFonts w:hint="eastAsia" w:ascii="仿宋" w:hAnsi="仿宋" w:eastAsia="仿宋" w:cs="仿宋"/>
          <w:b w:val="0"/>
          <w:bCs/>
          <w:sz w:val="32"/>
          <w:szCs w:val="32"/>
          <w:lang w:val="en-US" w:eastAsia="zh-CN"/>
        </w:rPr>
      </w:pPr>
    </w:p>
    <w:p>
      <w:pPr>
        <w:pStyle w:val="2"/>
        <w:rPr>
          <w:rFonts w:hint="eastAsia" w:ascii="仿宋" w:hAnsi="仿宋" w:eastAsia="仿宋" w:cs="仿宋"/>
          <w:b w:val="0"/>
          <w:bCs/>
          <w:sz w:val="32"/>
          <w:szCs w:val="32"/>
          <w:lang w:val="en-US" w:eastAsia="zh-CN"/>
        </w:rPr>
      </w:pPr>
    </w:p>
    <w:p>
      <w:pPr>
        <w:pStyle w:val="2"/>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 xml:space="preserve">                       零陵区卫生健康局</w:t>
      </w:r>
    </w:p>
    <w:p>
      <w:pPr>
        <w:pStyle w:val="2"/>
        <w:rPr>
          <w:rFonts w:hint="default"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 xml:space="preserve">                        2023年3月10日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09D829"/>
    <w:multiLevelType w:val="singleLevel"/>
    <w:tmpl w:val="AD09D829"/>
    <w:lvl w:ilvl="0" w:tentative="0">
      <w:start w:val="2"/>
      <w:numFmt w:val="decimal"/>
      <w:suff w:val="nothing"/>
      <w:lvlText w:val="（%1）"/>
      <w:lvlJc w:val="left"/>
    </w:lvl>
  </w:abstractNum>
  <w:abstractNum w:abstractNumId="1">
    <w:nsid w:val="F321514A"/>
    <w:multiLevelType w:val="singleLevel"/>
    <w:tmpl w:val="F321514A"/>
    <w:lvl w:ilvl="0" w:tentative="0">
      <w:start w:val="12"/>
      <w:numFmt w:val="decimal"/>
      <w:suff w:val="nothing"/>
      <w:lvlText w:val="（%1）"/>
      <w:lvlJc w:val="left"/>
    </w:lvl>
  </w:abstractNum>
  <w:abstractNum w:abstractNumId="2">
    <w:nsid w:val="18333214"/>
    <w:multiLevelType w:val="singleLevel"/>
    <w:tmpl w:val="18333214"/>
    <w:lvl w:ilvl="0" w:tentative="0">
      <w:start w:val="3"/>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yOTNkZjEwNjI0ZjA1YmRhYTg2M2Y0M2Y0NGJhMzkifQ=="/>
  </w:docVars>
  <w:rsids>
    <w:rsidRoot w:val="00000000"/>
    <w:rsid w:val="00FE4037"/>
    <w:rsid w:val="01241D66"/>
    <w:rsid w:val="021678B4"/>
    <w:rsid w:val="038B6A07"/>
    <w:rsid w:val="03A52548"/>
    <w:rsid w:val="049A7BD3"/>
    <w:rsid w:val="04F76DD4"/>
    <w:rsid w:val="06732DD2"/>
    <w:rsid w:val="08234384"/>
    <w:rsid w:val="09DF42DA"/>
    <w:rsid w:val="0A717628"/>
    <w:rsid w:val="0AAB6B91"/>
    <w:rsid w:val="0BC67500"/>
    <w:rsid w:val="0CC779D3"/>
    <w:rsid w:val="0D132C19"/>
    <w:rsid w:val="0D1A4764"/>
    <w:rsid w:val="0DDF0D4D"/>
    <w:rsid w:val="0E124C7E"/>
    <w:rsid w:val="10544545"/>
    <w:rsid w:val="10F42D61"/>
    <w:rsid w:val="11E81936"/>
    <w:rsid w:val="16C81358"/>
    <w:rsid w:val="17033CFE"/>
    <w:rsid w:val="17B62B1E"/>
    <w:rsid w:val="19744A3F"/>
    <w:rsid w:val="1A587EBD"/>
    <w:rsid w:val="1AE03EC5"/>
    <w:rsid w:val="1B866CAC"/>
    <w:rsid w:val="1BB05AD7"/>
    <w:rsid w:val="1BBE6445"/>
    <w:rsid w:val="1C13053F"/>
    <w:rsid w:val="1D7768AC"/>
    <w:rsid w:val="1DF42728"/>
    <w:rsid w:val="1F8F4381"/>
    <w:rsid w:val="20020FF7"/>
    <w:rsid w:val="22A238FE"/>
    <w:rsid w:val="22C87CCC"/>
    <w:rsid w:val="23F0560A"/>
    <w:rsid w:val="24BB79C6"/>
    <w:rsid w:val="25AE3087"/>
    <w:rsid w:val="26CF7759"/>
    <w:rsid w:val="277F5561"/>
    <w:rsid w:val="28094EEC"/>
    <w:rsid w:val="29C76E0D"/>
    <w:rsid w:val="2A5266D7"/>
    <w:rsid w:val="2CAA39BD"/>
    <w:rsid w:val="2DCD2787"/>
    <w:rsid w:val="2E8C7883"/>
    <w:rsid w:val="2EFD78EB"/>
    <w:rsid w:val="30352B2E"/>
    <w:rsid w:val="30DD2A72"/>
    <w:rsid w:val="317F1D7B"/>
    <w:rsid w:val="33DF0372"/>
    <w:rsid w:val="35A428FB"/>
    <w:rsid w:val="37C73F02"/>
    <w:rsid w:val="391F00CC"/>
    <w:rsid w:val="3BBB1CFC"/>
    <w:rsid w:val="3CCC57A3"/>
    <w:rsid w:val="448E6105"/>
    <w:rsid w:val="45444CD8"/>
    <w:rsid w:val="488241D3"/>
    <w:rsid w:val="4886168F"/>
    <w:rsid w:val="48E50A71"/>
    <w:rsid w:val="4A506004"/>
    <w:rsid w:val="4B115DA6"/>
    <w:rsid w:val="4D700A9E"/>
    <w:rsid w:val="4F426946"/>
    <w:rsid w:val="5531510A"/>
    <w:rsid w:val="58B8779D"/>
    <w:rsid w:val="5AA20705"/>
    <w:rsid w:val="5ACE0A9F"/>
    <w:rsid w:val="5D1A4582"/>
    <w:rsid w:val="5DDB5030"/>
    <w:rsid w:val="5F4D118B"/>
    <w:rsid w:val="5F642187"/>
    <w:rsid w:val="5FFF7D18"/>
    <w:rsid w:val="600D4872"/>
    <w:rsid w:val="620852F1"/>
    <w:rsid w:val="639C2195"/>
    <w:rsid w:val="645411FD"/>
    <w:rsid w:val="651B533C"/>
    <w:rsid w:val="67B32FF1"/>
    <w:rsid w:val="691E5254"/>
    <w:rsid w:val="695567B3"/>
    <w:rsid w:val="69821E2D"/>
    <w:rsid w:val="6A0445F0"/>
    <w:rsid w:val="6C5E6C68"/>
    <w:rsid w:val="6CBA4774"/>
    <w:rsid w:val="6FC0545D"/>
    <w:rsid w:val="70AC050A"/>
    <w:rsid w:val="748C1DB2"/>
    <w:rsid w:val="750E6B1B"/>
    <w:rsid w:val="758D4034"/>
    <w:rsid w:val="79F0693F"/>
    <w:rsid w:val="7A0E55E5"/>
    <w:rsid w:val="7B586F7C"/>
    <w:rsid w:val="7C0D22DA"/>
    <w:rsid w:val="7E7F4735"/>
    <w:rsid w:val="7EE747B5"/>
    <w:rsid w:val="7F8C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rFonts w:eastAsia="黑体"/>
      <w:b/>
      <w:bCs/>
      <w:kern w:val="44"/>
      <w:szCs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ind w:left="420" w:leftChars="200"/>
    </w:p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8">
    <w:name w:val="Emphasis"/>
    <w:basedOn w:val="7"/>
    <w:qFormat/>
    <w:uiPriority w:val="0"/>
    <w:rPr>
      <w:i/>
    </w:rPr>
  </w:style>
  <w:style w:type="paragraph" w:customStyle="1" w:styleId="9">
    <w:name w:val="_Style 1"/>
    <w:basedOn w:val="1"/>
    <w:qFormat/>
    <w:uiPriority w:val="99"/>
    <w:pPr>
      <w:ind w:firstLine="420" w:firstLineChars="200"/>
    </w:pPr>
    <w:rPr>
      <w:rFonts w:ascii="Calibri" w:hAnsi="Calibri" w:eastAsia="宋体" w:cs="Times New Roman"/>
      <w:szCs w:val="22"/>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5701</Words>
  <Characters>6069</Characters>
  <Lines>0</Lines>
  <Paragraphs>0</Paragraphs>
  <TotalTime>34</TotalTime>
  <ScaleCrop>false</ScaleCrop>
  <LinksUpToDate>false</LinksUpToDate>
  <CharactersWithSpaces>6172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2023-03-09T07:05:00Z</dcterms:created>
  <dc:creator>Administrator</dc:creator>
  <cp:lastModifiedBy>Administrator</cp:lastModifiedBy>
  <dcterms:modified xsi:type="dcterms:W3CDTF">2023-03-10T01:41:07Z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5F565A2B2F2B4EF998E67F5630DAD63F</vt:lpwstr>
  </property>
</Properties>
</file>