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86E84">
      <w:pPr>
        <w:spacing w:line="600" w:lineRule="exact"/>
        <w:rPr>
          <w:rFonts w:eastAsia="黑体"/>
          <w:sz w:val="32"/>
          <w:szCs w:val="32"/>
        </w:rPr>
      </w:pPr>
    </w:p>
    <w:p w14:paraId="071C3339">
      <w:pPr>
        <w:spacing w:line="600" w:lineRule="exact"/>
        <w:rPr>
          <w:rFonts w:eastAsia="黑体"/>
          <w:sz w:val="32"/>
          <w:szCs w:val="32"/>
        </w:rPr>
      </w:pPr>
    </w:p>
    <w:p w14:paraId="5BE3F030">
      <w:pPr>
        <w:jc w:val="center"/>
        <w:rPr>
          <w:rFonts w:hint="eastAsia" w:ascii="方正小标宋简体" w:eastAsia="方正小标宋简体"/>
          <w:sz w:val="52"/>
          <w:szCs w:val="52"/>
          <w:lang w:eastAsia="zh-CN"/>
        </w:rPr>
      </w:pPr>
      <w:r>
        <w:rPr>
          <w:rFonts w:hint="eastAsia" w:ascii="方正小标宋简体" w:eastAsia="方正小标宋简体"/>
          <w:sz w:val="52"/>
          <w:szCs w:val="52"/>
        </w:rPr>
        <w:t>202</w:t>
      </w:r>
      <w:r>
        <w:rPr>
          <w:rFonts w:hint="default" w:ascii="方正小标宋简体" w:eastAsia="方正小标宋简体"/>
          <w:sz w:val="52"/>
          <w:szCs w:val="52"/>
          <w:lang w:val="en"/>
        </w:rPr>
        <w:t>4</w:t>
      </w:r>
      <w:r>
        <w:rPr>
          <w:rFonts w:hint="eastAsia" w:ascii="方正小标宋简体" w:eastAsia="方正小标宋简体"/>
          <w:sz w:val="52"/>
          <w:szCs w:val="52"/>
        </w:rPr>
        <w:t>年度</w:t>
      </w:r>
      <w:r>
        <w:rPr>
          <w:rFonts w:hint="eastAsia" w:ascii="方正小标宋简体" w:eastAsia="方正小标宋简体"/>
          <w:sz w:val="52"/>
          <w:szCs w:val="52"/>
          <w:lang w:eastAsia="zh-CN"/>
        </w:rPr>
        <w:t>零陵区卫生健康局</w:t>
      </w:r>
    </w:p>
    <w:p w14:paraId="6519AE0C">
      <w:pPr>
        <w:jc w:val="center"/>
        <w:rPr>
          <w:rFonts w:hint="eastAsia" w:ascii="方正小标宋简体" w:eastAsia="方正小标宋简体"/>
          <w:sz w:val="52"/>
          <w:szCs w:val="52"/>
        </w:rPr>
      </w:pPr>
      <w:r>
        <w:rPr>
          <w:rFonts w:hint="eastAsia" w:ascii="方正小标宋简体" w:eastAsia="方正小标宋简体"/>
          <w:sz w:val="52"/>
          <w:szCs w:val="52"/>
          <w:lang w:eastAsia="zh-CN"/>
        </w:rPr>
        <w:t>部门</w:t>
      </w:r>
      <w:r>
        <w:rPr>
          <w:rFonts w:hint="eastAsia" w:ascii="方正小标宋简体" w:eastAsia="方正小标宋简体"/>
          <w:sz w:val="52"/>
          <w:szCs w:val="52"/>
        </w:rPr>
        <w:t>整体支出绩效自评报告</w:t>
      </w:r>
      <w:bookmarkStart w:id="0" w:name="_GoBack"/>
      <w:bookmarkEnd w:id="0"/>
    </w:p>
    <w:p w14:paraId="5BA7DD22">
      <w:pPr>
        <w:jc w:val="center"/>
        <w:rPr>
          <w:rFonts w:eastAsia="方正小标宋_GBK"/>
          <w:b/>
          <w:sz w:val="52"/>
          <w:szCs w:val="52"/>
        </w:rPr>
      </w:pPr>
    </w:p>
    <w:p w14:paraId="71F154E4">
      <w:pPr>
        <w:jc w:val="center"/>
        <w:rPr>
          <w:rFonts w:eastAsia="楷体_GB2312"/>
          <w:b/>
          <w:sz w:val="32"/>
          <w:szCs w:val="32"/>
        </w:rPr>
      </w:pPr>
    </w:p>
    <w:p w14:paraId="3B29A722">
      <w:pPr>
        <w:jc w:val="both"/>
        <w:rPr>
          <w:rFonts w:eastAsia="楷体_GB2312"/>
          <w:b/>
          <w:sz w:val="32"/>
          <w:szCs w:val="32"/>
        </w:rPr>
      </w:pPr>
    </w:p>
    <w:p w14:paraId="20E7A040">
      <w:pPr>
        <w:jc w:val="center"/>
        <w:rPr>
          <w:rFonts w:eastAsia="黑体"/>
          <w:sz w:val="32"/>
          <w:szCs w:val="32"/>
        </w:rPr>
      </w:pPr>
    </w:p>
    <w:p w14:paraId="177908ED">
      <w:pPr>
        <w:jc w:val="center"/>
        <w:rPr>
          <w:rFonts w:eastAsia="黑体"/>
          <w:sz w:val="32"/>
          <w:szCs w:val="32"/>
        </w:rPr>
      </w:pPr>
    </w:p>
    <w:p w14:paraId="3F8086F4">
      <w:pPr>
        <w:jc w:val="center"/>
        <w:rPr>
          <w:rFonts w:eastAsia="黑体"/>
          <w:sz w:val="32"/>
          <w:szCs w:val="32"/>
        </w:rPr>
      </w:pPr>
    </w:p>
    <w:p w14:paraId="7D59D21E">
      <w:pPr>
        <w:jc w:val="center"/>
        <w:rPr>
          <w:rFonts w:eastAsia="黑体"/>
          <w:sz w:val="32"/>
          <w:szCs w:val="32"/>
        </w:rPr>
      </w:pPr>
    </w:p>
    <w:p w14:paraId="18ED4879">
      <w:pPr>
        <w:rPr>
          <w:rFonts w:eastAsia="黑体"/>
          <w:sz w:val="32"/>
          <w:szCs w:val="32"/>
        </w:rPr>
      </w:pPr>
    </w:p>
    <w:p w14:paraId="246F89E8">
      <w:pPr>
        <w:jc w:val="center"/>
        <w:rPr>
          <w:rFonts w:eastAsia="黑体"/>
          <w:sz w:val="32"/>
          <w:szCs w:val="32"/>
        </w:rPr>
      </w:pPr>
    </w:p>
    <w:p w14:paraId="33F4902E">
      <w:pPr>
        <w:jc w:val="center"/>
        <w:rPr>
          <w:rFonts w:eastAsia="黑体"/>
          <w:sz w:val="32"/>
          <w:szCs w:val="32"/>
        </w:rPr>
      </w:pPr>
    </w:p>
    <w:p w14:paraId="73F0827E">
      <w:pPr>
        <w:jc w:val="center"/>
        <w:rPr>
          <w:rFonts w:eastAsia="黑体"/>
          <w:sz w:val="32"/>
          <w:szCs w:val="32"/>
        </w:rPr>
      </w:pPr>
    </w:p>
    <w:p w14:paraId="409148EE">
      <w:pPr>
        <w:spacing w:line="600" w:lineRule="exact"/>
        <w:ind w:firstLine="1920" w:firstLineChars="600"/>
        <w:rPr>
          <w:rFonts w:hint="eastAsia" w:ascii="黑体" w:hAnsi="黑体" w:eastAsia="黑体" w:cs="黑体"/>
          <w:sz w:val="32"/>
          <w:szCs w:val="32"/>
          <w:u w:val="single"/>
        </w:rPr>
      </w:pPr>
      <w:r>
        <w:rPr>
          <w:rFonts w:hint="eastAsia" w:ascii="黑体" w:hAnsi="黑体" w:eastAsia="黑体" w:cs="黑体"/>
          <w:sz w:val="32"/>
          <w:szCs w:val="32"/>
        </w:rPr>
        <w:t>单位名称：</w:t>
      </w:r>
      <w:r>
        <w:rPr>
          <w:rFonts w:hint="eastAsia" w:ascii="黑体" w:hAnsi="黑体" w:eastAsia="黑体" w:cs="黑体"/>
          <w:sz w:val="32"/>
          <w:szCs w:val="32"/>
          <w:lang w:eastAsia="zh-CN"/>
        </w:rPr>
        <w:t>永州市零陵区卫生健康局</w:t>
      </w:r>
    </w:p>
    <w:p w14:paraId="4B294DD8">
      <w:pPr>
        <w:spacing w:line="600" w:lineRule="exact"/>
        <w:ind w:firstLine="2880" w:firstLineChars="900"/>
        <w:rPr>
          <w:rFonts w:hint="eastAsia" w:ascii="黑体" w:hAnsi="黑体" w:eastAsia="黑体" w:cs="黑体"/>
          <w:sz w:val="32"/>
          <w:szCs w:val="32"/>
        </w:rPr>
      </w:pPr>
      <w:r>
        <w:rPr>
          <w:rFonts w:hint="eastAsia" w:ascii="黑体" w:hAnsi="黑体" w:eastAsia="黑体" w:cs="黑体"/>
          <w:sz w:val="32"/>
          <w:szCs w:val="32"/>
          <w:lang w:val="en-US" w:eastAsia="zh-CN"/>
        </w:rPr>
        <w:t>2025</w:t>
      </w:r>
      <w:r>
        <w:rPr>
          <w:rFonts w:hint="eastAsia" w:ascii="黑体" w:hAnsi="黑体" w:eastAsia="黑体" w:cs="黑体"/>
          <w:sz w:val="32"/>
          <w:szCs w:val="32"/>
        </w:rPr>
        <w:t>年</w:t>
      </w:r>
      <w:r>
        <w:rPr>
          <w:rFonts w:hint="eastAsia" w:ascii="黑体" w:hAnsi="黑体" w:eastAsia="黑体" w:cs="黑体"/>
          <w:sz w:val="32"/>
          <w:szCs w:val="32"/>
          <w:lang w:val="en-US" w:eastAsia="zh-CN"/>
        </w:rPr>
        <w:t>7</w:t>
      </w:r>
      <w:r>
        <w:rPr>
          <w:rFonts w:hint="eastAsia" w:ascii="黑体" w:hAnsi="黑体" w:eastAsia="黑体" w:cs="黑体"/>
          <w:sz w:val="32"/>
          <w:szCs w:val="32"/>
        </w:rPr>
        <w:t>月</w:t>
      </w:r>
      <w:r>
        <w:rPr>
          <w:rFonts w:hint="eastAsia" w:ascii="黑体" w:hAnsi="黑体" w:eastAsia="黑体" w:cs="黑体"/>
          <w:sz w:val="32"/>
          <w:szCs w:val="32"/>
          <w:lang w:val="en-US" w:eastAsia="zh-CN"/>
        </w:rPr>
        <w:t>16</w:t>
      </w:r>
      <w:r>
        <w:rPr>
          <w:rFonts w:hint="eastAsia" w:ascii="黑体" w:hAnsi="黑体" w:eastAsia="黑体" w:cs="黑体"/>
          <w:sz w:val="32"/>
          <w:szCs w:val="32"/>
        </w:rPr>
        <w:t>日</w:t>
      </w:r>
    </w:p>
    <w:p w14:paraId="079FA3BD">
      <w:pPr>
        <w:jc w:val="center"/>
        <w:rPr>
          <w:rFonts w:eastAsia="黑体"/>
          <w:sz w:val="32"/>
          <w:szCs w:val="32"/>
        </w:rPr>
      </w:pPr>
    </w:p>
    <w:p w14:paraId="068C1A14">
      <w:pPr>
        <w:numPr>
          <w:ilvl w:val="0"/>
          <w:numId w:val="0"/>
        </w:numPr>
        <w:spacing w:line="570" w:lineRule="exact"/>
        <w:ind w:firstLine="640" w:firstLineChars="200"/>
        <w:rPr>
          <w:rFonts w:eastAsia="黑体"/>
          <w:sz w:val="32"/>
          <w:szCs w:val="32"/>
        </w:rPr>
      </w:pPr>
      <w:r>
        <w:rPr>
          <w:rFonts w:eastAsia="仿宋_GB2312"/>
          <w:sz w:val="32"/>
          <w:szCs w:val="32"/>
        </w:rPr>
        <w:br w:type="page"/>
      </w:r>
      <w:r>
        <w:rPr>
          <w:rFonts w:hint="eastAsia" w:ascii="黑体" w:hAnsi="黑体" w:eastAsia="黑体" w:cs="黑体"/>
          <w:sz w:val="32"/>
          <w:szCs w:val="32"/>
        </w:rPr>
        <w:t>一、</w:t>
      </w:r>
      <w:r>
        <w:rPr>
          <w:rFonts w:eastAsia="黑体"/>
          <w:sz w:val="32"/>
          <w:szCs w:val="32"/>
        </w:rPr>
        <w:t>部门（单位）基本情况</w:t>
      </w:r>
    </w:p>
    <w:p w14:paraId="490334E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楷体_GB2312" w:cs="Times New Roman"/>
          <w:b/>
          <w:sz w:val="32"/>
          <w:szCs w:val="32"/>
          <w:lang w:val="en-US" w:eastAsia="zh-CN"/>
        </w:rPr>
      </w:pPr>
      <w:r>
        <w:rPr>
          <w:rFonts w:hint="eastAsia" w:eastAsia="楷体_GB2312" w:cs="Times New Roman"/>
          <w:b/>
          <w:sz w:val="32"/>
          <w:szCs w:val="32"/>
          <w:lang w:val="en-US" w:eastAsia="zh-CN"/>
        </w:rPr>
        <w:t>(一）</w:t>
      </w:r>
      <w:r>
        <w:rPr>
          <w:rFonts w:hint="eastAsia" w:ascii="Times New Roman" w:hAnsi="Times New Roman" w:eastAsia="楷体_GB2312" w:cs="Times New Roman"/>
          <w:b/>
          <w:sz w:val="32"/>
          <w:szCs w:val="32"/>
          <w:lang w:val="en-US" w:eastAsia="zh-CN"/>
        </w:rPr>
        <w:t>、部门职能职责</w:t>
      </w:r>
    </w:p>
    <w:p w14:paraId="27F71C82">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贯彻执行国民健康政策及国家、省卫生健康法律法规及规章，拟制全区卫生健康政策措施、规划、地方之间和技术规范并组织实施。统筹规划全区卫生健康服务资源配置，指导乡镇卫生健康规划的编制和实施。编制实施推进卫生健康基本公共服务均等化、普惠化、便捷化和公共资源向基层延伸等政策措施。</w:t>
      </w:r>
    </w:p>
    <w:p w14:paraId="4A3770C2">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协调推进全区深化医药卫生体制改革，研究提出全区深化医药卫生体制改革政策措施的建议。组织深化公立医院综合改革，推进管办分离，健全现代医院管理制度，编制实施推动卫生健康公共服务提供主体多元化、提供方式多样化的政策措施，提出医疗服务和药品价格政策的建议。</w:t>
      </w:r>
    </w:p>
    <w:p w14:paraId="28E65153">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编制实施全区疾病预防控制规划、免疫规划以及严重危害人民健康公共卫生问题的干预措施。负责卫生应急工作，组织指导全区突发公共卫生事件的预防控制和各类突发公共事件的医疗卫生救援，承担传染病疫情信息发布工作。</w:t>
      </w:r>
    </w:p>
    <w:p w14:paraId="03F944D3">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4、推进老年健康服务体系建设和医养结合工作。</w:t>
      </w:r>
    </w:p>
    <w:p w14:paraId="0E8DDCCE">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贯彻执行国家药物政策和国家基本药物制度，开展药品使用监测、临床综合评价和短缺药品预警。组织开展食品安全风险监测评估，依法拟制并公布食品安全地方标准意见，负责食源性疾病及与食品安全事故有关的流行病学调查。</w:t>
      </w:r>
    </w:p>
    <w:p w14:paraId="3F9A7D8E">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6、负责职责范围内的职业卫生、放射卫生、环境卫生、学校卫生、公共场所卫生、饮用水卫生等公共卫生的监督管理。负责传染病防治监督，健全卫生健康综合监督体系。</w:t>
      </w:r>
    </w:p>
    <w:p w14:paraId="4FBD4262">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7、拟制医疗机构、医疗服务行业管理办法并监督实施，建立医疗服务评价和监督管理体系。会同有关部门实施卫生健康专业技术人员资格标准。编制实施医疗服务规范、标准意见和卫生健康专业技术人员执业规则、服务规范。</w:t>
      </w:r>
    </w:p>
    <w:p w14:paraId="347A9A4F">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8、负责计划生育管理和服务工作，开展人口监测预警，研究提出人口与家庭发展相关政策建议，完善计划生育政策措施。</w:t>
      </w:r>
    </w:p>
    <w:p w14:paraId="54F49915">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9、指导全区卫生健康工作，指导基层医疗卫生、妇幼健康服务体系建设，加强全科医生队伍建设。推进卫生健康科技创新发展。</w:t>
      </w:r>
    </w:p>
    <w:p w14:paraId="35A65EDE">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10、负责全区病媒生物防治、卫生创建等爱国卫生工作。</w:t>
      </w:r>
    </w:p>
    <w:p w14:paraId="0B1E2EA9">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11、负责全区健康教育、健康促进和卫生健康信息化建设等工作。</w:t>
      </w:r>
    </w:p>
    <w:p w14:paraId="39C6E15D">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12、负责区保健对象的医疗保健工作，负责重要来宾、重要会议与重大活动的医疗卫生保障工作，指导全区保健工作。</w:t>
      </w:r>
    </w:p>
    <w:p w14:paraId="4190D955">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13、指导区计划生育协会和区红十字会的业务工作。</w:t>
      </w:r>
    </w:p>
    <w:p w14:paraId="113E13F2">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14、拟制全区中医药事业发展年度计划并组织实施。监督指导全区中医药领域相关业务工作，负责权限内中医医疗机构评审评价和校验管理。负责加强师承教育、毕业后教育、继续教育等中医人才培养工作。</w:t>
      </w:r>
    </w:p>
    <w:p w14:paraId="034C8DF8">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15、负责人体器官捐献和移植的监督管理。</w:t>
      </w:r>
    </w:p>
    <w:p w14:paraId="729FD3D5">
      <w:pPr>
        <w:pStyle w:val="6"/>
        <w:ind w:left="0" w:leftChars="0" w:firstLine="640" w:firstLineChars="200"/>
        <w:rPr>
          <w:rFonts w:hint="default"/>
          <w:lang w:val="en-US" w:eastAsia="zh-CN"/>
        </w:rPr>
      </w:pPr>
      <w:r>
        <w:rPr>
          <w:rFonts w:hint="eastAsia" w:ascii="仿宋" w:hAnsi="仿宋" w:eastAsia="仿宋" w:cs="仿宋"/>
          <w:color w:val="000000"/>
          <w:kern w:val="0"/>
          <w:sz w:val="32"/>
          <w:szCs w:val="32"/>
          <w:lang w:val="en-US" w:eastAsia="zh-CN"/>
        </w:rPr>
        <w:t>16、统筹推进婴幼儿照护服务发展，协调相关部门做好对婴幼儿照护服务机构的监督管理。</w:t>
      </w:r>
    </w:p>
    <w:p w14:paraId="72540D85">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17、完成区委区人民政府交办的其他任务。</w:t>
      </w:r>
    </w:p>
    <w:p w14:paraId="78E7E2DE">
      <w:pPr>
        <w:ind w:firstLine="643" w:firstLineChars="200"/>
        <w:jc w:val="left"/>
        <w:textAlignment w:val="baseline"/>
        <w:rPr>
          <w:rFonts w:hint="eastAsia" w:ascii="仿宋_GB2312" w:hAnsi="仿宋_GB2312" w:eastAsia="仿宋_GB2312" w:cs="仿宋_GB2312"/>
          <w:b w:val="0"/>
          <w:bCs/>
          <w:color w:val="auto"/>
          <w:sz w:val="32"/>
          <w:lang w:val="en-US" w:eastAsia="zh-CN"/>
        </w:rPr>
      </w:pPr>
      <w:r>
        <w:rPr>
          <w:rFonts w:hint="eastAsia" w:eastAsia="楷体_GB2312" w:cs="Times New Roman"/>
          <w:b/>
          <w:sz w:val="32"/>
          <w:szCs w:val="32"/>
          <w:lang w:val="en-US" w:eastAsia="zh-CN"/>
        </w:rPr>
        <w:t>（二）</w:t>
      </w:r>
      <w:r>
        <w:rPr>
          <w:rFonts w:hint="eastAsia" w:ascii="Times New Roman" w:hAnsi="Times New Roman" w:eastAsia="楷体_GB2312" w:cs="Times New Roman"/>
          <w:b/>
          <w:sz w:val="32"/>
          <w:szCs w:val="32"/>
          <w:lang w:val="en-US" w:eastAsia="zh-CN"/>
        </w:rPr>
        <w:t>、机构设置</w:t>
      </w:r>
    </w:p>
    <w:p w14:paraId="0BD8BB96">
      <w:pPr>
        <w:ind w:firstLine="640" w:firstLineChars="200"/>
        <w:jc w:val="left"/>
        <w:textAlignment w:val="baseline"/>
        <w:rPr>
          <w:rFonts w:hint="eastAsia" w:ascii="仿宋_GB2312" w:hAnsi="仿宋_GB2312" w:eastAsia="仿宋_GB2312" w:cs="仿宋_GB2312"/>
          <w:b w:val="0"/>
          <w:bCs/>
          <w:color w:val="auto"/>
          <w:sz w:val="32"/>
          <w:lang w:eastAsia="zh-CN"/>
        </w:rPr>
      </w:pPr>
      <w:r>
        <w:rPr>
          <w:rFonts w:hint="eastAsia" w:ascii="仿宋_GB2312" w:hAnsi="仿宋_GB2312" w:eastAsia="仿宋_GB2312" w:cs="仿宋_GB2312"/>
          <w:b w:val="0"/>
          <w:bCs/>
          <w:color w:val="auto"/>
          <w:sz w:val="32"/>
          <w:lang w:val="en-US" w:eastAsia="zh-CN"/>
        </w:rPr>
        <w:t>我局</w:t>
      </w:r>
      <w:r>
        <w:rPr>
          <w:rFonts w:hint="eastAsia" w:ascii="仿宋_GB2312" w:hAnsi="仿宋_GB2312" w:eastAsia="仿宋_GB2312" w:cs="仿宋_GB2312"/>
          <w:b w:val="0"/>
          <w:bCs/>
          <w:color w:val="auto"/>
          <w:sz w:val="32"/>
          <w:lang w:eastAsia="zh-CN"/>
        </w:rPr>
        <w:t>内设机构为1</w:t>
      </w:r>
      <w:r>
        <w:rPr>
          <w:rFonts w:hint="eastAsia" w:ascii="仿宋_GB2312" w:hAnsi="仿宋_GB2312" w:eastAsia="仿宋_GB2312" w:cs="仿宋_GB2312"/>
          <w:b w:val="0"/>
          <w:bCs/>
          <w:color w:val="auto"/>
          <w:sz w:val="32"/>
          <w:lang w:val="en-US" w:eastAsia="zh-CN"/>
        </w:rPr>
        <w:t>7</w:t>
      </w:r>
      <w:r>
        <w:rPr>
          <w:rFonts w:hint="eastAsia" w:ascii="仿宋_GB2312" w:hAnsi="仿宋_GB2312" w:eastAsia="仿宋_GB2312" w:cs="仿宋_GB2312"/>
          <w:b w:val="0"/>
          <w:bCs/>
          <w:color w:val="auto"/>
          <w:sz w:val="32"/>
          <w:lang w:eastAsia="zh-CN"/>
        </w:rPr>
        <w:t>个：办公室、政工室、规划发展与信息化室、财务室、综合监督与食品安全监测室、疾病预防控制室、基层卫生健康室、科教药政与职业健康室、医政与保健室、妇幼健康室、人口监测与家庭发展室、宣传室、健康促进室、医疗应急室、体制改革室、政策法规与行政审批室、中医室。</w:t>
      </w:r>
    </w:p>
    <w:p w14:paraId="07677542">
      <w:pPr>
        <w:widowControl/>
        <w:numPr>
          <w:ilvl w:val="0"/>
          <w:numId w:val="0"/>
        </w:numPr>
        <w:spacing w:line="480" w:lineRule="auto"/>
        <w:ind w:firstLine="643" w:firstLineChars="200"/>
        <w:jc w:val="left"/>
        <w:rPr>
          <w:rFonts w:hint="eastAsia" w:ascii="仿宋" w:hAnsi="仿宋" w:eastAsia="仿宋" w:cs="仿宋"/>
          <w:sz w:val="32"/>
          <w:szCs w:val="32"/>
          <w:lang w:val="en-US" w:eastAsia="zh-CN"/>
        </w:rPr>
      </w:pPr>
      <w:r>
        <w:rPr>
          <w:rFonts w:hint="eastAsia" w:eastAsia="楷体_GB2312" w:cs="Times New Roman"/>
          <w:b/>
          <w:sz w:val="32"/>
          <w:szCs w:val="32"/>
          <w:lang w:val="en-US" w:eastAsia="zh-CN"/>
        </w:rPr>
        <w:t>（三）</w:t>
      </w:r>
      <w:r>
        <w:rPr>
          <w:rFonts w:hint="eastAsia" w:ascii="Times New Roman" w:hAnsi="Times New Roman" w:eastAsia="楷体_GB2312" w:cs="Times New Roman"/>
          <w:b/>
          <w:sz w:val="32"/>
          <w:szCs w:val="32"/>
          <w:lang w:val="en-US" w:eastAsia="zh-CN"/>
        </w:rPr>
        <w:t>、人员编制</w:t>
      </w:r>
    </w:p>
    <w:p w14:paraId="3877CBAF">
      <w:pPr>
        <w:widowControl/>
        <w:numPr>
          <w:ilvl w:val="0"/>
          <w:numId w:val="0"/>
        </w:numPr>
        <w:spacing w:line="480" w:lineRule="auto"/>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sz w:val="32"/>
          <w:szCs w:val="32"/>
        </w:rPr>
        <w:t>零陵区卫</w:t>
      </w:r>
      <w:r>
        <w:rPr>
          <w:rFonts w:hint="eastAsia" w:ascii="仿宋" w:hAnsi="仿宋" w:eastAsia="仿宋" w:cs="仿宋"/>
          <w:sz w:val="32"/>
          <w:szCs w:val="32"/>
          <w:lang w:eastAsia="zh-CN"/>
        </w:rPr>
        <w:t>生</w:t>
      </w:r>
      <w:r>
        <w:rPr>
          <w:rFonts w:hint="eastAsia" w:ascii="仿宋" w:hAnsi="仿宋" w:eastAsia="仿宋" w:cs="仿宋"/>
          <w:sz w:val="32"/>
          <w:szCs w:val="32"/>
        </w:rPr>
        <w:t>健</w:t>
      </w:r>
      <w:r>
        <w:rPr>
          <w:rFonts w:hint="eastAsia" w:ascii="仿宋" w:hAnsi="仿宋" w:eastAsia="仿宋" w:cs="仿宋"/>
          <w:sz w:val="32"/>
          <w:szCs w:val="32"/>
          <w:lang w:eastAsia="zh-CN"/>
        </w:rPr>
        <w:t>康</w:t>
      </w:r>
      <w:r>
        <w:rPr>
          <w:rFonts w:hint="eastAsia" w:ascii="仿宋" w:hAnsi="仿宋" w:eastAsia="仿宋" w:cs="仿宋"/>
          <w:sz w:val="32"/>
          <w:szCs w:val="32"/>
        </w:rPr>
        <w:t>局</w:t>
      </w:r>
      <w:r>
        <w:rPr>
          <w:rFonts w:hint="eastAsia" w:ascii="仿宋" w:hAnsi="仿宋" w:eastAsia="仿宋" w:cs="仿宋"/>
          <w:color w:val="000000"/>
          <w:kern w:val="0"/>
          <w:sz w:val="32"/>
          <w:szCs w:val="32"/>
        </w:rPr>
        <w:t>核定编制数</w:t>
      </w:r>
      <w:r>
        <w:rPr>
          <w:rFonts w:hint="eastAsia" w:ascii="仿宋" w:hAnsi="仿宋" w:eastAsia="仿宋" w:cs="仿宋"/>
          <w:color w:val="000000"/>
          <w:kern w:val="0"/>
          <w:sz w:val="32"/>
          <w:szCs w:val="32"/>
          <w:lang w:val="en-US" w:eastAsia="zh-CN"/>
        </w:rPr>
        <w:t>75</w:t>
      </w:r>
      <w:r>
        <w:rPr>
          <w:rFonts w:hint="eastAsia" w:ascii="仿宋" w:hAnsi="仿宋" w:eastAsia="仿宋" w:cs="仿宋"/>
          <w:color w:val="000000"/>
          <w:kern w:val="0"/>
          <w:sz w:val="32"/>
          <w:szCs w:val="32"/>
        </w:rPr>
        <w:t>人，全额编制</w:t>
      </w:r>
      <w:r>
        <w:rPr>
          <w:rFonts w:hint="eastAsia" w:ascii="仿宋" w:hAnsi="仿宋" w:eastAsia="仿宋" w:cs="仿宋"/>
          <w:color w:val="000000"/>
          <w:kern w:val="0"/>
          <w:sz w:val="32"/>
          <w:szCs w:val="32"/>
          <w:lang w:val="en-US" w:eastAsia="zh-CN"/>
        </w:rPr>
        <w:t>75</w:t>
      </w:r>
      <w:r>
        <w:rPr>
          <w:rFonts w:hint="eastAsia" w:ascii="仿宋" w:hAnsi="仿宋" w:eastAsia="仿宋" w:cs="仿宋"/>
          <w:color w:val="000000"/>
          <w:kern w:val="0"/>
          <w:sz w:val="32"/>
          <w:szCs w:val="32"/>
        </w:rPr>
        <w:t>人，</w:t>
      </w:r>
      <w:r>
        <w:rPr>
          <w:rFonts w:hint="eastAsia" w:ascii="仿宋" w:hAnsi="仿宋" w:eastAsia="仿宋" w:cs="仿宋"/>
          <w:color w:val="000000"/>
          <w:kern w:val="0"/>
          <w:sz w:val="32"/>
          <w:szCs w:val="32"/>
          <w:lang w:eastAsia="zh-CN"/>
        </w:rPr>
        <w:t>截至</w:t>
      </w:r>
      <w:r>
        <w:rPr>
          <w:rFonts w:hint="eastAsia" w:ascii="仿宋" w:hAnsi="仿宋" w:eastAsia="仿宋" w:cs="仿宋"/>
          <w:color w:val="000000"/>
          <w:kern w:val="0"/>
          <w:sz w:val="32"/>
          <w:szCs w:val="32"/>
          <w:lang w:val="en-US" w:eastAsia="zh-CN"/>
        </w:rPr>
        <w:t>2024年底，我局实际人员为114人，</w:t>
      </w:r>
      <w:r>
        <w:rPr>
          <w:rFonts w:hint="eastAsia" w:ascii="仿宋" w:hAnsi="仿宋" w:eastAsia="仿宋" w:cs="仿宋"/>
          <w:color w:val="000000"/>
          <w:kern w:val="0"/>
          <w:sz w:val="32"/>
          <w:szCs w:val="32"/>
        </w:rPr>
        <w:t>在</w:t>
      </w:r>
      <w:r>
        <w:rPr>
          <w:rFonts w:hint="eastAsia" w:ascii="仿宋" w:hAnsi="仿宋" w:eastAsia="仿宋" w:cs="仿宋"/>
          <w:color w:val="000000"/>
          <w:kern w:val="0"/>
          <w:sz w:val="32"/>
          <w:szCs w:val="32"/>
          <w:lang w:eastAsia="zh-CN"/>
        </w:rPr>
        <w:t>职</w:t>
      </w:r>
      <w:r>
        <w:rPr>
          <w:rFonts w:hint="eastAsia" w:ascii="仿宋" w:hAnsi="仿宋" w:eastAsia="仿宋" w:cs="仿宋"/>
          <w:color w:val="000000"/>
          <w:kern w:val="0"/>
          <w:sz w:val="32"/>
          <w:szCs w:val="32"/>
        </w:rPr>
        <w:t>人员</w:t>
      </w:r>
      <w:r>
        <w:rPr>
          <w:rFonts w:hint="eastAsia" w:ascii="仿宋" w:hAnsi="仿宋" w:eastAsia="仿宋" w:cs="仿宋"/>
          <w:color w:val="000000"/>
          <w:kern w:val="0"/>
          <w:sz w:val="32"/>
          <w:szCs w:val="32"/>
          <w:lang w:val="en-US" w:eastAsia="zh-CN"/>
        </w:rPr>
        <w:t>67</w:t>
      </w:r>
      <w:r>
        <w:rPr>
          <w:rFonts w:hint="eastAsia" w:ascii="仿宋" w:hAnsi="仿宋" w:eastAsia="仿宋" w:cs="仿宋"/>
          <w:color w:val="000000"/>
          <w:kern w:val="0"/>
          <w:sz w:val="32"/>
          <w:szCs w:val="32"/>
        </w:rPr>
        <w:t>人，退休人员</w:t>
      </w:r>
      <w:r>
        <w:rPr>
          <w:rFonts w:hint="eastAsia" w:ascii="仿宋" w:hAnsi="仿宋" w:eastAsia="仿宋" w:cs="仿宋"/>
          <w:color w:val="000000"/>
          <w:kern w:val="0"/>
          <w:sz w:val="32"/>
          <w:szCs w:val="32"/>
          <w:lang w:val="en-US" w:eastAsia="zh-CN"/>
        </w:rPr>
        <w:t>47</w:t>
      </w:r>
      <w:r>
        <w:rPr>
          <w:rFonts w:hint="eastAsia" w:ascii="仿宋" w:hAnsi="仿宋" w:eastAsia="仿宋" w:cs="仿宋"/>
          <w:color w:val="000000"/>
          <w:kern w:val="0"/>
          <w:sz w:val="32"/>
          <w:szCs w:val="32"/>
        </w:rPr>
        <w:t>人</w:t>
      </w:r>
      <w:r>
        <w:rPr>
          <w:rFonts w:hint="eastAsia" w:ascii="仿宋" w:hAnsi="仿宋" w:eastAsia="仿宋" w:cs="仿宋"/>
          <w:color w:val="000000"/>
          <w:kern w:val="0"/>
          <w:sz w:val="32"/>
          <w:szCs w:val="32"/>
          <w:lang w:eastAsia="zh-CN"/>
        </w:rPr>
        <w:t>。</w:t>
      </w:r>
    </w:p>
    <w:p w14:paraId="5029C6C2">
      <w:pPr>
        <w:numPr>
          <w:ilvl w:val="0"/>
          <w:numId w:val="0"/>
        </w:numPr>
        <w:spacing w:line="570" w:lineRule="exact"/>
        <w:ind w:firstLine="643" w:firstLineChars="200"/>
        <w:rPr>
          <w:rFonts w:hint="eastAsia" w:eastAsia="仿宋_GB2312"/>
          <w:color w:val="000000"/>
          <w:sz w:val="32"/>
          <w:szCs w:val="32"/>
        </w:rPr>
      </w:pPr>
      <w:r>
        <w:rPr>
          <w:rFonts w:hint="eastAsia" w:ascii="Times New Roman" w:hAnsi="Times New Roman" w:eastAsia="楷体_GB2312" w:cs="Times New Roman"/>
          <w:b/>
          <w:sz w:val="32"/>
          <w:szCs w:val="32"/>
          <w:lang w:val="en-US" w:eastAsia="zh-CN"/>
        </w:rPr>
        <w:t>（四）部门（单位）整体支出规模</w:t>
      </w:r>
    </w:p>
    <w:p w14:paraId="1CFAE7BE">
      <w:pPr>
        <w:keepNext w:val="0"/>
        <w:keepLines w:val="0"/>
        <w:pageBreakBefore w:val="0"/>
        <w:widowControl w:val="0"/>
        <w:numPr>
          <w:ilvl w:val="0"/>
          <w:numId w:val="0"/>
        </w:numPr>
        <w:pBdr>
          <w:bottom w:val="none" w:color="CCCCCC" w:sz="0" w:space="30"/>
        </w:pBdr>
        <w:kinsoku/>
        <w:wordWrap/>
        <w:overflowPunct/>
        <w:topLinePunct w:val="0"/>
        <w:autoSpaceDE/>
        <w:autoSpaceDN w:val="0"/>
        <w:bidi w:val="0"/>
        <w:adjustRightInd/>
        <w:snapToGrid/>
        <w:spacing w:beforeAutospacing="0" w:afterAutospacing="0" w:line="600" w:lineRule="exact"/>
        <w:ind w:leftChars="0" w:right="0" w:rightChars="0" w:firstLine="640" w:firstLineChars="200"/>
        <w:jc w:val="both"/>
        <w:textAlignment w:val="auto"/>
        <w:outlineLvl w:val="9"/>
        <w:rPr>
          <w:rFonts w:hint="eastAsia" w:ascii="仿宋_GB2312" w:hAnsi="仿宋" w:eastAsia="仿宋_GB2312" w:cs="Times New Roman"/>
          <w:sz w:val="32"/>
          <w:szCs w:val="32"/>
          <w:lang w:val="en-US" w:eastAsia="zh-CN"/>
        </w:rPr>
      </w:pPr>
      <w:r>
        <w:rPr>
          <w:rFonts w:hint="eastAsia" w:ascii="仿宋" w:hAnsi="仿宋" w:eastAsia="仿宋" w:cs="仿宋"/>
          <w:sz w:val="32"/>
          <w:szCs w:val="32"/>
          <w:lang w:val="en-US" w:eastAsia="zh-CN"/>
        </w:rPr>
        <w:t>2024年年初预算总收入3990.7万元、总支出3990.7万元，</w:t>
      </w:r>
      <w:r>
        <w:rPr>
          <w:rFonts w:hint="eastAsia" w:ascii="仿宋_GB2312" w:hAnsi="仿宋" w:eastAsia="仿宋_GB2312" w:cs="Times New Roman"/>
          <w:sz w:val="32"/>
          <w:szCs w:val="32"/>
          <w:lang w:val="en-US" w:eastAsia="zh-CN"/>
        </w:rPr>
        <w:t>其中一般预算拨款</w:t>
      </w:r>
      <w:r>
        <w:rPr>
          <w:rFonts w:hint="eastAsia" w:ascii="仿宋_GB2312" w:hAnsi="仿宋" w:eastAsia="仿宋_GB2312"/>
          <w:sz w:val="32"/>
          <w:szCs w:val="32"/>
          <w:lang w:val="en-US" w:eastAsia="zh-CN"/>
        </w:rPr>
        <w:t>3990.7</w:t>
      </w:r>
      <w:r>
        <w:rPr>
          <w:rFonts w:hint="eastAsia" w:ascii="仿宋_GB2312" w:hAnsi="仿宋" w:eastAsia="仿宋_GB2312" w:cs="Times New Roman"/>
          <w:sz w:val="32"/>
          <w:szCs w:val="32"/>
          <w:lang w:val="en-US" w:eastAsia="zh-CN"/>
        </w:rPr>
        <w:t>万元</w:t>
      </w:r>
      <w:r>
        <w:rPr>
          <w:rFonts w:hint="eastAsia" w:ascii="仿宋" w:hAnsi="仿宋" w:eastAsia="仿宋" w:cs="仿宋"/>
          <w:sz w:val="32"/>
          <w:szCs w:val="32"/>
          <w:lang w:val="en-US" w:eastAsia="zh-CN"/>
        </w:rPr>
        <w:t>。</w:t>
      </w:r>
      <w:r>
        <w:rPr>
          <w:rFonts w:hint="eastAsia" w:ascii="仿宋_GB2312" w:hAnsi="仿宋" w:eastAsia="仿宋_GB2312"/>
          <w:sz w:val="32"/>
          <w:szCs w:val="32"/>
          <w:lang w:val="en-US" w:eastAsia="zh-CN"/>
        </w:rPr>
        <w:t>2024年决算总收入4448.69万元、决算总支出4448.69万元，</w:t>
      </w:r>
      <w:r>
        <w:rPr>
          <w:rFonts w:hint="eastAsia" w:ascii="仿宋_GB2312" w:hAnsi="仿宋" w:eastAsia="仿宋_GB2312" w:cs="Times New Roman"/>
          <w:sz w:val="32"/>
          <w:szCs w:val="32"/>
          <w:lang w:val="en-US" w:eastAsia="zh-CN"/>
        </w:rPr>
        <w:t>其中一般预算拨款收入4313.16万元、其他收入135.53万元。</w:t>
      </w:r>
    </w:p>
    <w:p w14:paraId="7A353754">
      <w:pPr>
        <w:keepNext w:val="0"/>
        <w:keepLines w:val="0"/>
        <w:pageBreakBefore w:val="0"/>
        <w:widowControl w:val="0"/>
        <w:numPr>
          <w:ilvl w:val="0"/>
          <w:numId w:val="1"/>
        </w:numPr>
        <w:pBdr>
          <w:bottom w:val="none" w:color="CCCCCC" w:sz="0" w:space="30"/>
        </w:pBdr>
        <w:kinsoku/>
        <w:wordWrap/>
        <w:overflowPunct/>
        <w:topLinePunct w:val="0"/>
        <w:autoSpaceDE/>
        <w:autoSpaceDN w:val="0"/>
        <w:bidi w:val="0"/>
        <w:adjustRightInd/>
        <w:snapToGrid/>
        <w:spacing w:beforeAutospacing="0" w:afterAutospacing="0" w:line="600" w:lineRule="exact"/>
        <w:ind w:leftChars="0" w:right="0" w:rightChars="0" w:firstLine="640" w:firstLineChars="200"/>
        <w:jc w:val="both"/>
        <w:textAlignment w:val="auto"/>
        <w:outlineLvl w:val="9"/>
        <w:rPr>
          <w:rFonts w:ascii="Times New Roman" w:hAnsi="Times New Roman" w:eastAsia="黑体"/>
          <w:sz w:val="32"/>
          <w:szCs w:val="32"/>
        </w:rPr>
      </w:pPr>
      <w:r>
        <w:rPr>
          <w:rFonts w:ascii="Times New Roman" w:hAnsi="Times New Roman" w:eastAsia="黑体"/>
          <w:sz w:val="32"/>
          <w:szCs w:val="32"/>
        </w:rPr>
        <w:t>一般公共预算支出情况</w:t>
      </w:r>
    </w:p>
    <w:p w14:paraId="59CB4DB1">
      <w:pPr>
        <w:keepNext w:val="0"/>
        <w:keepLines w:val="0"/>
        <w:pageBreakBefore w:val="0"/>
        <w:widowControl w:val="0"/>
        <w:numPr>
          <w:ilvl w:val="0"/>
          <w:numId w:val="0"/>
        </w:numPr>
        <w:pBdr>
          <w:bottom w:val="none" w:color="CCCCCC" w:sz="0" w:space="30"/>
        </w:pBdr>
        <w:kinsoku/>
        <w:wordWrap/>
        <w:overflowPunct/>
        <w:topLinePunct w:val="0"/>
        <w:autoSpaceDE/>
        <w:autoSpaceDN w:val="0"/>
        <w:bidi w:val="0"/>
        <w:adjustRightInd/>
        <w:snapToGrid/>
        <w:spacing w:beforeAutospacing="0" w:afterAutospacing="0" w:line="600" w:lineRule="exact"/>
        <w:ind w:leftChars="200" w:right="0" w:rightChars="0" w:firstLine="321" w:firstLineChars="100"/>
        <w:jc w:val="both"/>
        <w:textAlignment w:val="auto"/>
        <w:outlineLvl w:val="9"/>
        <w:rPr>
          <w:rFonts w:ascii="Times New Roman" w:hAnsi="Times New Roman" w:eastAsia="楷体_GB2312" w:cs="Times New Roman"/>
          <w:b/>
          <w:sz w:val="32"/>
          <w:szCs w:val="32"/>
        </w:rPr>
      </w:pPr>
      <w:r>
        <w:rPr>
          <w:rFonts w:ascii="Times New Roman" w:hAnsi="Times New Roman" w:eastAsia="楷体_GB2312" w:cs="Times New Roman"/>
          <w:b/>
          <w:sz w:val="32"/>
          <w:szCs w:val="32"/>
        </w:rPr>
        <w:t>（一）基本支出情况</w:t>
      </w:r>
    </w:p>
    <w:p w14:paraId="5FEDFF5A">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964" w:firstLineChars="300"/>
        <w:textAlignment w:val="auto"/>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1、基本支出决算情况说明</w:t>
      </w:r>
    </w:p>
    <w:p w14:paraId="0A9F87BF">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b w:val="0"/>
          <w:bCs/>
          <w:sz w:val="32"/>
          <w:szCs w:val="32"/>
          <w:lang w:val="en-US" w:eastAsia="zh-CN"/>
        </w:rPr>
        <w:t>我局2024年</w:t>
      </w:r>
      <w:r>
        <w:rPr>
          <w:rFonts w:hint="eastAsia" w:ascii="仿宋" w:hAnsi="仿宋" w:eastAsia="仿宋" w:cs="仿宋"/>
          <w:color w:val="000000"/>
          <w:kern w:val="0"/>
          <w:sz w:val="32"/>
          <w:szCs w:val="32"/>
          <w:lang w:val="en-US" w:eastAsia="zh-CN" w:bidi="ar"/>
        </w:rPr>
        <w:t>度财政拨款基本支出869.22万元。其中：</w:t>
      </w:r>
    </w:p>
    <w:p w14:paraId="37A1894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（1）人员经费 829.52万元，占比95.43%。主要包括：基本工资、津贴补贴、绩效工资、机关事业单位基本养老保险缴费、职工基本医疗保险缴费、其他社会保障缴费、其他工资福利支出、生活补助等。 </w:t>
      </w:r>
    </w:p>
    <w:p w14:paraId="6DC6DCC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（2）公用经费39.7万元，占比4.57%。主要包括：办公费、水费、电费、邮电费、印刷费、公务接待费、工会经费、差旅费等。</w:t>
      </w:r>
    </w:p>
    <w:p w14:paraId="2E6302DA">
      <w:pPr>
        <w:pStyle w:val="11"/>
        <w:keepNext w:val="0"/>
        <w:keepLines w:val="0"/>
        <w:pageBreakBefore w:val="0"/>
        <w:widowControl w:val="0"/>
        <w:kinsoku/>
        <w:wordWrap/>
        <w:overflowPunct/>
        <w:topLinePunct w:val="0"/>
        <w:autoSpaceDE/>
        <w:autoSpaceDN/>
        <w:bidi w:val="0"/>
        <w:adjustRightInd/>
        <w:snapToGrid/>
        <w:spacing w:line="540" w:lineRule="exact"/>
        <w:ind w:firstLine="964" w:firstLineChars="300"/>
        <w:textAlignment w:val="auto"/>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2、</w:t>
      </w:r>
      <w:r>
        <w:rPr>
          <w:rFonts w:hint="default" w:ascii="Times New Roman" w:hAnsi="Times New Roman" w:eastAsia="楷体_GB2312" w:cs="Times New Roman"/>
          <w:b/>
          <w:sz w:val="32"/>
          <w:szCs w:val="32"/>
          <w:lang w:val="en-US" w:eastAsia="zh-CN"/>
        </w:rPr>
        <w:t>“</w:t>
      </w:r>
      <w:r>
        <w:rPr>
          <w:rFonts w:hint="eastAsia" w:ascii="Times New Roman" w:hAnsi="Times New Roman" w:eastAsia="楷体_GB2312" w:cs="Times New Roman"/>
          <w:b/>
          <w:sz w:val="32"/>
          <w:szCs w:val="32"/>
          <w:lang w:val="en-US" w:eastAsia="zh-CN"/>
        </w:rPr>
        <w:t>三公</w:t>
      </w:r>
      <w:r>
        <w:rPr>
          <w:rFonts w:hint="default" w:ascii="Times New Roman" w:hAnsi="Times New Roman" w:eastAsia="楷体_GB2312" w:cs="Times New Roman"/>
          <w:b/>
          <w:sz w:val="32"/>
          <w:szCs w:val="32"/>
          <w:lang w:val="en-US" w:eastAsia="zh-CN"/>
        </w:rPr>
        <w:t>”</w:t>
      </w:r>
      <w:r>
        <w:rPr>
          <w:rFonts w:hint="eastAsia" w:ascii="Times New Roman" w:hAnsi="Times New Roman" w:eastAsia="楷体_GB2312" w:cs="Times New Roman"/>
          <w:b/>
          <w:sz w:val="32"/>
          <w:szCs w:val="32"/>
          <w:lang w:val="en-US" w:eastAsia="zh-CN"/>
        </w:rPr>
        <w:t xml:space="preserve">经费支出决算情况说明 </w:t>
      </w:r>
    </w:p>
    <w:p w14:paraId="11FB6261">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（1）“三公”经费财政拨款支出决算总体情况说明 </w:t>
      </w:r>
    </w:p>
    <w:p w14:paraId="2B068212">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我局2024年度“三公”经费财政拨款支出预算为 10万元，支出决算为0.94万元，完成预算的9.4%，其中：公务用车购置及运行维护费支出预算为0万元，支出决算为0万元。 </w:t>
      </w:r>
    </w:p>
    <w:p w14:paraId="2241B5F4">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因公出国（境）费支出预算为0万元，支出决算为0万元。</w:t>
      </w:r>
    </w:p>
    <w:p w14:paraId="56545A9E">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公务接待费支出预算为10万元，支出决算为0.94万元，完成预算的9.4%。决算数小于预算数的主要原因是我局认真贯彻落实中央八项规定、省委“九项规定”精神以及关于厉行节约的各项要求，严控公务接待费支出。 </w:t>
      </w:r>
    </w:p>
    <w:p w14:paraId="56888668">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（2）“三公”经费财政拨款支出决算具体情况说明 </w:t>
      </w:r>
    </w:p>
    <w:p w14:paraId="4795EA12">
      <w:pPr>
        <w:keepNext w:val="0"/>
        <w:keepLines w:val="0"/>
        <w:widowControl/>
        <w:suppressLineNumbers w:val="0"/>
        <w:ind w:firstLine="960" w:firstLineChars="3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2024年度“三公”经费财政拨款支出决算中，公务用车购置及运行维护费决算支出0万元；因公出国（境）费决算支出 0万元；公务接待费支出0.94万元，占比100%。 </w:t>
      </w:r>
    </w:p>
    <w:p w14:paraId="1C921E7D">
      <w:pPr>
        <w:pStyle w:val="11"/>
        <w:spacing w:line="600" w:lineRule="exact"/>
        <w:ind w:left="0" w:leftChars="0" w:firstLine="643" w:firstLineChars="200"/>
        <w:rPr>
          <w:rFonts w:ascii="Times New Roman" w:hAnsi="Times New Roman" w:eastAsia="楷体_GB2312"/>
          <w:b/>
          <w:sz w:val="32"/>
          <w:szCs w:val="32"/>
        </w:rPr>
      </w:pPr>
      <w:r>
        <w:rPr>
          <w:rFonts w:ascii="Times New Roman" w:hAnsi="Times New Roman" w:eastAsia="楷体_GB2312"/>
          <w:b/>
          <w:sz w:val="32"/>
          <w:szCs w:val="32"/>
        </w:rPr>
        <w:t>（二）项目支出情况</w:t>
      </w:r>
    </w:p>
    <w:p w14:paraId="3FD683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420"/>
        <w:jc w:val="both"/>
        <w:textAlignment w:val="auto"/>
        <w:outlineLvl w:val="9"/>
        <w:rPr>
          <w:rFonts w:hint="default" w:ascii="仿宋" w:hAnsi="仿宋" w:eastAsia="仿宋" w:cs="仿宋"/>
          <w:color w:val="000000"/>
          <w:kern w:val="0"/>
          <w:sz w:val="32"/>
          <w:szCs w:val="32"/>
          <w:lang w:val="en-US" w:eastAsia="zh-CN" w:bidi="ar"/>
        </w:rPr>
      </w:pPr>
      <w:r>
        <w:rPr>
          <w:rFonts w:hint="eastAsia" w:eastAsia="仿宋_GB2312"/>
          <w:sz w:val="32"/>
          <w:szCs w:val="32"/>
          <w:lang w:val="en-US" w:eastAsia="zh-CN"/>
        </w:rPr>
        <w:t xml:space="preserve"> </w:t>
      </w:r>
      <w:r>
        <w:rPr>
          <w:rFonts w:hint="eastAsia" w:ascii="仿宋" w:hAnsi="仿宋" w:eastAsia="仿宋" w:cs="仿宋"/>
          <w:color w:val="000000"/>
          <w:kern w:val="0"/>
          <w:sz w:val="32"/>
          <w:szCs w:val="32"/>
          <w:lang w:val="en-US" w:eastAsia="zh-CN" w:bidi="ar"/>
        </w:rPr>
        <w:t>项目支出是指单位为完成特定行政工作任务或事业发展目标而发生的支出。</w:t>
      </w:r>
      <w:r>
        <w:rPr>
          <w:rFonts w:hint="default" w:ascii="仿宋" w:hAnsi="仿宋" w:eastAsia="仿宋" w:cs="仿宋"/>
          <w:color w:val="000000"/>
          <w:kern w:val="0"/>
          <w:sz w:val="32"/>
          <w:szCs w:val="32"/>
          <w:lang w:val="en-US" w:eastAsia="zh-CN" w:bidi="ar"/>
        </w:rPr>
        <w:t>202</w:t>
      </w:r>
      <w:r>
        <w:rPr>
          <w:rFonts w:hint="eastAsia" w:ascii="仿宋" w:hAnsi="仿宋" w:eastAsia="仿宋" w:cs="仿宋"/>
          <w:color w:val="000000"/>
          <w:kern w:val="0"/>
          <w:sz w:val="32"/>
          <w:szCs w:val="32"/>
          <w:lang w:val="en-US" w:eastAsia="zh-CN" w:bidi="ar"/>
        </w:rPr>
        <w:t>4年度财政拨款项目支出3443.94万元。其中：计生事业费99.57万元，主要用于</w:t>
      </w:r>
      <w:r>
        <w:rPr>
          <w:rFonts w:hint="eastAsia" w:ascii="仿宋" w:hAnsi="仿宋" w:eastAsia="仿宋" w:cs="仿宋"/>
          <w:color w:val="000000"/>
          <w:kern w:val="0"/>
          <w:sz w:val="32"/>
          <w:szCs w:val="32"/>
          <w:lang w:val="en-US" w:eastAsia="zh-CN" w:bidi="ar-SA"/>
        </w:rPr>
        <w:t>完成卫生健康业务专项工作支出</w:t>
      </w:r>
      <w:r>
        <w:rPr>
          <w:rFonts w:hint="eastAsia" w:ascii="仿宋" w:hAnsi="仿宋" w:eastAsia="仿宋" w:cs="仿宋"/>
          <w:color w:val="000000"/>
          <w:kern w:val="0"/>
          <w:sz w:val="32"/>
          <w:szCs w:val="32"/>
          <w:lang w:val="en-US" w:eastAsia="zh-CN" w:bidi="ar"/>
        </w:rPr>
        <w:t>；防病、医务管理及安全治理、健康教育、科研等经费10.13万元，主要用于</w:t>
      </w:r>
      <w:r>
        <w:rPr>
          <w:rFonts w:hint="eastAsia" w:ascii="仿宋" w:hAnsi="仿宋" w:eastAsia="仿宋" w:cs="仿宋"/>
          <w:color w:val="000000"/>
          <w:kern w:val="0"/>
          <w:sz w:val="32"/>
          <w:szCs w:val="32"/>
          <w:lang w:val="en-US" w:eastAsia="zh-CN" w:bidi="ar-SA"/>
        </w:rPr>
        <w:t>防病、医务管理及安全治理、健康教育科研等工作支出</w:t>
      </w:r>
      <w:r>
        <w:rPr>
          <w:rFonts w:hint="eastAsia" w:ascii="仿宋" w:hAnsi="仿宋" w:eastAsia="仿宋" w:cs="仿宋"/>
          <w:color w:val="000000"/>
          <w:kern w:val="0"/>
          <w:sz w:val="32"/>
          <w:szCs w:val="32"/>
          <w:lang w:val="en-US" w:eastAsia="zh-CN" w:bidi="ar"/>
        </w:rPr>
        <w:t>；老年乡村医生生活困难补助129.40万元，主要用于</w:t>
      </w:r>
      <w:r>
        <w:rPr>
          <w:rFonts w:hint="eastAsia" w:ascii="仿宋" w:hAnsi="仿宋" w:eastAsia="仿宋" w:cs="仿宋"/>
          <w:color w:val="000000"/>
          <w:kern w:val="0"/>
          <w:sz w:val="32"/>
          <w:szCs w:val="32"/>
          <w:lang w:val="en-US" w:eastAsia="zh-CN"/>
        </w:rPr>
        <w:t>打卡发放老年乡村医生生活困难补助</w:t>
      </w:r>
      <w:r>
        <w:rPr>
          <w:rFonts w:hint="eastAsia" w:ascii="仿宋" w:hAnsi="仿宋" w:eastAsia="仿宋" w:cs="仿宋"/>
          <w:color w:val="000000"/>
          <w:kern w:val="0"/>
          <w:sz w:val="32"/>
          <w:szCs w:val="32"/>
          <w:lang w:val="en-US" w:eastAsia="zh-CN" w:bidi="ar"/>
        </w:rPr>
        <w:t>支出；村卫生室运行经费89.70万元，主要用于落实辖区内299个行政村卫生室补助运行经费,改善和保障村卫生室运行条件,为乡村医生提供基本医疗和公共卫生服务搭建更好的平台,解决后顾之忧；麻风病诊疗费8.46万元，主要用于</w:t>
      </w:r>
      <w:r>
        <w:rPr>
          <w:rFonts w:hint="eastAsia" w:ascii="仿宋" w:hAnsi="仿宋" w:eastAsia="仿宋" w:cs="仿宋"/>
          <w:color w:val="000000"/>
          <w:kern w:val="0"/>
          <w:sz w:val="32"/>
          <w:szCs w:val="32"/>
          <w:lang w:val="en-US" w:eastAsia="zh-CN" w:bidi="ar-SA"/>
        </w:rPr>
        <w:t>麻风病人在院治疗的生活、医疗费支出；</w:t>
      </w:r>
      <w:r>
        <w:rPr>
          <w:rFonts w:hint="eastAsia" w:ascii="仿宋" w:hAnsi="仿宋" w:eastAsia="仿宋" w:cs="仿宋"/>
          <w:color w:val="000000"/>
          <w:kern w:val="0"/>
          <w:sz w:val="32"/>
          <w:szCs w:val="32"/>
          <w:lang w:val="en-US" w:eastAsia="zh-CN" w:bidi="ar"/>
        </w:rPr>
        <w:t>城镇独生子女父母奖励784.80万元，主要用于</w:t>
      </w:r>
      <w:r>
        <w:rPr>
          <w:rFonts w:hint="eastAsia" w:ascii="仿宋" w:hAnsi="仿宋" w:eastAsia="仿宋" w:cs="仿宋"/>
          <w:color w:val="000000"/>
          <w:kern w:val="0"/>
          <w:sz w:val="32"/>
          <w:szCs w:val="32"/>
          <w:lang w:val="en-US" w:eastAsia="zh-CN"/>
        </w:rPr>
        <w:t>城镇独生子女父母奖励金打卡发放</w:t>
      </w:r>
      <w:r>
        <w:rPr>
          <w:rFonts w:hint="eastAsia" w:ascii="仿宋" w:hAnsi="仿宋" w:eastAsia="仿宋" w:cs="仿宋"/>
          <w:color w:val="000000"/>
          <w:kern w:val="0"/>
          <w:sz w:val="32"/>
          <w:szCs w:val="32"/>
          <w:lang w:val="en-US" w:eastAsia="zh-CN" w:bidi="ar"/>
        </w:rPr>
        <w:t>；严重精神障碍患者监护人责任保险60万元，主要用于为辖区内严重精神障碍患者监护人购买责任保险，减少严重精神障碍患者家庭经济负担：红十字会专项经费5万元，主要用于零陵区红十字会开展业务工作支出；特困老年人意外伤害保险经费19.90万元，主要用于为我区60岁及以上的“特困老人”投保意外伤害保险，提高全区老龄人抵御风险能力、减轻老年人家庭经济负担、促进老龄健康事业发展；两扶项目1314.07万元，主要用于两扶（</w:t>
      </w:r>
      <w:r>
        <w:rPr>
          <w:rFonts w:hint="eastAsia" w:ascii="仿宋" w:hAnsi="仿宋" w:eastAsia="仿宋" w:cs="仿宋"/>
          <w:color w:val="000000"/>
          <w:kern w:val="0"/>
          <w:sz w:val="32"/>
          <w:szCs w:val="32"/>
          <w:lang w:val="en-US" w:eastAsia="zh-CN"/>
        </w:rPr>
        <w:t>农村部分计划生育家庭奖励扶助、计划生育家庭特别扶助</w:t>
      </w:r>
      <w:r>
        <w:rPr>
          <w:rFonts w:hint="eastAsia" w:ascii="仿宋" w:hAnsi="仿宋" w:eastAsia="仿宋" w:cs="仿宋"/>
          <w:color w:val="000000"/>
          <w:kern w:val="0"/>
          <w:sz w:val="32"/>
          <w:szCs w:val="32"/>
          <w:lang w:val="en-US" w:eastAsia="zh-CN" w:bidi="ar"/>
        </w:rPr>
        <w:t>）打卡资金发放；严重精神障碍患者监护人奖励经费105.07万元，主要用于</w:t>
      </w:r>
      <w:r>
        <w:rPr>
          <w:rFonts w:hint="eastAsia" w:ascii="仿宋" w:hAnsi="仿宋" w:eastAsia="仿宋" w:cs="仿宋"/>
          <w:color w:val="000000"/>
          <w:kern w:val="0"/>
          <w:sz w:val="32"/>
          <w:szCs w:val="32"/>
          <w:lang w:val="en-US" w:eastAsia="zh-CN" w:bidi="ar-SA"/>
        </w:rPr>
        <w:t>打卡发放严重精神障碍患者监护人奖励经费</w:t>
      </w:r>
      <w:r>
        <w:rPr>
          <w:rFonts w:hint="eastAsia" w:ascii="仿宋" w:hAnsi="仿宋" w:eastAsia="仿宋" w:cs="仿宋"/>
          <w:color w:val="000000"/>
          <w:kern w:val="0"/>
          <w:sz w:val="32"/>
          <w:szCs w:val="32"/>
          <w:lang w:val="en-US" w:eastAsia="zh-CN" w:bidi="ar"/>
        </w:rPr>
        <w:t>；独生子女保健费9.26万元，主要用于</w:t>
      </w:r>
      <w:r>
        <w:rPr>
          <w:rFonts w:hint="eastAsia" w:ascii="仿宋" w:hAnsi="仿宋" w:eastAsia="仿宋" w:cs="仿宋"/>
          <w:color w:val="000000"/>
          <w:kern w:val="0"/>
          <w:sz w:val="32"/>
          <w:szCs w:val="32"/>
          <w:lang w:val="en-US" w:eastAsia="zh-CN" w:bidi="ar-SA"/>
        </w:rPr>
        <w:t>打卡发放独生子女保健费</w:t>
      </w:r>
      <w:r>
        <w:rPr>
          <w:rFonts w:hint="eastAsia" w:ascii="仿宋" w:hAnsi="仿宋" w:eastAsia="仿宋" w:cs="仿宋"/>
          <w:color w:val="000000"/>
          <w:kern w:val="0"/>
          <w:sz w:val="32"/>
          <w:szCs w:val="32"/>
          <w:lang w:val="en-US" w:eastAsia="zh-CN" w:bidi="ar"/>
        </w:rPr>
        <w:t>；其他业务工作专项808.58万元。</w:t>
      </w:r>
    </w:p>
    <w:p w14:paraId="434FBE1B">
      <w:pPr>
        <w:pStyle w:val="10"/>
        <w:numPr>
          <w:ilvl w:val="0"/>
          <w:numId w:val="2"/>
        </w:numPr>
        <w:spacing w:line="570" w:lineRule="exact"/>
        <w:ind w:left="0" w:leftChars="0" w:firstLine="640" w:firstLineChars="200"/>
        <w:jc w:val="both"/>
        <w:rPr>
          <w:rFonts w:hint="eastAsia" w:ascii="Times New Roman" w:hAnsi="Times New Roman" w:eastAsia="仿宋_GB2312"/>
          <w:color w:val="000000"/>
          <w:sz w:val="32"/>
          <w:szCs w:val="32"/>
        </w:rPr>
      </w:pPr>
      <w:r>
        <w:rPr>
          <w:rFonts w:ascii="Times New Roman" w:hAnsi="Times New Roman" w:eastAsia="黑体"/>
          <w:sz w:val="32"/>
          <w:szCs w:val="32"/>
        </w:rPr>
        <w:t>政府性基金预算支出情况</w:t>
      </w:r>
      <w:r>
        <w:rPr>
          <w:rFonts w:hint="eastAsia" w:ascii="Times New Roman" w:hAnsi="Times New Roman" w:eastAsia="黑体"/>
          <w:sz w:val="32"/>
          <w:szCs w:val="32"/>
        </w:rPr>
        <w:t>。</w:t>
      </w:r>
    </w:p>
    <w:p w14:paraId="0B672704">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color w:val="000000"/>
          <w:sz w:val="32"/>
          <w:szCs w:val="32"/>
          <w:lang w:val="en-US" w:eastAsia="zh-CN"/>
        </w:rPr>
        <w:t xml:space="preserve"> </w:t>
      </w:r>
      <w:r>
        <w:rPr>
          <w:rFonts w:hint="eastAsia" w:ascii="仿宋" w:hAnsi="仿宋" w:eastAsia="仿宋" w:cs="仿宋"/>
          <w:sz w:val="32"/>
          <w:szCs w:val="32"/>
          <w:lang w:val="en-US" w:eastAsia="zh-CN"/>
        </w:rPr>
        <w:t>2024年我单位无政府性基金预算支出。</w:t>
      </w:r>
    </w:p>
    <w:p w14:paraId="07CA154A">
      <w:pPr>
        <w:pStyle w:val="10"/>
        <w:numPr>
          <w:ilvl w:val="0"/>
          <w:numId w:val="2"/>
        </w:numPr>
        <w:spacing w:line="570" w:lineRule="exact"/>
        <w:ind w:left="0" w:leftChars="0" w:firstLine="640" w:firstLineChars="200"/>
        <w:jc w:val="both"/>
        <w:rPr>
          <w:rFonts w:hint="eastAsia" w:ascii="Times New Roman" w:hAnsi="Times New Roman" w:eastAsia="黑体"/>
          <w:sz w:val="32"/>
          <w:szCs w:val="32"/>
        </w:rPr>
      </w:pPr>
      <w:r>
        <w:rPr>
          <w:rFonts w:ascii="Times New Roman" w:hAnsi="Times New Roman" w:eastAsia="黑体"/>
          <w:sz w:val="32"/>
          <w:szCs w:val="32"/>
        </w:rPr>
        <w:t>国有资本经营预算支出情况</w:t>
      </w:r>
      <w:r>
        <w:rPr>
          <w:rFonts w:hint="eastAsia" w:ascii="Times New Roman" w:hAnsi="Times New Roman" w:eastAsia="黑体"/>
          <w:sz w:val="32"/>
          <w:szCs w:val="32"/>
        </w:rPr>
        <w:t>。</w:t>
      </w:r>
    </w:p>
    <w:p w14:paraId="3A1E6961">
      <w:pPr>
        <w:pStyle w:val="10"/>
        <w:numPr>
          <w:ilvl w:val="0"/>
          <w:numId w:val="0"/>
        </w:numPr>
        <w:spacing w:line="570" w:lineRule="exact"/>
        <w:ind w:leftChars="200" w:firstLine="320" w:firstLineChars="100"/>
        <w:jc w:val="both"/>
        <w:rPr>
          <w:rFonts w:hint="eastAsia" w:ascii="Times New Roman" w:hAnsi="Times New Roman" w:eastAsia="仿宋_GB2312"/>
          <w:color w:val="000000"/>
          <w:sz w:val="32"/>
          <w:szCs w:val="32"/>
        </w:rPr>
      </w:pPr>
      <w:r>
        <w:rPr>
          <w:rFonts w:hint="eastAsia" w:ascii="仿宋" w:hAnsi="仿宋" w:eastAsia="仿宋" w:cs="仿宋"/>
          <w:sz w:val="32"/>
          <w:szCs w:val="32"/>
          <w:lang w:val="en-US" w:eastAsia="zh-CN"/>
        </w:rPr>
        <w:t>2024年我单位无国有资本经营预算支出。</w:t>
      </w:r>
    </w:p>
    <w:p w14:paraId="0DC7D766">
      <w:pPr>
        <w:pStyle w:val="11"/>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黑体"/>
          <w:sz w:val="32"/>
          <w:szCs w:val="32"/>
        </w:rPr>
      </w:pPr>
      <w:r>
        <w:rPr>
          <w:rFonts w:ascii="Times New Roman" w:hAnsi="Times New Roman" w:eastAsia="黑体"/>
          <w:sz w:val="32"/>
          <w:szCs w:val="32"/>
        </w:rPr>
        <w:t>社会保险基金预算支出情况</w:t>
      </w:r>
      <w:r>
        <w:rPr>
          <w:rFonts w:hint="eastAsia" w:ascii="Times New Roman" w:hAnsi="Times New Roman" w:eastAsia="黑体"/>
          <w:sz w:val="32"/>
          <w:szCs w:val="32"/>
        </w:rPr>
        <w:t>。</w:t>
      </w:r>
    </w:p>
    <w:p w14:paraId="26EE7581">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2024年我单位无社会保险基金预算支出。</w:t>
      </w:r>
    </w:p>
    <w:p w14:paraId="5F02A79A">
      <w:pPr>
        <w:spacing w:line="570" w:lineRule="exact"/>
        <w:ind w:firstLine="640" w:firstLineChars="200"/>
        <w:jc w:val="both"/>
        <w:rPr>
          <w:rFonts w:eastAsia="黑体"/>
          <w:sz w:val="32"/>
          <w:szCs w:val="32"/>
        </w:rPr>
      </w:pPr>
      <w:r>
        <w:rPr>
          <w:rFonts w:eastAsia="黑体"/>
          <w:sz w:val="32"/>
          <w:szCs w:val="32"/>
        </w:rPr>
        <w:t>六、部门整体支出绩效情况</w:t>
      </w:r>
    </w:p>
    <w:p w14:paraId="5A5922D4">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我局自评认为，本部门“四本预算”支出的绩效目标完成情况良好，年度整体绩效目标顺利完成，各项工作取得了新成效，全区卫生健康事业取得了新的进展，可持续发展能力稳步提高，服务对象满意度不断增强。根据《2024年度部门整体支出绩效自评表》评分，2024年度我局整体支出绩效自评得分99分，部门整体支出绩效为“优”。</w:t>
      </w:r>
    </w:p>
    <w:p w14:paraId="15BD8A08">
      <w:pPr>
        <w:keepNext w:val="0"/>
        <w:keepLines w:val="0"/>
        <w:pageBreakBefore w:val="0"/>
        <w:widowControl w:val="0"/>
        <w:numPr>
          <w:ilvl w:val="0"/>
          <w:numId w:val="3"/>
        </w:numPr>
        <w:kinsoku/>
        <w:wordWrap/>
        <w:overflowPunct/>
        <w:topLinePunct w:val="0"/>
        <w:autoSpaceDE/>
        <w:autoSpaceDN/>
        <w:bidi w:val="0"/>
        <w:adjustRightInd/>
        <w:snapToGrid w:val="0"/>
        <w:spacing w:beforeAutospacing="0" w:afterAutospacing="0" w:line="580" w:lineRule="exact"/>
        <w:ind w:right="0" w:rightChars="0" w:firstLine="643" w:firstLineChars="200"/>
        <w:jc w:val="both"/>
        <w:textAlignment w:val="baseline"/>
        <w:outlineLvl w:val="9"/>
        <w:rPr>
          <w:rFonts w:hint="eastAsia" w:ascii="仿宋_GB2312" w:hAnsi="仿宋_GB2312" w:eastAsia="仿宋_GB2312" w:cs="仿宋_GB2312"/>
          <w:b w:val="0"/>
          <w:bCs w:val="0"/>
          <w:color w:val="auto"/>
          <w:sz w:val="32"/>
          <w:szCs w:val="32"/>
          <w:lang w:val="en-US" w:eastAsia="zh-CN"/>
        </w:rPr>
      </w:pPr>
      <w:r>
        <w:rPr>
          <w:rStyle w:val="9"/>
          <w:rFonts w:hint="eastAsia" w:ascii="楷体_GB2312" w:hAnsi="楷体_GB2312" w:eastAsia="楷体_GB2312" w:cs="楷体_GB2312"/>
          <w:b/>
          <w:bCs/>
          <w:i w:val="0"/>
          <w:iCs w:val="0"/>
          <w:caps w:val="0"/>
          <w:color w:val="auto"/>
          <w:spacing w:val="0"/>
          <w:sz w:val="32"/>
          <w:szCs w:val="32"/>
          <w:shd w:val="clear" w:color="auto" w:fill="FFFFFF"/>
          <w:lang w:eastAsia="zh-CN"/>
        </w:rPr>
        <w:t>持续深化医改，紧密型医共体</w:t>
      </w:r>
      <w:r>
        <w:rPr>
          <w:rStyle w:val="9"/>
          <w:rFonts w:hint="eastAsia" w:ascii="楷体_GB2312" w:hAnsi="楷体_GB2312" w:eastAsia="楷体_GB2312" w:cs="楷体_GB2312"/>
          <w:b/>
          <w:bCs/>
          <w:i w:val="0"/>
          <w:iCs w:val="0"/>
          <w:caps w:val="0"/>
          <w:color w:val="auto"/>
          <w:spacing w:val="0"/>
          <w:sz w:val="32"/>
          <w:szCs w:val="32"/>
          <w:shd w:val="clear" w:color="auto" w:fill="FFFFFF"/>
          <w:lang w:val="en-US" w:eastAsia="zh-CN"/>
        </w:rPr>
        <w:t>建设有力推进</w:t>
      </w:r>
      <w:r>
        <w:rPr>
          <w:rStyle w:val="9"/>
          <w:rFonts w:hint="eastAsia" w:ascii="楷体_GB2312" w:hAnsi="楷体_GB2312" w:eastAsia="楷体_GB2312" w:cs="楷体_GB2312"/>
          <w:b/>
          <w:bCs/>
          <w:i w:val="0"/>
          <w:iCs w:val="0"/>
          <w:caps w:val="0"/>
          <w:color w:val="auto"/>
          <w:spacing w:val="0"/>
          <w:sz w:val="32"/>
          <w:szCs w:val="32"/>
          <w:shd w:val="clear" w:color="auto" w:fill="FFFFFF"/>
          <w:lang w:eastAsia="zh-CN"/>
        </w:rPr>
        <w:t>。</w:t>
      </w:r>
      <w:r>
        <w:rPr>
          <w:rStyle w:val="9"/>
          <w:rFonts w:hint="eastAsia" w:ascii="仿宋_GB2312" w:hAnsi="仿宋_GB2312" w:eastAsia="仿宋_GB2312" w:cs="仿宋_GB2312"/>
          <w:b/>
          <w:bCs/>
          <w:i w:val="0"/>
          <w:iCs w:val="0"/>
          <w:caps w:val="0"/>
          <w:color w:val="auto"/>
          <w:spacing w:val="0"/>
          <w:sz w:val="32"/>
          <w:szCs w:val="32"/>
          <w:shd w:val="clear" w:color="auto" w:fill="FFFFFF"/>
          <w:lang w:val="en-US" w:eastAsia="zh-CN"/>
        </w:rPr>
        <w:t>一是坚持高位推动。</w:t>
      </w:r>
      <w:r>
        <w:rPr>
          <w:rFonts w:hint="eastAsia" w:ascii="仿宋_GB2312" w:hAnsi="仿宋_GB2312" w:eastAsia="仿宋_GB2312" w:cs="仿宋_GB2312"/>
          <w:color w:val="auto"/>
          <w:sz w:val="32"/>
          <w:szCs w:val="32"/>
          <w:lang w:val="en-US" w:eastAsia="zh-CN"/>
        </w:rPr>
        <w:t>区委常委会第17次会议和区政府</w:t>
      </w:r>
      <w:r>
        <w:rPr>
          <w:rFonts w:hint="eastAsia" w:ascii="仿宋_GB2312" w:hAnsi="仿宋_GB2312" w:cs="仿宋_GB2312"/>
          <w:color w:val="auto"/>
          <w:sz w:val="32"/>
          <w:szCs w:val="32"/>
          <w:lang w:val="en-US" w:eastAsia="zh-CN"/>
        </w:rPr>
        <w:t>第57次</w:t>
      </w:r>
      <w:r>
        <w:rPr>
          <w:rFonts w:hint="eastAsia" w:ascii="仿宋_GB2312" w:hAnsi="仿宋_GB2312" w:eastAsia="仿宋_GB2312" w:cs="仿宋_GB2312"/>
          <w:color w:val="auto"/>
          <w:sz w:val="32"/>
          <w:szCs w:val="32"/>
          <w:lang w:val="en-US" w:eastAsia="zh-CN"/>
        </w:rPr>
        <w:t>常务会议专题听取医改工作情况汇报，全区建设2个紧密型医共体，初步实现业务、人员、药品、耗材、信息、绩效考核等统一管理。</w:t>
      </w:r>
      <w:r>
        <w:rPr>
          <w:rFonts w:hint="eastAsia" w:ascii="仿宋_GB2312" w:hAnsi="仿宋_GB2312" w:cs="仿宋_GB2312"/>
          <w:b/>
          <w:bCs/>
          <w:color w:val="auto"/>
          <w:sz w:val="32"/>
          <w:szCs w:val="32"/>
          <w:lang w:val="en-US" w:eastAsia="zh-CN"/>
        </w:rPr>
        <w:t>二是坚持资源下沉。</w:t>
      </w:r>
      <w:r>
        <w:rPr>
          <w:rFonts w:hint="eastAsia" w:ascii="仿宋_GB2312" w:hAnsi="仿宋_GB2312" w:eastAsia="仿宋_GB2312" w:cs="仿宋_GB2312"/>
          <w:b w:val="0"/>
          <w:bCs w:val="0"/>
          <w:color w:val="auto"/>
          <w:sz w:val="32"/>
          <w:szCs w:val="32"/>
          <w:lang w:val="en-US" w:eastAsia="zh-CN"/>
        </w:rPr>
        <w:t>实行医共体总院班子成员分片包干乡镇卫生院、区级医院科室主任和名医巡诊机制</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区中医医院总院对菱角塘镇卫生院实行全面托管</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bCs/>
          <w:color w:val="auto"/>
          <w:sz w:val="32"/>
          <w:szCs w:val="32"/>
          <w:lang w:val="en-US" w:eastAsia="zh-CN"/>
        </w:rPr>
        <w:t>三是坚持便民惠民。</w:t>
      </w:r>
      <w:r>
        <w:rPr>
          <w:rFonts w:hint="eastAsia" w:ascii="仿宋_GB2312" w:hAnsi="仿宋_GB2312" w:eastAsia="仿宋_GB2312" w:cs="仿宋_GB2312"/>
          <w:color w:val="auto"/>
          <w:sz w:val="32"/>
          <w:szCs w:val="32"/>
          <w:lang w:val="en-US" w:eastAsia="zh-CN"/>
        </w:rPr>
        <w:t>建成</w:t>
      </w:r>
      <w:r>
        <w:rPr>
          <w:rFonts w:hint="eastAsia" w:ascii="仿宋_GB2312" w:hAnsi="仿宋_GB2312" w:cs="仿宋_GB2312"/>
          <w:color w:val="auto"/>
          <w:sz w:val="32"/>
          <w:szCs w:val="32"/>
          <w:lang w:val="en-US" w:eastAsia="zh-CN"/>
        </w:rPr>
        <w:t>了</w:t>
      </w:r>
      <w:r>
        <w:rPr>
          <w:rFonts w:hint="eastAsia" w:ascii="仿宋_GB2312" w:hAnsi="仿宋_GB2312" w:eastAsia="仿宋_GB2312" w:cs="仿宋_GB2312"/>
          <w:color w:val="auto"/>
          <w:sz w:val="32"/>
          <w:szCs w:val="32"/>
          <w:lang w:val="en-US" w:eastAsia="zh-CN"/>
        </w:rPr>
        <w:t>“五大中心”和急诊急救</w:t>
      </w:r>
      <w:r>
        <w:rPr>
          <w:rFonts w:hint="eastAsia" w:ascii="仿宋_GB2312" w:hAnsi="仿宋_GB2312" w:eastAsia="仿宋_GB2312" w:cs="仿宋_GB2312"/>
          <w:b w:val="0"/>
          <w:bCs w:val="0"/>
          <w:color w:val="auto"/>
          <w:sz w:val="32"/>
          <w:szCs w:val="32"/>
          <w:lang w:val="en-US" w:eastAsia="zh-CN"/>
        </w:rPr>
        <w:t>体系，打造城市15分钟和农村30分钟急救圈；在全市率先推行二级医疗机构“一号管三天”就诊模式和“有事找院长”工作机制。2024年医共体实现上转病人3134人，下转 358人。医共体内共开展远程影像8529人次，远程心电16129人次，远程诊疗572人次，推动了全区基层检查、上级诊断、区域内检查项目结果互查互认的有效衔接。</w:t>
      </w:r>
    </w:p>
    <w:p w14:paraId="5789AE0B">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80" w:lineRule="exact"/>
        <w:ind w:right="0" w:rightChars="0" w:firstLine="643" w:firstLineChars="200"/>
        <w:jc w:val="both"/>
        <w:textAlignment w:val="baseline"/>
        <w:outlineLvl w:val="9"/>
        <w:rPr>
          <w:rFonts w:hint="eastAsia" w:ascii="仿宋" w:hAnsi="仿宋" w:eastAsia="仿宋" w:cs="仿宋"/>
          <w:color w:val="000000"/>
          <w:kern w:val="0"/>
          <w:sz w:val="32"/>
          <w:szCs w:val="32"/>
          <w:lang w:val="en-US" w:eastAsia="zh-CN" w:bidi="ar"/>
        </w:rPr>
      </w:pPr>
      <w:r>
        <w:rPr>
          <w:rFonts w:hint="eastAsia" w:ascii="楷体_GB2312" w:hAnsi="楷体_GB2312" w:eastAsia="楷体_GB2312" w:cs="楷体_GB2312"/>
          <w:b/>
          <w:bCs/>
          <w:color w:val="auto"/>
          <w:kern w:val="2"/>
          <w:sz w:val="32"/>
          <w:szCs w:val="32"/>
          <w:lang w:val="en-US" w:eastAsia="zh-CN"/>
        </w:rPr>
        <w:t>（二）持续推进项目建设，推动医疗资源合理布局。</w:t>
      </w:r>
      <w:r>
        <w:rPr>
          <w:rFonts w:hint="eastAsia" w:ascii="仿宋_GB2312" w:hAnsi="仿宋_GB2312" w:cs="仿宋_GB2312"/>
          <w:b/>
          <w:bCs/>
          <w:color w:val="auto"/>
          <w:kern w:val="2"/>
          <w:sz w:val="32"/>
          <w:szCs w:val="32"/>
          <w:lang w:val="en-US" w:eastAsia="zh-CN"/>
        </w:rPr>
        <w:t>一是</w:t>
      </w:r>
      <w:r>
        <w:rPr>
          <w:rFonts w:hint="eastAsia" w:ascii="仿宋_GB2312" w:hAnsi="仿宋_GB2312" w:eastAsia="仿宋_GB2312" w:cs="仿宋_GB2312"/>
          <w:b w:val="0"/>
          <w:bCs w:val="0"/>
          <w:color w:val="auto"/>
          <w:sz w:val="32"/>
          <w:szCs w:val="32"/>
          <w:lang w:val="en-US" w:eastAsia="zh-CN"/>
        </w:rPr>
        <w:t>永州市老年医院</w:t>
      </w:r>
      <w:r>
        <w:rPr>
          <w:rFonts w:hint="eastAsia" w:ascii="仿宋_GB2312" w:hAnsi="仿宋_GB2312" w:cs="仿宋_GB2312"/>
          <w:b w:val="0"/>
          <w:bCs w:val="0"/>
          <w:color w:val="auto"/>
          <w:sz w:val="32"/>
          <w:szCs w:val="32"/>
          <w:lang w:val="en-US" w:eastAsia="zh-CN"/>
        </w:rPr>
        <w:t>于8</w:t>
      </w:r>
      <w:r>
        <w:rPr>
          <w:rFonts w:hint="eastAsia" w:ascii="仿宋_GB2312" w:hAnsi="仿宋_GB2312" w:eastAsia="仿宋_GB2312" w:cs="仿宋_GB2312"/>
          <w:b w:val="0"/>
          <w:bCs w:val="0"/>
          <w:color w:val="auto"/>
          <w:sz w:val="32"/>
          <w:szCs w:val="32"/>
          <w:lang w:val="en-US" w:eastAsia="zh-CN"/>
        </w:rPr>
        <w:t>月</w:t>
      </w:r>
      <w:r>
        <w:rPr>
          <w:rFonts w:hint="eastAsia" w:ascii="仿宋_GB2312" w:hAnsi="仿宋_GB2312" w:cs="仿宋_GB2312"/>
          <w:b w:val="0"/>
          <w:bCs w:val="0"/>
          <w:color w:val="auto"/>
          <w:sz w:val="32"/>
          <w:szCs w:val="32"/>
          <w:lang w:val="en-US" w:eastAsia="zh-CN"/>
        </w:rPr>
        <w:t>25日</w:t>
      </w:r>
      <w:r>
        <w:rPr>
          <w:rFonts w:hint="eastAsia" w:ascii="仿宋_GB2312" w:hAnsi="仿宋_GB2312" w:eastAsia="仿宋_GB2312" w:cs="仿宋_GB2312"/>
          <w:b w:val="0"/>
          <w:bCs w:val="0"/>
          <w:color w:val="auto"/>
          <w:sz w:val="32"/>
          <w:szCs w:val="32"/>
          <w:lang w:val="en-US" w:eastAsia="zh-CN"/>
        </w:rPr>
        <w:t>投入运营；</w:t>
      </w:r>
      <w:r>
        <w:rPr>
          <w:rFonts w:hint="eastAsia" w:ascii="仿宋_GB2312" w:hAnsi="仿宋_GB2312" w:cs="仿宋_GB2312"/>
          <w:b/>
          <w:bCs/>
          <w:color w:val="auto"/>
          <w:sz w:val="32"/>
          <w:szCs w:val="32"/>
          <w:lang w:val="en-US" w:eastAsia="zh-CN"/>
        </w:rPr>
        <w:t>二是</w:t>
      </w:r>
      <w:r>
        <w:rPr>
          <w:rFonts w:hint="eastAsia" w:ascii="仿宋" w:hAnsi="仿宋" w:eastAsia="仿宋" w:cs="仿宋"/>
          <w:color w:val="000000"/>
          <w:kern w:val="0"/>
          <w:sz w:val="32"/>
          <w:szCs w:val="32"/>
          <w:lang w:val="en-US" w:eastAsia="zh-CN" w:bidi="ar"/>
        </w:rPr>
        <w:t>区妇幼保健院已于2024年1月20日完成搬迁并正式运营；</w:t>
      </w:r>
      <w:r>
        <w:rPr>
          <w:rFonts w:hint="eastAsia" w:ascii="仿宋_GB2312" w:hAnsi="仿宋_GB2312" w:cs="仿宋_GB2312"/>
          <w:b/>
          <w:bCs/>
          <w:color w:val="auto"/>
          <w:sz w:val="32"/>
          <w:szCs w:val="32"/>
          <w:lang w:val="en-US" w:eastAsia="zh-CN"/>
        </w:rPr>
        <w:t>三是</w:t>
      </w:r>
      <w:r>
        <w:rPr>
          <w:rFonts w:hint="eastAsia" w:ascii="仿宋" w:hAnsi="仿宋" w:eastAsia="仿宋" w:cs="仿宋"/>
          <w:color w:val="000000"/>
          <w:kern w:val="0"/>
          <w:sz w:val="32"/>
          <w:szCs w:val="32"/>
          <w:lang w:val="en-US" w:eastAsia="zh-CN" w:bidi="ar"/>
        </w:rPr>
        <w:t>区中医医院与民政局共建福利中心，目前开设精神卫生科和医养结合科，收治在院精神病患者98人，老年人109人，中医医院形成一院三区格局</w:t>
      </w:r>
      <w:r>
        <w:rPr>
          <w:rFonts w:hint="eastAsia" w:ascii="仿宋_GB2312" w:hAnsi="仿宋_GB2312" w:cs="仿宋_GB2312"/>
          <w:b w:val="0"/>
          <w:bCs w:val="0"/>
          <w:color w:val="auto"/>
          <w:sz w:val="32"/>
          <w:szCs w:val="32"/>
          <w:lang w:val="en-US" w:eastAsia="zh-CN"/>
        </w:rPr>
        <w:t>。</w:t>
      </w:r>
      <w:r>
        <w:rPr>
          <w:rFonts w:hint="eastAsia" w:ascii="仿宋_GB2312" w:hAnsi="仿宋_GB2312" w:cs="仿宋_GB2312"/>
          <w:b/>
          <w:bCs/>
          <w:color w:val="auto"/>
          <w:sz w:val="32"/>
          <w:szCs w:val="32"/>
          <w:lang w:val="en-US" w:eastAsia="zh-CN"/>
        </w:rPr>
        <w:t>四是</w:t>
      </w:r>
      <w:r>
        <w:rPr>
          <w:rFonts w:hint="eastAsia" w:ascii="仿宋" w:hAnsi="仿宋" w:eastAsia="仿宋" w:cs="仿宋"/>
          <w:color w:val="000000"/>
          <w:kern w:val="0"/>
          <w:sz w:val="32"/>
          <w:szCs w:val="32"/>
          <w:lang w:val="en-US" w:eastAsia="zh-CN" w:bidi="ar"/>
        </w:rPr>
        <w:t>富家桥镇中心卫生院项目建设已基本完工。</w:t>
      </w:r>
    </w:p>
    <w:p w14:paraId="6646698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rPr>
        <w:t>（三）持续提升服务能力，名医、名科、名院建设卓有成效。一是优队伍。</w:t>
      </w:r>
      <w:r>
        <w:rPr>
          <w:rFonts w:hint="eastAsia" w:ascii="仿宋" w:hAnsi="仿宋" w:eastAsia="仿宋" w:cs="仿宋"/>
          <w:color w:val="000000"/>
          <w:kern w:val="0"/>
          <w:sz w:val="32"/>
          <w:szCs w:val="32"/>
          <w:lang w:val="en-US" w:eastAsia="zh-CN" w:bidi="ar"/>
        </w:rPr>
        <w:t>投入200万元，设立医共体人才基金，全年共引进2名副高、9名硕士研究生、4名本科生。签订2024年农村订单定向免费培养医学本科生3名，专科生21名。</w:t>
      </w:r>
      <w:r>
        <w:rPr>
          <w:rFonts w:hint="eastAsia" w:ascii="楷体_GB2312" w:hAnsi="楷体_GB2312" w:eastAsia="楷体_GB2312" w:cs="楷体_GB2312"/>
          <w:b/>
          <w:bCs/>
          <w:color w:val="auto"/>
          <w:kern w:val="0"/>
          <w:sz w:val="32"/>
          <w:szCs w:val="32"/>
          <w:lang w:val="en-US" w:eastAsia="zh-CN"/>
        </w:rPr>
        <w:t>二是建名科。</w:t>
      </w:r>
      <w:r>
        <w:rPr>
          <w:rFonts w:hint="eastAsia" w:ascii="仿宋" w:hAnsi="仿宋" w:eastAsia="仿宋" w:cs="仿宋"/>
          <w:color w:val="000000"/>
          <w:kern w:val="0"/>
          <w:sz w:val="32"/>
          <w:szCs w:val="32"/>
          <w:lang w:val="en-US" w:eastAsia="zh-CN" w:bidi="ar"/>
        </w:rPr>
        <w:t>区中医医院骨伤科、康复中心、针灸科成功创建为省级临床重点专科。</w:t>
      </w:r>
      <w:r>
        <w:rPr>
          <w:rFonts w:hint="eastAsia" w:ascii="楷体_GB2312" w:hAnsi="楷体_GB2312" w:eastAsia="楷体_GB2312" w:cs="楷体_GB2312"/>
          <w:b/>
          <w:bCs/>
          <w:color w:val="auto"/>
          <w:kern w:val="0"/>
          <w:sz w:val="32"/>
          <w:szCs w:val="32"/>
          <w:lang w:val="en-US" w:eastAsia="zh-CN"/>
        </w:rPr>
        <w:t>三是强医院。</w:t>
      </w:r>
      <w:r>
        <w:rPr>
          <w:rFonts w:hint="eastAsia" w:ascii="仿宋" w:hAnsi="仿宋" w:eastAsia="仿宋" w:cs="仿宋"/>
          <w:color w:val="000000"/>
          <w:kern w:val="0"/>
          <w:sz w:val="32"/>
          <w:szCs w:val="32"/>
          <w:lang w:val="en-US" w:eastAsia="zh-CN" w:bidi="ar"/>
        </w:rPr>
        <w:t>湖南省人民医院博士工作站在永州市第四人民医院建站，区妇幼保健院成功创建“二甲”妇保院，四医院、中医医院三级医院创建完成前期工作。</w:t>
      </w:r>
      <w:r>
        <w:rPr>
          <w:rFonts w:hint="eastAsia" w:ascii="楷体_GB2312" w:hAnsi="楷体_GB2312" w:eastAsia="楷体_GB2312" w:cs="楷体_GB2312"/>
          <w:b/>
          <w:bCs/>
          <w:color w:val="auto"/>
          <w:kern w:val="0"/>
          <w:sz w:val="32"/>
          <w:szCs w:val="32"/>
          <w:lang w:val="en-US" w:eastAsia="zh-CN"/>
        </w:rPr>
        <w:t>四是强基层。</w:t>
      </w:r>
      <w:r>
        <w:rPr>
          <w:rFonts w:hint="eastAsia" w:ascii="仿宋" w:hAnsi="仿宋" w:eastAsia="仿宋" w:cs="仿宋"/>
          <w:color w:val="000000"/>
          <w:kern w:val="0"/>
          <w:sz w:val="32"/>
          <w:szCs w:val="32"/>
          <w:lang w:val="en-US" w:eastAsia="zh-CN" w:bidi="ar"/>
        </w:rPr>
        <w:t>区中医医院医共体完成中医适宜技术培训556人批次，永州市第四人民医院完成西医诊疗技术培训588人批次。</w:t>
      </w:r>
    </w:p>
    <w:p w14:paraId="321E872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rPr>
        <w:t>（四）、持续推动医防融合，基本公卫服务全面落实。</w:t>
      </w:r>
      <w:r>
        <w:rPr>
          <w:rFonts w:hint="default" w:ascii="仿宋" w:hAnsi="仿宋" w:eastAsia="仿宋" w:cs="仿宋"/>
          <w:color w:val="000000"/>
          <w:kern w:val="0"/>
          <w:sz w:val="32"/>
          <w:szCs w:val="32"/>
          <w:lang w:val="en-US" w:eastAsia="zh-CN" w:bidi="ar"/>
        </w:rPr>
        <w:t>全区176名区医、346名乡医与全区299个</w:t>
      </w:r>
      <w:r>
        <w:rPr>
          <w:rFonts w:hint="eastAsia" w:ascii="仿宋" w:hAnsi="仿宋" w:eastAsia="仿宋" w:cs="仿宋"/>
          <w:color w:val="000000"/>
          <w:kern w:val="0"/>
          <w:sz w:val="32"/>
          <w:szCs w:val="32"/>
          <w:lang w:val="en-US" w:eastAsia="zh-CN" w:bidi="ar"/>
        </w:rPr>
        <w:t>行政</w:t>
      </w:r>
      <w:r>
        <w:rPr>
          <w:rFonts w:hint="default" w:ascii="仿宋" w:hAnsi="仿宋" w:eastAsia="仿宋" w:cs="仿宋"/>
          <w:color w:val="000000"/>
          <w:kern w:val="0"/>
          <w:sz w:val="32"/>
          <w:szCs w:val="32"/>
          <w:lang w:val="en-US" w:eastAsia="zh-CN" w:bidi="ar"/>
        </w:rPr>
        <w:t>村</w:t>
      </w:r>
      <w:r>
        <w:rPr>
          <w:rFonts w:hint="eastAsia" w:ascii="仿宋" w:hAnsi="仿宋" w:eastAsia="仿宋" w:cs="仿宋"/>
          <w:color w:val="000000"/>
          <w:kern w:val="0"/>
          <w:sz w:val="32"/>
          <w:szCs w:val="32"/>
          <w:lang w:val="en-US" w:eastAsia="zh-CN" w:bidi="ar"/>
        </w:rPr>
        <w:t>和35个社区</w:t>
      </w:r>
      <w:r>
        <w:rPr>
          <w:rFonts w:hint="default" w:ascii="仿宋" w:hAnsi="仿宋" w:eastAsia="仿宋" w:cs="仿宋"/>
          <w:color w:val="000000"/>
          <w:kern w:val="0"/>
          <w:sz w:val="32"/>
          <w:szCs w:val="32"/>
          <w:lang w:val="en-US" w:eastAsia="zh-CN" w:bidi="ar"/>
        </w:rPr>
        <w:t>组建“1+1+1+N”包村团队346个，全面落实14大类基本公共卫生服务项目，截止1</w:t>
      </w:r>
      <w:r>
        <w:rPr>
          <w:rFonts w:hint="eastAsia" w:ascii="仿宋" w:hAnsi="仿宋" w:eastAsia="仿宋" w:cs="仿宋"/>
          <w:color w:val="000000"/>
          <w:kern w:val="0"/>
          <w:sz w:val="32"/>
          <w:szCs w:val="32"/>
          <w:lang w:val="en-US" w:eastAsia="zh-CN" w:bidi="ar"/>
        </w:rPr>
        <w:t>2</w:t>
      </w:r>
      <w:r>
        <w:rPr>
          <w:rFonts w:hint="default" w:ascii="仿宋" w:hAnsi="仿宋" w:eastAsia="仿宋" w:cs="仿宋"/>
          <w:color w:val="000000"/>
          <w:kern w:val="0"/>
          <w:sz w:val="32"/>
          <w:szCs w:val="32"/>
          <w:lang w:val="en-US" w:eastAsia="zh-CN" w:bidi="ar"/>
        </w:rPr>
        <w:t>月3</w:t>
      </w:r>
      <w:r>
        <w:rPr>
          <w:rFonts w:hint="eastAsia" w:ascii="仿宋" w:hAnsi="仿宋" w:eastAsia="仿宋" w:cs="仿宋"/>
          <w:color w:val="000000"/>
          <w:kern w:val="0"/>
          <w:sz w:val="32"/>
          <w:szCs w:val="32"/>
          <w:lang w:val="en-US" w:eastAsia="zh-CN" w:bidi="ar"/>
        </w:rPr>
        <w:t>1</w:t>
      </w:r>
      <w:r>
        <w:rPr>
          <w:rFonts w:hint="default" w:ascii="仿宋" w:hAnsi="仿宋" w:eastAsia="仿宋" w:cs="仿宋"/>
          <w:color w:val="000000"/>
          <w:kern w:val="0"/>
          <w:sz w:val="32"/>
          <w:szCs w:val="32"/>
          <w:lang w:val="en-US" w:eastAsia="zh-CN" w:bidi="ar"/>
        </w:rPr>
        <w:t>日家庭医生签约</w:t>
      </w:r>
      <w:r>
        <w:rPr>
          <w:rFonts w:hint="eastAsia" w:ascii="仿宋" w:hAnsi="仿宋" w:eastAsia="仿宋" w:cs="仿宋"/>
          <w:color w:val="000000"/>
          <w:kern w:val="0"/>
          <w:sz w:val="32"/>
          <w:szCs w:val="32"/>
          <w:lang w:val="en-US" w:eastAsia="zh-CN" w:bidi="ar"/>
        </w:rPr>
        <w:t>共52.21</w:t>
      </w:r>
      <w:r>
        <w:rPr>
          <w:rFonts w:hint="default" w:ascii="仿宋" w:hAnsi="仿宋" w:eastAsia="仿宋" w:cs="仿宋"/>
          <w:color w:val="000000"/>
          <w:kern w:val="0"/>
          <w:sz w:val="32"/>
          <w:szCs w:val="32"/>
          <w:lang w:val="en-US" w:eastAsia="zh-CN" w:bidi="ar"/>
        </w:rPr>
        <w:t>万人，</w:t>
      </w:r>
      <w:r>
        <w:rPr>
          <w:rFonts w:hint="eastAsia" w:ascii="仿宋" w:hAnsi="仿宋" w:eastAsia="仿宋" w:cs="仿宋"/>
          <w:color w:val="000000"/>
          <w:kern w:val="0"/>
          <w:sz w:val="32"/>
          <w:szCs w:val="32"/>
          <w:lang w:val="en-US" w:eastAsia="zh-CN" w:bidi="ar"/>
        </w:rPr>
        <w:t>重点人群签约管理达到18.36万人，</w:t>
      </w:r>
      <w:r>
        <w:rPr>
          <w:rFonts w:hint="default" w:ascii="仿宋" w:hAnsi="仿宋" w:eastAsia="仿宋" w:cs="仿宋"/>
          <w:color w:val="000000"/>
          <w:kern w:val="0"/>
          <w:sz w:val="32"/>
          <w:szCs w:val="32"/>
          <w:lang w:val="en-US" w:eastAsia="zh-CN" w:bidi="ar"/>
        </w:rPr>
        <w:t>脱贫和重点监测对象4</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09</w:t>
      </w:r>
      <w:r>
        <w:rPr>
          <w:rFonts w:hint="eastAsia" w:ascii="仿宋" w:hAnsi="仿宋" w:eastAsia="仿宋" w:cs="仿宋"/>
          <w:color w:val="000000"/>
          <w:kern w:val="0"/>
          <w:sz w:val="32"/>
          <w:szCs w:val="32"/>
          <w:lang w:val="en-US" w:eastAsia="zh-CN" w:bidi="ar"/>
        </w:rPr>
        <w:t>万人；65岁以上老年人健康管理任务书59000人，实际完成59174人，完成率100.3%；高血压规范管理率84.36%、糖尿病规范管理率83.92%；精神病患者管理数3287人、有效管理3287人、管理率100%；肺结核患者管理数300人、有效管理299人、管理率99.67%；早孕建册率99.56%，孕产妇管理率98.94%，产后访视率99.25%，孕产妇零死亡。0-6岁儿童健康管理率99.32%。</w:t>
      </w:r>
      <w:r>
        <w:rPr>
          <w:rFonts w:hint="default" w:ascii="仿宋" w:hAnsi="仿宋" w:eastAsia="仿宋" w:cs="仿宋"/>
          <w:color w:val="000000"/>
          <w:kern w:val="0"/>
          <w:sz w:val="32"/>
          <w:szCs w:val="32"/>
          <w:lang w:val="en-US" w:eastAsia="zh-CN" w:bidi="ar"/>
        </w:rPr>
        <w:t>实施民生实事“两癌”筛查和新生儿疾病筛查，2024年市里分配我区“两癌”筛查12000人，已于2024年10月30日全部完成任务，</w:t>
      </w:r>
      <w:r>
        <w:rPr>
          <w:rFonts w:hint="eastAsia" w:ascii="仿宋" w:hAnsi="仿宋" w:eastAsia="仿宋" w:cs="仿宋"/>
          <w:color w:val="000000"/>
          <w:kern w:val="0"/>
          <w:sz w:val="32"/>
          <w:szCs w:val="32"/>
          <w:lang w:val="en-US" w:eastAsia="zh-CN" w:bidi="ar"/>
        </w:rPr>
        <w:t>20</w:t>
      </w:r>
      <w:r>
        <w:rPr>
          <w:rFonts w:hint="default" w:ascii="仿宋" w:hAnsi="仿宋" w:eastAsia="仿宋" w:cs="仿宋"/>
          <w:color w:val="000000"/>
          <w:kern w:val="0"/>
          <w:sz w:val="32"/>
          <w:szCs w:val="32"/>
          <w:lang w:val="en-US" w:eastAsia="zh-CN" w:bidi="ar"/>
        </w:rPr>
        <w:t>24年新生儿筛查2350人次，于12月20日完成</w:t>
      </w:r>
      <w:r>
        <w:rPr>
          <w:rFonts w:hint="eastAsia" w:ascii="仿宋" w:hAnsi="仿宋" w:eastAsia="仿宋" w:cs="仿宋"/>
          <w:color w:val="000000"/>
          <w:kern w:val="0"/>
          <w:sz w:val="32"/>
          <w:szCs w:val="32"/>
          <w:lang w:val="en-US" w:eastAsia="zh-CN" w:bidi="ar"/>
        </w:rPr>
        <w:t>任务。</w:t>
      </w:r>
    </w:p>
    <w:p w14:paraId="4B63B33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rPr>
        <w:t>（五）持续建设健康零陵，健康零陵行动和爱国卫生运动有力开展</w:t>
      </w:r>
      <w:r>
        <w:rPr>
          <w:rFonts w:hint="eastAsia" w:ascii="仿宋_GB2312" w:hAnsi="仿宋_GB2312" w:eastAsia="仿宋_GB2312" w:cs="仿宋_GB2312"/>
          <w:b/>
          <w:bCs/>
          <w:i w:val="0"/>
          <w:iCs w:val="0"/>
          <w:caps w:val="0"/>
          <w:color w:val="auto"/>
          <w:spacing w:val="0"/>
          <w:sz w:val="32"/>
          <w:szCs w:val="32"/>
          <w:shd w:val="clear" w:color="auto" w:fill="FFFFFF"/>
          <w:lang w:eastAsia="zh-CN"/>
        </w:rPr>
        <w:t>。</w:t>
      </w:r>
      <w:r>
        <w:rPr>
          <w:rFonts w:hint="eastAsia" w:ascii="仿宋_GB2312" w:hAnsi="仿宋_GB2312" w:cs="仿宋_GB2312"/>
          <w:b/>
          <w:bCs/>
          <w:i w:val="0"/>
          <w:iCs w:val="0"/>
          <w:caps w:val="0"/>
          <w:color w:val="auto"/>
          <w:spacing w:val="0"/>
          <w:sz w:val="32"/>
          <w:szCs w:val="32"/>
          <w:shd w:val="clear" w:color="auto" w:fill="FFFFFF"/>
          <w:lang w:val="en-US" w:eastAsia="zh-CN"/>
        </w:rPr>
        <w:t>一是抓实巩卫复审工作。</w:t>
      </w:r>
      <w:r>
        <w:rPr>
          <w:rFonts w:hint="eastAsia" w:ascii="仿宋" w:hAnsi="仿宋" w:eastAsia="仿宋" w:cs="仿宋"/>
          <w:color w:val="000000"/>
          <w:kern w:val="0"/>
          <w:sz w:val="32"/>
          <w:szCs w:val="32"/>
          <w:lang w:val="en-US" w:eastAsia="zh-CN" w:bidi="ar"/>
        </w:rPr>
        <w:t>全面落实国卫复审前期准备工作</w:t>
      </w:r>
      <w:r>
        <w:rPr>
          <w:rFonts w:hint="default" w:ascii="仿宋" w:hAnsi="仿宋" w:eastAsia="仿宋" w:cs="仿宋"/>
          <w:color w:val="000000"/>
          <w:kern w:val="0"/>
          <w:sz w:val="32"/>
          <w:szCs w:val="32"/>
          <w:lang w:val="en-US" w:eastAsia="zh-CN" w:bidi="ar"/>
        </w:rPr>
        <w:t>。</w:t>
      </w:r>
      <w:r>
        <w:rPr>
          <w:rFonts w:hint="eastAsia" w:ascii="仿宋_GB2312" w:hAnsi="仿宋_GB2312" w:cs="仿宋_GB2312"/>
          <w:b/>
          <w:bCs/>
          <w:i w:val="0"/>
          <w:iCs w:val="0"/>
          <w:caps w:val="0"/>
          <w:color w:val="auto"/>
          <w:spacing w:val="0"/>
          <w:sz w:val="32"/>
          <w:szCs w:val="32"/>
          <w:shd w:val="clear" w:color="auto" w:fill="FFFFFF"/>
          <w:lang w:val="en-US" w:eastAsia="zh-CN"/>
        </w:rPr>
        <w:t>二是积极开展爱国卫生运动。</w:t>
      </w:r>
      <w:r>
        <w:rPr>
          <w:rFonts w:hint="eastAsia" w:ascii="仿宋" w:hAnsi="仿宋" w:eastAsia="仿宋" w:cs="仿宋"/>
          <w:color w:val="000000"/>
          <w:kern w:val="0"/>
          <w:sz w:val="32"/>
          <w:szCs w:val="32"/>
          <w:lang w:val="en-US" w:eastAsia="zh-CN" w:bidi="ar"/>
        </w:rPr>
        <w:t>2024年</w:t>
      </w:r>
      <w:r>
        <w:rPr>
          <w:rFonts w:hint="default" w:ascii="仿宋" w:hAnsi="仿宋" w:eastAsia="仿宋" w:cs="仿宋"/>
          <w:color w:val="000000"/>
          <w:kern w:val="0"/>
          <w:sz w:val="32"/>
          <w:szCs w:val="32"/>
          <w:lang w:val="en-US" w:eastAsia="zh-CN" w:bidi="ar"/>
        </w:rPr>
        <w:t xml:space="preserve">共举办健康知识讲座 </w:t>
      </w:r>
      <w:r>
        <w:rPr>
          <w:rFonts w:hint="eastAsia" w:ascii="仿宋" w:hAnsi="仿宋" w:eastAsia="仿宋" w:cs="仿宋"/>
          <w:color w:val="000000"/>
          <w:kern w:val="0"/>
          <w:sz w:val="32"/>
          <w:szCs w:val="32"/>
          <w:lang w:val="en-US" w:eastAsia="zh-CN" w:bidi="ar"/>
        </w:rPr>
        <w:t>160余</w:t>
      </w:r>
      <w:r>
        <w:rPr>
          <w:rFonts w:hint="default" w:ascii="仿宋" w:hAnsi="仿宋" w:eastAsia="仿宋" w:cs="仿宋"/>
          <w:color w:val="000000"/>
          <w:kern w:val="0"/>
          <w:sz w:val="32"/>
          <w:szCs w:val="32"/>
          <w:lang w:val="en-US" w:eastAsia="zh-CN" w:bidi="ar"/>
        </w:rPr>
        <w:t>场次，受益群众达</w:t>
      </w:r>
      <w:r>
        <w:rPr>
          <w:rFonts w:hint="eastAsia" w:ascii="仿宋" w:hAnsi="仿宋" w:eastAsia="仿宋" w:cs="仿宋"/>
          <w:color w:val="000000"/>
          <w:kern w:val="0"/>
          <w:sz w:val="32"/>
          <w:szCs w:val="32"/>
          <w:lang w:val="en-US" w:eastAsia="zh-CN" w:bidi="ar"/>
        </w:rPr>
        <w:t>20000</w:t>
      </w:r>
      <w:r>
        <w:rPr>
          <w:rFonts w:hint="default" w:ascii="仿宋" w:hAnsi="仿宋" w:eastAsia="仿宋" w:cs="仿宋"/>
          <w:color w:val="000000"/>
          <w:kern w:val="0"/>
          <w:sz w:val="32"/>
          <w:szCs w:val="32"/>
          <w:lang w:val="en-US" w:eastAsia="zh-CN" w:bidi="ar"/>
        </w:rPr>
        <w:t>余人次</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全区无烟党政机关、无烟学校、无烟医疗卫生机构覆盖率100%。</w:t>
      </w:r>
      <w:r>
        <w:rPr>
          <w:rFonts w:hint="eastAsia" w:ascii="仿宋_GB2312" w:hAnsi="仿宋_GB2312" w:cs="仿宋_GB2312"/>
          <w:b/>
          <w:bCs/>
          <w:i w:val="0"/>
          <w:iCs w:val="0"/>
          <w:caps w:val="0"/>
          <w:color w:val="auto"/>
          <w:spacing w:val="0"/>
          <w:sz w:val="32"/>
          <w:szCs w:val="32"/>
          <w:shd w:val="clear" w:color="auto" w:fill="FFFFFF"/>
          <w:lang w:val="en-US" w:eastAsia="zh-CN"/>
        </w:rPr>
        <w:t>三是加强传染病防控体系建设。</w:t>
      </w:r>
      <w:r>
        <w:rPr>
          <w:rFonts w:hint="eastAsia" w:ascii="仿宋" w:hAnsi="仿宋" w:eastAsia="仿宋" w:cs="仿宋"/>
          <w:color w:val="000000"/>
          <w:kern w:val="0"/>
          <w:sz w:val="32"/>
          <w:szCs w:val="32"/>
          <w:lang w:val="en-US" w:eastAsia="zh-CN" w:bidi="ar"/>
        </w:rPr>
        <w:t>区疾控中心和区卫生监督执法局完成合并，辖区4家二级以上公立医院进行传染病监测预警前置软件部署工作，传染病监测预警水平进一步提升，全年未发生重大疫情和突发公共卫生事件。</w:t>
      </w:r>
    </w:p>
    <w:p w14:paraId="32C418A1">
      <w:pPr>
        <w:pStyle w:val="10"/>
        <w:spacing w:line="570" w:lineRule="exact"/>
        <w:ind w:left="0" w:leftChars="0" w:firstLine="640" w:firstLineChars="200"/>
        <w:jc w:val="both"/>
        <w:rPr>
          <w:rFonts w:ascii="Times New Roman" w:hAnsi="Times New Roman" w:eastAsia="黑体"/>
          <w:sz w:val="32"/>
          <w:szCs w:val="32"/>
        </w:rPr>
      </w:pPr>
      <w:r>
        <w:rPr>
          <w:rFonts w:ascii="Times New Roman" w:hAnsi="Times New Roman" w:eastAsia="黑体"/>
          <w:sz w:val="32"/>
          <w:szCs w:val="32"/>
        </w:rPr>
        <w:t>七、存在的问题及原因分析</w:t>
      </w:r>
    </w:p>
    <w:p w14:paraId="46C882DB">
      <w:pPr>
        <w:spacing w:line="600" w:lineRule="exact"/>
        <w:ind w:rightChars="-31" w:firstLine="420" w:firstLineChars="200"/>
        <w:rPr>
          <w:rFonts w:hint="eastAsia" w:ascii="仿宋" w:hAnsi="仿宋" w:eastAsia="仿宋" w:cs="仿宋"/>
          <w:b w:val="0"/>
          <w:bCs/>
          <w:sz w:val="32"/>
          <w:szCs w:val="32"/>
          <w:lang w:eastAsia="zh-CN"/>
        </w:rPr>
      </w:pPr>
      <w:r>
        <w:rPr>
          <w:rFonts w:hint="eastAsia"/>
          <w:lang w:val="en-US" w:eastAsia="zh-CN"/>
        </w:rPr>
        <w:t xml:space="preserve">  </w:t>
      </w:r>
      <w:r>
        <w:rPr>
          <w:rFonts w:hint="eastAsia" w:ascii="仿宋" w:hAnsi="仿宋" w:eastAsia="仿宋" w:cs="仿宋"/>
          <w:b w:val="0"/>
          <w:bCs/>
          <w:sz w:val="32"/>
          <w:szCs w:val="32"/>
          <w:lang w:eastAsia="zh-CN"/>
        </w:rPr>
        <w:t>（一）由于</w:t>
      </w:r>
      <w:r>
        <w:rPr>
          <w:rFonts w:hint="eastAsia" w:ascii="仿宋" w:hAnsi="仿宋" w:eastAsia="仿宋" w:cs="仿宋"/>
          <w:b w:val="0"/>
          <w:bCs/>
          <w:sz w:val="32"/>
          <w:szCs w:val="32"/>
          <w:lang w:val="en-US" w:eastAsia="zh-CN"/>
        </w:rPr>
        <w:t>两扶、城镇独生子女父母奖励、独生子女保健费等民生项目扶助对象的浮动性，</w:t>
      </w:r>
      <w:r>
        <w:rPr>
          <w:rFonts w:hint="eastAsia" w:ascii="仿宋" w:hAnsi="仿宋" w:eastAsia="仿宋" w:cs="仿宋"/>
          <w:b w:val="0"/>
          <w:bCs/>
          <w:sz w:val="32"/>
          <w:szCs w:val="32"/>
          <w:lang w:eastAsia="zh-CN"/>
        </w:rPr>
        <w:t>编制预算时难以精确预计，导致预算执行中存在偏差。</w:t>
      </w:r>
    </w:p>
    <w:p w14:paraId="769B29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（二）、预算绩效工作有待提高，预算绩效目标编制的规范性、合理性、科学性有待提升。</w:t>
      </w:r>
    </w:p>
    <w:p w14:paraId="69BAC1C1">
      <w:pPr>
        <w:spacing w:line="570" w:lineRule="exact"/>
        <w:ind w:firstLine="640" w:firstLineChars="200"/>
        <w:jc w:val="both"/>
        <w:rPr>
          <w:rFonts w:eastAsia="黑体"/>
          <w:sz w:val="32"/>
          <w:szCs w:val="32"/>
        </w:rPr>
      </w:pPr>
      <w:r>
        <w:rPr>
          <w:rFonts w:eastAsia="黑体"/>
          <w:sz w:val="32"/>
          <w:szCs w:val="32"/>
        </w:rPr>
        <w:t>八、下一步改进措施</w:t>
      </w:r>
    </w:p>
    <w:p w14:paraId="523DB97A">
      <w:pPr>
        <w:spacing w:line="600" w:lineRule="exact"/>
        <w:ind w:rightChars="-31"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lang w:eastAsia="zh-CN"/>
        </w:rPr>
        <w:t>科学编制预算，提高预算准确率</w:t>
      </w:r>
    </w:p>
    <w:p w14:paraId="55ADE90C">
      <w:pPr>
        <w:spacing w:line="600" w:lineRule="exact"/>
        <w:ind w:rightChars="-31" w:firstLine="640" w:firstLineChars="200"/>
        <w:rPr>
          <w:rFonts w:hint="default" w:ascii="仿宋" w:hAnsi="仿宋" w:eastAsia="仿宋" w:cs="仿宋"/>
          <w:b w:val="0"/>
          <w:bCs/>
          <w:sz w:val="32"/>
          <w:szCs w:val="32"/>
          <w:lang w:eastAsia="zh-CN"/>
        </w:rPr>
      </w:pPr>
      <w:r>
        <w:rPr>
          <w:rFonts w:hint="eastAsia" w:ascii="仿宋" w:hAnsi="仿宋" w:eastAsia="仿宋" w:cs="仿宋"/>
          <w:b w:val="0"/>
          <w:bCs/>
          <w:sz w:val="32"/>
          <w:szCs w:val="32"/>
          <w:lang w:val="en-US" w:eastAsia="zh-CN"/>
        </w:rPr>
        <w:t>（二）</w:t>
      </w:r>
      <w:r>
        <w:rPr>
          <w:rFonts w:hint="eastAsia" w:ascii="仿宋" w:hAnsi="仿宋" w:eastAsia="仿宋" w:cs="仿宋"/>
          <w:b w:val="0"/>
          <w:bCs/>
          <w:sz w:val="32"/>
          <w:szCs w:val="32"/>
          <w:lang w:eastAsia="zh-CN"/>
        </w:rPr>
        <w:t>按照财政部门的要求，同部开展预算绩效管理工作，加强业务知识学习，提升预算绩效目标编制的规范性、合理性、科学性。</w:t>
      </w:r>
    </w:p>
    <w:p w14:paraId="25EC3E02">
      <w:pPr>
        <w:spacing w:line="570" w:lineRule="exact"/>
        <w:ind w:firstLine="640" w:firstLineChars="200"/>
        <w:jc w:val="both"/>
        <w:rPr>
          <w:rFonts w:eastAsia="黑体"/>
          <w:sz w:val="32"/>
          <w:szCs w:val="32"/>
        </w:rPr>
      </w:pPr>
      <w:r>
        <w:rPr>
          <w:rFonts w:eastAsia="黑体"/>
          <w:sz w:val="32"/>
          <w:szCs w:val="32"/>
        </w:rPr>
        <w:t>九、部门整体支出绩效自评结果拟应用和公开情况</w:t>
      </w:r>
    </w:p>
    <w:p w14:paraId="17E891EB">
      <w:pPr>
        <w:spacing w:line="570" w:lineRule="exact"/>
        <w:ind w:firstLine="640" w:firstLineChars="200"/>
        <w:jc w:val="both"/>
        <w:rPr>
          <w:rFonts w:hint="eastAsia" w:eastAsia="黑体"/>
          <w:lang w:val="en-US" w:eastAsia="zh-CN"/>
        </w:rPr>
      </w:pPr>
      <w:r>
        <w:rPr>
          <w:rFonts w:hint="eastAsia" w:eastAsia="黑体"/>
          <w:sz w:val="32"/>
          <w:szCs w:val="32"/>
          <w:lang w:val="en-US" w:eastAsia="zh-CN"/>
        </w:rPr>
        <w:t xml:space="preserve"> </w:t>
      </w:r>
      <w:r>
        <w:rPr>
          <w:rFonts w:hint="eastAsia" w:ascii="仿宋" w:hAnsi="仿宋" w:eastAsia="仿宋" w:cs="仿宋"/>
          <w:b w:val="0"/>
          <w:bCs/>
          <w:sz w:val="32"/>
          <w:szCs w:val="32"/>
          <w:lang w:val="en-US" w:eastAsia="zh-CN"/>
        </w:rPr>
        <w:t>我局将根据绩效自评结果，对照绩效目标完成情况，健全和完善相关政策制度，认真完成各项工作任务，提高社会各界的满意度。自评结果按规定在我局部门网站公开。</w:t>
      </w:r>
    </w:p>
    <w:p w14:paraId="473C5F6E">
      <w:pPr>
        <w:spacing w:line="570" w:lineRule="exact"/>
        <w:ind w:firstLine="640" w:firstLineChars="200"/>
        <w:jc w:val="both"/>
        <w:rPr>
          <w:rFonts w:eastAsia="黑体"/>
          <w:sz w:val="32"/>
          <w:szCs w:val="32"/>
        </w:rPr>
      </w:pPr>
      <w:r>
        <w:rPr>
          <w:rFonts w:hint="eastAsia" w:eastAsia="黑体"/>
          <w:sz w:val="32"/>
          <w:szCs w:val="32"/>
        </w:rPr>
        <w:t>十、</w:t>
      </w:r>
      <w:r>
        <w:rPr>
          <w:rFonts w:eastAsia="黑体"/>
          <w:sz w:val="32"/>
          <w:szCs w:val="32"/>
        </w:rPr>
        <w:t>其他需要说明的情况</w:t>
      </w:r>
    </w:p>
    <w:p w14:paraId="1C9C97E8">
      <w:pPr>
        <w:spacing w:after="120" w:afterLines="50" w:line="600" w:lineRule="exact"/>
        <w:rPr>
          <w:rFonts w:hint="eastAsia" w:eastAsia="黑体"/>
          <w:sz w:val="32"/>
          <w:szCs w:val="32"/>
          <w:lang w:val="en-US" w:eastAsia="zh-CN"/>
        </w:rPr>
      </w:pPr>
      <w:r>
        <w:rPr>
          <w:rFonts w:hint="eastAsia" w:eastAsia="黑体"/>
          <w:sz w:val="32"/>
          <w:szCs w:val="32"/>
          <w:lang w:val="en-US" w:eastAsia="zh-CN"/>
        </w:rPr>
        <w:t xml:space="preserve">    </w:t>
      </w:r>
      <w:r>
        <w:rPr>
          <w:rFonts w:hint="eastAsia" w:ascii="仿宋" w:hAnsi="仿宋" w:eastAsia="仿宋" w:cs="仿宋"/>
          <w:b w:val="0"/>
          <w:bCs/>
          <w:sz w:val="32"/>
          <w:szCs w:val="32"/>
          <w:lang w:val="en-US" w:eastAsia="zh-CN"/>
        </w:rPr>
        <w:t>无</w:t>
      </w:r>
    </w:p>
    <w:p w14:paraId="4340BB3C">
      <w:pPr>
        <w:spacing w:after="120" w:afterLines="50" w:line="600" w:lineRule="exact"/>
        <w:rPr>
          <w:rFonts w:eastAsia="黑体"/>
          <w:sz w:val="32"/>
          <w:szCs w:val="32"/>
        </w:rPr>
      </w:pPr>
    </w:p>
    <w:p w14:paraId="1ADED6A2">
      <w:pPr>
        <w:spacing w:after="120" w:afterLines="50" w:line="600" w:lineRule="exact"/>
        <w:rPr>
          <w:rFonts w:eastAsia="黑体"/>
          <w:sz w:val="32"/>
          <w:szCs w:val="32"/>
        </w:rPr>
      </w:pPr>
    </w:p>
    <w:p w14:paraId="405CCA98">
      <w:pPr>
        <w:spacing w:after="120" w:afterLines="50" w:line="600" w:lineRule="exact"/>
        <w:rPr>
          <w:rFonts w:eastAsia="黑体"/>
          <w:sz w:val="32"/>
          <w:szCs w:val="32"/>
        </w:rPr>
      </w:pPr>
    </w:p>
    <w:p w14:paraId="0209D18C">
      <w:pPr>
        <w:spacing w:after="120" w:afterLines="50" w:line="600" w:lineRule="exact"/>
        <w:rPr>
          <w:rFonts w:eastAsia="黑体"/>
          <w:sz w:val="32"/>
          <w:szCs w:val="32"/>
        </w:rPr>
      </w:pPr>
    </w:p>
    <w:p w14:paraId="5C75044E">
      <w:pPr>
        <w:spacing w:after="120" w:afterLines="50" w:line="600" w:lineRule="exact"/>
        <w:rPr>
          <w:rFonts w:eastAsia="黑体"/>
          <w:sz w:val="32"/>
          <w:szCs w:val="32"/>
        </w:rPr>
      </w:pPr>
    </w:p>
    <w:p w14:paraId="19183E07">
      <w:pPr>
        <w:spacing w:after="120" w:afterLines="50" w:line="600" w:lineRule="exact"/>
        <w:rPr>
          <w:rFonts w:eastAsia="黑体"/>
          <w:sz w:val="32"/>
          <w:szCs w:val="32"/>
        </w:rPr>
      </w:pPr>
    </w:p>
    <w:p w14:paraId="3BD09066">
      <w:pPr>
        <w:spacing w:after="120" w:afterLines="50" w:line="600" w:lineRule="exact"/>
        <w:rPr>
          <w:rFonts w:eastAsia="黑体"/>
          <w:sz w:val="32"/>
          <w:szCs w:val="32"/>
        </w:rPr>
      </w:pPr>
    </w:p>
    <w:p w14:paraId="7606ABA2">
      <w:pPr>
        <w:spacing w:after="120" w:afterLines="50" w:line="600" w:lineRule="exact"/>
        <w:rPr>
          <w:rFonts w:eastAsia="黑体"/>
          <w:sz w:val="32"/>
          <w:szCs w:val="32"/>
        </w:rPr>
      </w:pPr>
    </w:p>
    <w:p w14:paraId="19F7B752">
      <w:pPr>
        <w:spacing w:after="120" w:afterLines="50" w:line="600" w:lineRule="exact"/>
        <w:rPr>
          <w:rFonts w:eastAsia="黑体"/>
          <w:sz w:val="32"/>
          <w:szCs w:val="32"/>
        </w:rPr>
      </w:pPr>
    </w:p>
    <w:p w14:paraId="3DD2AD33">
      <w:pPr>
        <w:spacing w:after="120" w:afterLines="50" w:line="600" w:lineRule="exact"/>
        <w:rPr>
          <w:rFonts w:eastAsia="黑体"/>
          <w:sz w:val="32"/>
          <w:szCs w:val="32"/>
        </w:rPr>
      </w:pPr>
    </w:p>
    <w:p w14:paraId="65404998">
      <w:pPr>
        <w:spacing w:after="120" w:afterLines="50" w:line="600" w:lineRule="exact"/>
        <w:rPr>
          <w:rFonts w:eastAsia="黑体"/>
          <w:sz w:val="32"/>
          <w:szCs w:val="32"/>
        </w:rPr>
      </w:pPr>
    </w:p>
    <w:p w14:paraId="2736D650">
      <w:pPr>
        <w:spacing w:after="120" w:afterLines="50" w:line="600" w:lineRule="exact"/>
        <w:rPr>
          <w:rFonts w:eastAsia="黑体"/>
          <w:sz w:val="32"/>
          <w:szCs w:val="32"/>
        </w:rPr>
      </w:pPr>
    </w:p>
    <w:p w14:paraId="536A1F92">
      <w:pPr>
        <w:spacing w:after="120" w:afterLines="50" w:line="600" w:lineRule="exact"/>
        <w:rPr>
          <w:rFonts w:eastAsia="黑体"/>
          <w:sz w:val="32"/>
          <w:szCs w:val="32"/>
        </w:rPr>
      </w:pPr>
    </w:p>
    <w:p w14:paraId="76F78F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86D73"/>
    <w:multiLevelType w:val="singleLevel"/>
    <w:tmpl w:val="EF586D73"/>
    <w:lvl w:ilvl="0" w:tentative="0">
      <w:start w:val="2"/>
      <w:numFmt w:val="chineseCounting"/>
      <w:suff w:val="nothing"/>
      <w:lvlText w:val="%1、"/>
      <w:lvlJc w:val="left"/>
      <w:rPr>
        <w:rFonts w:hint="eastAsia"/>
      </w:rPr>
    </w:lvl>
  </w:abstractNum>
  <w:abstractNum w:abstractNumId="1">
    <w:nsid w:val="0206DB2C"/>
    <w:multiLevelType w:val="singleLevel"/>
    <w:tmpl w:val="0206DB2C"/>
    <w:lvl w:ilvl="0" w:tentative="0">
      <w:start w:val="3"/>
      <w:numFmt w:val="chineseCounting"/>
      <w:suff w:val="nothing"/>
      <w:lvlText w:val="%1、"/>
      <w:lvlJc w:val="left"/>
      <w:rPr>
        <w:rFonts w:hint="eastAsia"/>
      </w:rPr>
    </w:lvl>
  </w:abstractNum>
  <w:abstractNum w:abstractNumId="2">
    <w:nsid w:val="2FCE41DD"/>
    <w:multiLevelType w:val="singleLevel"/>
    <w:tmpl w:val="2FCE41DD"/>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E7573"/>
    <w:rsid w:val="02F4621A"/>
    <w:rsid w:val="04510BD4"/>
    <w:rsid w:val="05945705"/>
    <w:rsid w:val="063E73E4"/>
    <w:rsid w:val="0763080B"/>
    <w:rsid w:val="08542AA4"/>
    <w:rsid w:val="09DA198C"/>
    <w:rsid w:val="0BCF297E"/>
    <w:rsid w:val="0C441A8F"/>
    <w:rsid w:val="0EAF29DB"/>
    <w:rsid w:val="0EFD4DA5"/>
    <w:rsid w:val="10405DF2"/>
    <w:rsid w:val="10E0483F"/>
    <w:rsid w:val="111A0188"/>
    <w:rsid w:val="12562F2A"/>
    <w:rsid w:val="139C6C92"/>
    <w:rsid w:val="16AB2243"/>
    <w:rsid w:val="19DA4987"/>
    <w:rsid w:val="1A0748A5"/>
    <w:rsid w:val="1D0542B7"/>
    <w:rsid w:val="1ECB3DD3"/>
    <w:rsid w:val="2047491F"/>
    <w:rsid w:val="20830B49"/>
    <w:rsid w:val="216B38D4"/>
    <w:rsid w:val="22714551"/>
    <w:rsid w:val="23A62856"/>
    <w:rsid w:val="24537262"/>
    <w:rsid w:val="25190A78"/>
    <w:rsid w:val="26A42A94"/>
    <w:rsid w:val="26C20C88"/>
    <w:rsid w:val="279C3820"/>
    <w:rsid w:val="27C65BC6"/>
    <w:rsid w:val="28F2304B"/>
    <w:rsid w:val="2BDA0023"/>
    <w:rsid w:val="2C8343A7"/>
    <w:rsid w:val="2CFD11CB"/>
    <w:rsid w:val="2D1A4C85"/>
    <w:rsid w:val="2D331E65"/>
    <w:rsid w:val="2E4B46C3"/>
    <w:rsid w:val="341B06BA"/>
    <w:rsid w:val="343D144B"/>
    <w:rsid w:val="34F00EE1"/>
    <w:rsid w:val="392A2C16"/>
    <w:rsid w:val="394852B1"/>
    <w:rsid w:val="3A5B7118"/>
    <w:rsid w:val="3D2C181D"/>
    <w:rsid w:val="3DB164C9"/>
    <w:rsid w:val="3E5F785C"/>
    <w:rsid w:val="3EFD41AC"/>
    <w:rsid w:val="40AD3E6B"/>
    <w:rsid w:val="426801E2"/>
    <w:rsid w:val="45EE6205"/>
    <w:rsid w:val="47A27EC4"/>
    <w:rsid w:val="490D3829"/>
    <w:rsid w:val="49E3288B"/>
    <w:rsid w:val="4AFA6B98"/>
    <w:rsid w:val="4B583BBA"/>
    <w:rsid w:val="4CB717AB"/>
    <w:rsid w:val="4D281185"/>
    <w:rsid w:val="4DD86CAE"/>
    <w:rsid w:val="4E0C3C76"/>
    <w:rsid w:val="4F100B54"/>
    <w:rsid w:val="4FEB2C34"/>
    <w:rsid w:val="5113274F"/>
    <w:rsid w:val="53B47A52"/>
    <w:rsid w:val="55E53DC9"/>
    <w:rsid w:val="565F2A9C"/>
    <w:rsid w:val="56E20BD5"/>
    <w:rsid w:val="57133D18"/>
    <w:rsid w:val="57197B5C"/>
    <w:rsid w:val="59AD6E21"/>
    <w:rsid w:val="5B846A42"/>
    <w:rsid w:val="5BCB3A44"/>
    <w:rsid w:val="5DF510EA"/>
    <w:rsid w:val="5FBD1C15"/>
    <w:rsid w:val="611778E2"/>
    <w:rsid w:val="616F4E23"/>
    <w:rsid w:val="63E04179"/>
    <w:rsid w:val="64194F4F"/>
    <w:rsid w:val="65263F7D"/>
    <w:rsid w:val="656C2FB4"/>
    <w:rsid w:val="67A249D1"/>
    <w:rsid w:val="686805E3"/>
    <w:rsid w:val="69880AF2"/>
    <w:rsid w:val="6CD86B07"/>
    <w:rsid w:val="700C7B7A"/>
    <w:rsid w:val="733338E7"/>
    <w:rsid w:val="737F27D0"/>
    <w:rsid w:val="74970A33"/>
    <w:rsid w:val="76091F2E"/>
    <w:rsid w:val="7A4D5843"/>
    <w:rsid w:val="7B361F42"/>
    <w:rsid w:val="7DF77075"/>
    <w:rsid w:val="7EF8565C"/>
    <w:rsid w:val="7F7A4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w:basedOn w:val="1"/>
    <w:qFormat/>
    <w:uiPriority w:val="0"/>
    <w:pPr>
      <w:spacing w:after="120" w:afterLines="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qFormat/>
    <w:uiPriority w:val="0"/>
    <w:pPr>
      <w:ind w:firstLine="420" w:firstLineChars="200"/>
    </w:pPr>
  </w:style>
  <w:style w:type="character" w:styleId="9">
    <w:name w:val="Emphasis"/>
    <w:basedOn w:val="8"/>
    <w:qFormat/>
    <w:uiPriority w:val="0"/>
    <w:rPr>
      <w:i/>
    </w:rPr>
  </w:style>
  <w:style w:type="paragraph" w:styleId="10">
    <w:name w:val="List Paragraph"/>
    <w:basedOn w:val="1"/>
    <w:qFormat/>
    <w:uiPriority w:val="99"/>
    <w:pPr>
      <w:ind w:firstLine="420" w:firstLineChars="200"/>
    </w:pPr>
    <w:rPr>
      <w:rFonts w:ascii="Calibri" w:hAnsi="Calibri"/>
      <w:kern w:val="0"/>
      <w:sz w:val="28"/>
      <w:szCs w:val="22"/>
    </w:rPr>
  </w:style>
  <w:style w:type="paragraph" w:customStyle="1" w:styleId="11">
    <w:name w:val="_Style 1"/>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4135</Words>
  <Characters>4496</Characters>
  <Lines>0</Lines>
  <Paragraphs>0</Paragraphs>
  <TotalTime>8</TotalTime>
  <ScaleCrop>false</ScaleCrop>
  <LinksUpToDate>false</LinksUpToDate>
  <CharactersWithSpaces>4510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大北斗</cp:lastModifiedBy>
  <dcterms:modified xsi:type="dcterms:W3CDTF">2025-09-17T00:51:25Z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eyJoZGlkIjoiMzQzOGEzNzNjYmY3YTc2ZTEwZDRhNmMxY2JkYTUyMzYiLCJ1c2VySWQiOiIxNTczMzE1NzA4In0=</vt:lpwstr>
  </property>
  <property fmtid="{D5CDD505-2E9C-101B-9397-08002B2CF9AE}" pid="4" name="ICV">
    <vt:lpwstr>6DB5E1EBC7E84C0CB08FF1CD6BF3AB69_13</vt:lpwstr>
  </property>
</Properties>
</file>