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F12E121">
      <w:pPr>
        <w:spacing w:before="0" w:beforeAutospacing="0" w:after="2" w:afterAutospacing="0"/>
        <w:jc w:val="center"/>
      </w:pPr>
      <w:r>
        <w:rPr>
          <w:rStyle w:val="12"/>
          <w:rFonts w:ascii="宋体" w:hAnsi="宋体" w:eastAsia="宋体" w:cs="宋体"/>
          <w:color w:val="000000"/>
          <w:sz w:val="48"/>
          <w:szCs w:val="48"/>
        </w:rPr>
        <w:t>永州市零陵区住房和城乡建设局2025年部门预算公开说明</w:t>
      </w:r>
      <w:r>
        <w:rPr>
          <w:color w:val="000000"/>
        </w:rPr>
        <w:t xml:space="preserve"> </w:t>
      </w:r>
    </w:p>
    <w:p w14:paraId="064FAD61">
      <w:pPr>
        <w:spacing w:before="0" w:beforeAutospacing="0" w:after="2" w:afterAutospacing="0"/>
        <w:jc w:val="center"/>
      </w:pPr>
      <w:r>
        <w:rPr>
          <w:rFonts w:ascii="宋体" w:hAnsi="宋体" w:eastAsia="宋体" w:cs="宋体"/>
          <w:color w:val="000000"/>
          <w:sz w:val="32"/>
          <w:szCs w:val="32"/>
        </w:rPr>
        <w:t> </w:t>
      </w:r>
      <w:r>
        <w:rPr>
          <w:color w:val="000000"/>
        </w:rPr>
        <w:t xml:space="preserve"> </w:t>
      </w:r>
    </w:p>
    <w:p w14:paraId="45F39FBC">
      <w:pPr>
        <w:spacing w:before="0" w:beforeAutospacing="0" w:after="2" w:afterAutospacing="0"/>
        <w:jc w:val="center"/>
      </w:pPr>
      <w:r>
        <w:rPr>
          <w:rStyle w:val="12"/>
          <w:rFonts w:ascii="宋体" w:hAnsi="宋体" w:eastAsia="宋体" w:cs="宋体"/>
          <w:color w:val="000000"/>
          <w:sz w:val="36"/>
          <w:szCs w:val="36"/>
        </w:rPr>
        <w:t>目 录</w:t>
      </w:r>
      <w:r>
        <w:rPr>
          <w:color w:val="000000"/>
        </w:rPr>
        <w:t xml:space="preserve"> </w:t>
      </w:r>
    </w:p>
    <w:p w14:paraId="056C8E5A">
      <w:pPr>
        <w:spacing w:before="0" w:beforeAutospacing="0" w:after="2" w:afterAutospacing="0"/>
        <w:ind w:left="0" w:firstLine="643"/>
      </w:pPr>
      <w:r>
        <w:rPr>
          <w:rFonts w:ascii="宋体" w:hAnsi="宋体" w:eastAsia="宋体" w:cs="宋体"/>
          <w:b/>
          <w:bCs/>
          <w:color w:val="000000"/>
          <w:sz w:val="32"/>
          <w:szCs w:val="32"/>
        </w:rPr>
        <w:t>第一部分 2025年部门预算说明</w:t>
      </w:r>
      <w:r>
        <w:rPr>
          <w:color w:val="000000"/>
        </w:rPr>
        <w:t xml:space="preserve"> </w:t>
      </w:r>
    </w:p>
    <w:p w14:paraId="11D5811D">
      <w:pPr>
        <w:spacing w:before="0" w:beforeAutospacing="0" w:after="2" w:afterAutospacing="0"/>
        <w:ind w:left="0" w:firstLine="643"/>
      </w:pPr>
      <w:r>
        <w:rPr>
          <w:rFonts w:ascii="宋体" w:hAnsi="宋体" w:eastAsia="宋体" w:cs="宋体"/>
          <w:color w:val="000000"/>
          <w:sz w:val="32"/>
          <w:szCs w:val="32"/>
        </w:rPr>
        <w:t>一、部门基本概况</w:t>
      </w:r>
      <w:r>
        <w:rPr>
          <w:color w:val="000000"/>
        </w:rPr>
        <w:t xml:space="preserve"> </w:t>
      </w:r>
    </w:p>
    <w:p w14:paraId="2F0E0C04">
      <w:pPr>
        <w:spacing w:before="0" w:beforeAutospacing="0" w:after="2" w:afterAutospacing="0"/>
        <w:ind w:left="0" w:firstLine="643"/>
      </w:pPr>
      <w:r>
        <w:rPr>
          <w:rFonts w:ascii="宋体" w:hAnsi="宋体" w:eastAsia="宋体" w:cs="宋体"/>
          <w:color w:val="000000"/>
          <w:sz w:val="32"/>
          <w:szCs w:val="32"/>
        </w:rPr>
        <w:t>（一）职能职责</w:t>
      </w:r>
      <w:r>
        <w:rPr>
          <w:color w:val="000000"/>
        </w:rPr>
        <w:t xml:space="preserve"> </w:t>
      </w:r>
    </w:p>
    <w:p w14:paraId="4D21EDB2">
      <w:pPr>
        <w:spacing w:before="0" w:beforeAutospacing="0" w:after="2" w:afterAutospacing="0"/>
        <w:ind w:left="0" w:firstLine="643"/>
      </w:pPr>
      <w:r>
        <w:rPr>
          <w:rFonts w:ascii="宋体" w:hAnsi="宋体" w:eastAsia="宋体" w:cs="宋体"/>
          <w:color w:val="000000"/>
          <w:sz w:val="32"/>
          <w:szCs w:val="32"/>
        </w:rPr>
        <w:t>（二）机构设置</w:t>
      </w:r>
      <w:r>
        <w:rPr>
          <w:color w:val="000000"/>
        </w:rPr>
        <w:t xml:space="preserve"> </w:t>
      </w:r>
    </w:p>
    <w:p w14:paraId="54EA420C">
      <w:pPr>
        <w:spacing w:before="0" w:beforeAutospacing="0" w:after="2" w:afterAutospacing="0"/>
        <w:ind w:left="0" w:firstLine="643"/>
      </w:pPr>
      <w:r>
        <w:rPr>
          <w:rFonts w:ascii="宋体" w:hAnsi="宋体" w:eastAsia="宋体" w:cs="宋体"/>
          <w:color w:val="000000"/>
          <w:sz w:val="32"/>
          <w:szCs w:val="32"/>
        </w:rPr>
        <w:t>二、部门预算单位构成</w:t>
      </w:r>
      <w:r>
        <w:rPr>
          <w:color w:val="000000"/>
        </w:rPr>
        <w:t xml:space="preserve"> </w:t>
      </w:r>
    </w:p>
    <w:p w14:paraId="6354300A">
      <w:pPr>
        <w:spacing w:before="0" w:beforeAutospacing="0" w:after="2" w:afterAutospacing="0"/>
        <w:ind w:left="0" w:firstLine="643"/>
      </w:pPr>
      <w:r>
        <w:rPr>
          <w:rFonts w:ascii="宋体" w:hAnsi="宋体" w:eastAsia="宋体" w:cs="宋体"/>
          <w:color w:val="000000"/>
          <w:sz w:val="32"/>
          <w:szCs w:val="32"/>
        </w:rPr>
        <w:t>三、部门收支总体情况</w:t>
      </w:r>
      <w:r>
        <w:rPr>
          <w:color w:val="000000"/>
        </w:rPr>
        <w:t xml:space="preserve"> </w:t>
      </w:r>
    </w:p>
    <w:p w14:paraId="51988399">
      <w:pPr>
        <w:spacing w:before="0" w:beforeAutospacing="0" w:after="2" w:afterAutospacing="0"/>
        <w:ind w:left="0" w:firstLine="643"/>
      </w:pPr>
      <w:r>
        <w:rPr>
          <w:rFonts w:ascii="宋体" w:hAnsi="宋体" w:eastAsia="宋体" w:cs="宋体"/>
          <w:color w:val="000000"/>
          <w:sz w:val="32"/>
          <w:szCs w:val="32"/>
        </w:rPr>
        <w:t>（一）收入预算</w:t>
      </w:r>
      <w:r>
        <w:rPr>
          <w:color w:val="000000"/>
        </w:rPr>
        <w:t xml:space="preserve"> </w:t>
      </w:r>
    </w:p>
    <w:p w14:paraId="3E094FF6">
      <w:pPr>
        <w:spacing w:before="0" w:beforeAutospacing="0" w:after="2" w:afterAutospacing="0"/>
        <w:ind w:left="0" w:firstLine="643"/>
      </w:pPr>
      <w:r>
        <w:rPr>
          <w:rFonts w:ascii="宋体" w:hAnsi="宋体" w:eastAsia="宋体" w:cs="宋体"/>
          <w:color w:val="000000"/>
          <w:sz w:val="32"/>
          <w:szCs w:val="32"/>
        </w:rPr>
        <w:t>（二）支出预算</w:t>
      </w:r>
      <w:r>
        <w:rPr>
          <w:color w:val="000000"/>
        </w:rPr>
        <w:t xml:space="preserve"> </w:t>
      </w:r>
    </w:p>
    <w:p w14:paraId="7DD5CCBD">
      <w:pPr>
        <w:spacing w:before="0" w:beforeAutospacing="0" w:after="2" w:afterAutospacing="0"/>
        <w:ind w:left="0" w:firstLine="643"/>
      </w:pPr>
      <w:r>
        <w:rPr>
          <w:rFonts w:ascii="宋体" w:hAnsi="宋体" w:eastAsia="宋体" w:cs="宋体"/>
          <w:color w:val="000000"/>
          <w:sz w:val="32"/>
          <w:szCs w:val="32"/>
        </w:rPr>
        <w:t>四、一般公共预算拨款支出</w:t>
      </w:r>
      <w:r>
        <w:rPr>
          <w:color w:val="000000"/>
        </w:rPr>
        <w:t xml:space="preserve"> </w:t>
      </w:r>
    </w:p>
    <w:p w14:paraId="71452942">
      <w:pPr>
        <w:spacing w:before="0" w:beforeAutospacing="0" w:after="2" w:afterAutospacing="0"/>
        <w:ind w:left="0" w:firstLine="643"/>
      </w:pPr>
      <w:r>
        <w:rPr>
          <w:rFonts w:ascii="宋体" w:hAnsi="宋体" w:eastAsia="宋体" w:cs="宋体"/>
          <w:color w:val="000000"/>
          <w:sz w:val="32"/>
          <w:szCs w:val="32"/>
        </w:rPr>
        <w:t>（一）基本支出</w:t>
      </w:r>
      <w:r>
        <w:rPr>
          <w:color w:val="000000"/>
        </w:rPr>
        <w:t xml:space="preserve"> </w:t>
      </w:r>
    </w:p>
    <w:p w14:paraId="6FBB3B1F">
      <w:pPr>
        <w:spacing w:before="0" w:beforeAutospacing="0" w:after="2" w:afterAutospacing="0"/>
        <w:ind w:left="0" w:firstLine="643"/>
      </w:pPr>
      <w:r>
        <w:rPr>
          <w:rFonts w:ascii="宋体" w:hAnsi="宋体" w:eastAsia="宋体" w:cs="宋体"/>
          <w:color w:val="000000"/>
          <w:sz w:val="32"/>
          <w:szCs w:val="32"/>
        </w:rPr>
        <w:t>（二）项目支出</w:t>
      </w:r>
      <w:r>
        <w:rPr>
          <w:color w:val="000000"/>
        </w:rPr>
        <w:t xml:space="preserve"> </w:t>
      </w:r>
    </w:p>
    <w:p w14:paraId="2FCEC256">
      <w:pPr>
        <w:spacing w:before="0" w:beforeAutospacing="0" w:after="2" w:afterAutospacing="0"/>
        <w:ind w:left="0" w:firstLine="643"/>
      </w:pPr>
      <w:r>
        <w:rPr>
          <w:rFonts w:ascii="宋体" w:hAnsi="宋体" w:eastAsia="宋体" w:cs="宋体"/>
          <w:color w:val="000000"/>
          <w:sz w:val="32"/>
          <w:szCs w:val="32"/>
        </w:rPr>
        <w:t>五、政府性基金预算支出</w:t>
      </w:r>
      <w:r>
        <w:rPr>
          <w:color w:val="000000"/>
        </w:rPr>
        <w:t xml:space="preserve"> </w:t>
      </w:r>
    </w:p>
    <w:p w14:paraId="04D25134">
      <w:pPr>
        <w:spacing w:before="0" w:beforeAutospacing="0" w:after="2" w:afterAutospacing="0"/>
        <w:ind w:left="0" w:firstLine="643"/>
      </w:pPr>
      <w:r>
        <w:rPr>
          <w:rFonts w:ascii="宋体" w:hAnsi="宋体" w:eastAsia="宋体" w:cs="宋体"/>
          <w:color w:val="000000"/>
          <w:sz w:val="32"/>
          <w:szCs w:val="32"/>
        </w:rPr>
        <w:t>六、其他重要事项的情况说明</w:t>
      </w:r>
      <w:r>
        <w:rPr>
          <w:color w:val="000000"/>
        </w:rPr>
        <w:t xml:space="preserve"> </w:t>
      </w:r>
    </w:p>
    <w:p w14:paraId="0607B023">
      <w:pPr>
        <w:spacing w:before="0" w:beforeAutospacing="0" w:after="2" w:afterAutospacing="0"/>
        <w:ind w:left="0" w:firstLine="643"/>
      </w:pPr>
      <w:r>
        <w:rPr>
          <w:rFonts w:ascii="宋体" w:hAnsi="宋体" w:eastAsia="宋体" w:cs="宋体"/>
          <w:color w:val="000000"/>
          <w:sz w:val="32"/>
          <w:szCs w:val="32"/>
        </w:rPr>
        <w:t>（一）机关运行经费</w:t>
      </w:r>
      <w:r>
        <w:rPr>
          <w:color w:val="000000"/>
        </w:rPr>
        <w:t xml:space="preserve"> </w:t>
      </w:r>
    </w:p>
    <w:p w14:paraId="4120944F">
      <w:pPr>
        <w:spacing w:before="0" w:beforeAutospacing="0" w:after="2" w:afterAutospacing="0"/>
        <w:ind w:left="0" w:firstLine="643"/>
      </w:pPr>
      <w:r>
        <w:rPr>
          <w:rFonts w:ascii="宋体" w:hAnsi="宋体" w:eastAsia="宋体" w:cs="宋体"/>
          <w:color w:val="000000"/>
          <w:sz w:val="32"/>
          <w:szCs w:val="32"/>
        </w:rPr>
        <w:t>（二）“三公”经费预算</w:t>
      </w:r>
      <w:r>
        <w:rPr>
          <w:color w:val="000000"/>
        </w:rPr>
        <w:t xml:space="preserve"> </w:t>
      </w:r>
    </w:p>
    <w:p w14:paraId="0A1DF8BF">
      <w:pPr>
        <w:spacing w:before="0" w:beforeAutospacing="0" w:after="2" w:afterAutospacing="0"/>
        <w:ind w:left="0" w:firstLine="643"/>
      </w:pPr>
      <w:r>
        <w:rPr>
          <w:rFonts w:ascii="宋体" w:hAnsi="宋体" w:eastAsia="宋体" w:cs="宋体"/>
          <w:color w:val="000000"/>
          <w:sz w:val="32"/>
          <w:szCs w:val="32"/>
        </w:rPr>
        <w:t>（三）一般性支出情况</w:t>
      </w:r>
      <w:r>
        <w:rPr>
          <w:color w:val="000000"/>
        </w:rPr>
        <w:t xml:space="preserve"> </w:t>
      </w:r>
    </w:p>
    <w:p w14:paraId="22966508">
      <w:pPr>
        <w:spacing w:before="0" w:beforeAutospacing="0" w:after="2" w:afterAutospacing="0"/>
        <w:ind w:left="0" w:firstLine="643"/>
      </w:pPr>
      <w:r>
        <w:rPr>
          <w:rFonts w:ascii="宋体" w:hAnsi="宋体" w:eastAsia="宋体" w:cs="宋体"/>
          <w:color w:val="000000"/>
          <w:sz w:val="32"/>
          <w:szCs w:val="32"/>
        </w:rPr>
        <w:t>（四）政府采购情况</w:t>
      </w:r>
      <w:r>
        <w:rPr>
          <w:color w:val="000000"/>
        </w:rPr>
        <w:t xml:space="preserve"> </w:t>
      </w:r>
    </w:p>
    <w:p w14:paraId="5B1785F3">
      <w:pPr>
        <w:spacing w:before="0" w:beforeAutospacing="0" w:after="2" w:afterAutospacing="0"/>
        <w:ind w:left="0" w:firstLine="643"/>
      </w:pPr>
      <w:r>
        <w:rPr>
          <w:rFonts w:ascii="宋体" w:hAnsi="宋体" w:eastAsia="宋体" w:cs="宋体"/>
          <w:color w:val="000000"/>
          <w:sz w:val="32"/>
          <w:szCs w:val="32"/>
        </w:rPr>
        <w:t>（五）国有资产占用使用及新增资产配置情况</w:t>
      </w:r>
      <w:r>
        <w:rPr>
          <w:color w:val="000000"/>
        </w:rPr>
        <w:t xml:space="preserve"> </w:t>
      </w:r>
    </w:p>
    <w:p w14:paraId="3F4CBF5C">
      <w:pPr>
        <w:spacing w:before="0" w:beforeAutospacing="0" w:after="2" w:afterAutospacing="0"/>
        <w:ind w:left="0" w:firstLine="643"/>
      </w:pPr>
      <w:r>
        <w:rPr>
          <w:rFonts w:ascii="宋体" w:hAnsi="宋体" w:eastAsia="宋体" w:cs="宋体"/>
          <w:color w:val="000000"/>
          <w:sz w:val="32"/>
          <w:szCs w:val="32"/>
        </w:rPr>
        <w:t>（六）部门整体支出、单位项目支出、重点（专项）项目支出预算绩效目标情况说明</w:t>
      </w:r>
      <w:r>
        <w:rPr>
          <w:color w:val="000000"/>
        </w:rPr>
        <w:t xml:space="preserve"> </w:t>
      </w:r>
    </w:p>
    <w:p w14:paraId="534CC6F8">
      <w:pPr>
        <w:spacing w:before="0" w:beforeAutospacing="0" w:after="2" w:afterAutospacing="0"/>
        <w:ind w:left="0" w:firstLine="643"/>
      </w:pPr>
      <w:r>
        <w:rPr>
          <w:rFonts w:ascii="宋体" w:hAnsi="宋体" w:eastAsia="宋体" w:cs="宋体"/>
          <w:color w:val="000000"/>
          <w:sz w:val="32"/>
          <w:szCs w:val="32"/>
        </w:rPr>
        <w:t>七、名词解释</w:t>
      </w:r>
      <w:r>
        <w:rPr>
          <w:color w:val="000000"/>
        </w:rPr>
        <w:t xml:space="preserve"> </w:t>
      </w:r>
    </w:p>
    <w:p w14:paraId="25868E4B">
      <w:pPr>
        <w:spacing w:before="0" w:beforeAutospacing="0" w:after="2" w:afterAutospacing="0"/>
        <w:ind w:left="0" w:firstLine="643"/>
      </w:pPr>
      <w:r>
        <w:rPr>
          <w:rFonts w:ascii="宋体" w:hAnsi="宋体" w:eastAsia="宋体" w:cs="宋体"/>
          <w:b/>
          <w:bCs/>
          <w:color w:val="000000"/>
          <w:sz w:val="32"/>
          <w:szCs w:val="32"/>
        </w:rPr>
        <w:t>第二部分</w:t>
      </w:r>
      <w:r>
        <w:rPr>
          <w:b/>
          <w:bCs/>
          <w:color w:val="000000"/>
        </w:rPr>
        <w:t xml:space="preserve"> </w:t>
      </w:r>
      <w:r>
        <w:rPr>
          <w:rFonts w:ascii="宋体" w:hAnsi="宋体" w:eastAsia="宋体" w:cs="宋体"/>
          <w:b/>
          <w:bCs/>
          <w:color w:val="000000"/>
          <w:sz w:val="32"/>
          <w:szCs w:val="32"/>
        </w:rPr>
        <w:t>2025年部门预算表</w:t>
      </w:r>
      <w:r>
        <w:rPr>
          <w:color w:val="000000"/>
        </w:rPr>
        <w:t xml:space="preserve"> </w:t>
      </w:r>
    </w:p>
    <w:p w14:paraId="68085C1C">
      <w:pPr>
        <w:spacing w:before="0" w:beforeAutospacing="0" w:after="2" w:afterAutospacing="0"/>
        <w:ind w:left="0" w:firstLine="643"/>
      </w:pPr>
      <w:r>
        <w:rPr>
          <w:rFonts w:ascii="宋体" w:hAnsi="宋体" w:eastAsia="宋体" w:cs="宋体"/>
          <w:color w:val="000000"/>
          <w:sz w:val="32"/>
          <w:szCs w:val="32"/>
        </w:rPr>
        <w:t>1、收支总表</w:t>
      </w:r>
      <w:r>
        <w:rPr>
          <w:color w:val="000000"/>
        </w:rPr>
        <w:t xml:space="preserve"> </w:t>
      </w:r>
    </w:p>
    <w:p w14:paraId="4FEBEE47">
      <w:pPr>
        <w:spacing w:before="0" w:beforeAutospacing="0" w:after="2" w:afterAutospacing="0"/>
        <w:ind w:left="0" w:firstLine="643"/>
      </w:pPr>
      <w:r>
        <w:rPr>
          <w:rFonts w:ascii="宋体" w:hAnsi="宋体" w:eastAsia="宋体" w:cs="宋体"/>
          <w:color w:val="000000"/>
          <w:sz w:val="32"/>
          <w:szCs w:val="32"/>
        </w:rPr>
        <w:t>2、收入总表</w:t>
      </w:r>
      <w:r>
        <w:rPr>
          <w:color w:val="000000"/>
        </w:rPr>
        <w:t xml:space="preserve"> </w:t>
      </w:r>
    </w:p>
    <w:p w14:paraId="1DE06E70">
      <w:pPr>
        <w:spacing w:before="0" w:beforeAutospacing="0" w:after="2" w:afterAutospacing="0"/>
        <w:ind w:left="0" w:firstLine="643"/>
      </w:pPr>
      <w:r>
        <w:rPr>
          <w:rFonts w:ascii="宋体" w:hAnsi="宋体" w:eastAsia="宋体" w:cs="宋体"/>
          <w:color w:val="000000"/>
          <w:sz w:val="32"/>
          <w:szCs w:val="32"/>
        </w:rPr>
        <w:t>3、支出总表</w:t>
      </w:r>
      <w:r>
        <w:rPr>
          <w:color w:val="000000"/>
        </w:rPr>
        <w:t xml:space="preserve"> </w:t>
      </w:r>
    </w:p>
    <w:p w14:paraId="0713EC48">
      <w:pPr>
        <w:spacing w:before="0" w:beforeAutospacing="0" w:after="2" w:afterAutospacing="0"/>
        <w:ind w:left="0" w:firstLine="643"/>
      </w:pPr>
      <w:r>
        <w:rPr>
          <w:rFonts w:ascii="宋体" w:hAnsi="宋体" w:eastAsia="宋体" w:cs="宋体"/>
          <w:color w:val="000000"/>
          <w:sz w:val="32"/>
          <w:szCs w:val="32"/>
        </w:rPr>
        <w:t>4、支出预算分类汇总表（按政府预算经济分类）</w:t>
      </w:r>
      <w:r>
        <w:rPr>
          <w:color w:val="000000"/>
        </w:rPr>
        <w:t xml:space="preserve"> </w:t>
      </w:r>
    </w:p>
    <w:p w14:paraId="6DE388BD">
      <w:pPr>
        <w:spacing w:before="0" w:beforeAutospacing="0" w:after="2" w:afterAutospacing="0"/>
        <w:ind w:left="0" w:firstLine="643"/>
      </w:pPr>
      <w:r>
        <w:rPr>
          <w:rFonts w:ascii="宋体" w:hAnsi="宋体" w:eastAsia="宋体" w:cs="宋体"/>
          <w:color w:val="000000"/>
          <w:sz w:val="32"/>
          <w:szCs w:val="32"/>
        </w:rPr>
        <w:t>5、支出预算分类汇总表（按部门预算经济分类）</w:t>
      </w:r>
      <w:r>
        <w:rPr>
          <w:color w:val="000000"/>
        </w:rPr>
        <w:t xml:space="preserve"> </w:t>
      </w:r>
    </w:p>
    <w:p w14:paraId="7BDAEFC0">
      <w:pPr>
        <w:spacing w:before="0" w:beforeAutospacing="0" w:after="2" w:afterAutospacing="0"/>
        <w:ind w:left="0" w:firstLine="643"/>
      </w:pPr>
      <w:r>
        <w:rPr>
          <w:rFonts w:ascii="宋体" w:hAnsi="宋体" w:eastAsia="宋体" w:cs="宋体"/>
          <w:color w:val="000000"/>
          <w:sz w:val="32"/>
          <w:szCs w:val="32"/>
        </w:rPr>
        <w:t>6、财政拨款收支总表</w:t>
      </w:r>
      <w:r>
        <w:rPr>
          <w:color w:val="000000"/>
        </w:rPr>
        <w:t xml:space="preserve"> </w:t>
      </w:r>
    </w:p>
    <w:p w14:paraId="3B0099A0">
      <w:pPr>
        <w:spacing w:before="0" w:beforeAutospacing="0" w:after="2" w:afterAutospacing="0"/>
        <w:ind w:left="0" w:firstLine="643"/>
      </w:pPr>
      <w:r>
        <w:rPr>
          <w:rFonts w:ascii="宋体" w:hAnsi="宋体" w:eastAsia="宋体" w:cs="宋体"/>
          <w:color w:val="000000"/>
          <w:sz w:val="32"/>
          <w:szCs w:val="32"/>
        </w:rPr>
        <w:t>7、一般公共预算支出表</w:t>
      </w:r>
      <w:r>
        <w:rPr>
          <w:color w:val="000000"/>
        </w:rPr>
        <w:t xml:space="preserve"> </w:t>
      </w:r>
    </w:p>
    <w:p w14:paraId="688211A9">
      <w:pPr>
        <w:spacing w:before="0" w:beforeAutospacing="0" w:after="2" w:afterAutospacing="0"/>
        <w:ind w:left="0" w:firstLine="643"/>
      </w:pPr>
      <w:r>
        <w:rPr>
          <w:rFonts w:ascii="宋体" w:hAnsi="宋体" w:eastAsia="宋体" w:cs="宋体"/>
          <w:color w:val="000000"/>
          <w:sz w:val="32"/>
          <w:szCs w:val="32"/>
        </w:rPr>
        <w:t>8、一般公共预算基本支出表</w:t>
      </w:r>
    </w:p>
    <w:p w14:paraId="2B77D10B">
      <w:pPr>
        <w:spacing w:before="0" w:beforeAutospacing="0" w:after="2" w:afterAutospacing="0"/>
        <w:ind w:left="0" w:firstLine="643"/>
      </w:pPr>
      <w:r>
        <w:rPr>
          <w:rFonts w:ascii="宋体" w:hAnsi="宋体" w:eastAsia="宋体" w:cs="宋体"/>
          <w:color w:val="000000"/>
          <w:sz w:val="32"/>
          <w:szCs w:val="32"/>
        </w:rPr>
        <w:t>9、一般公共预算基本支出表--人员经费(工资福利支出)(按政府预算经济分类)</w:t>
      </w:r>
      <w:r>
        <w:rPr>
          <w:color w:val="000000"/>
        </w:rPr>
        <w:t xml:space="preserve"> </w:t>
      </w:r>
    </w:p>
    <w:p w14:paraId="77FEF39C">
      <w:pPr>
        <w:spacing w:before="0" w:beforeAutospacing="0" w:after="2" w:afterAutospacing="0"/>
        <w:ind w:left="0" w:firstLine="643"/>
      </w:pPr>
      <w:r>
        <w:rPr>
          <w:rFonts w:ascii="宋体" w:hAnsi="宋体" w:eastAsia="宋体" w:cs="宋体"/>
          <w:color w:val="000000"/>
          <w:sz w:val="32"/>
          <w:szCs w:val="32"/>
        </w:rPr>
        <w:t>10、一般公共预算基本支出表--人员经费(工资福利支出)(按部门预算经济分类)</w:t>
      </w:r>
      <w:r>
        <w:rPr>
          <w:color w:val="000000"/>
        </w:rPr>
        <w:t xml:space="preserve"> </w:t>
      </w:r>
    </w:p>
    <w:p w14:paraId="139EDCF1">
      <w:pPr>
        <w:spacing w:before="0" w:beforeAutospacing="0" w:after="2" w:afterAutospacing="0"/>
        <w:ind w:left="0" w:firstLine="643"/>
      </w:pPr>
      <w:r>
        <w:rPr>
          <w:rFonts w:ascii="宋体" w:hAnsi="宋体" w:eastAsia="宋体" w:cs="宋体"/>
          <w:color w:val="000000"/>
          <w:sz w:val="32"/>
          <w:szCs w:val="32"/>
        </w:rPr>
        <w:t>11、一般公共预算基本支出表--人员经费(对个人和家庭的补助)(按政府预算经济分类)</w:t>
      </w:r>
      <w:r>
        <w:rPr>
          <w:color w:val="000000"/>
        </w:rPr>
        <w:t xml:space="preserve"> </w:t>
      </w:r>
    </w:p>
    <w:p w14:paraId="58671BEA">
      <w:pPr>
        <w:spacing w:before="0" w:beforeAutospacing="0" w:after="2" w:afterAutospacing="0"/>
        <w:ind w:left="0" w:firstLine="643"/>
      </w:pPr>
      <w:r>
        <w:rPr>
          <w:rFonts w:ascii="宋体" w:hAnsi="宋体" w:eastAsia="宋体" w:cs="宋体"/>
          <w:color w:val="000000"/>
          <w:sz w:val="32"/>
          <w:szCs w:val="32"/>
        </w:rPr>
        <w:t>12、一般公共预算基本支出表--人员经费(对个人和家庭的补助)（按部门预算经济分类）</w:t>
      </w:r>
      <w:r>
        <w:rPr>
          <w:color w:val="000000"/>
        </w:rPr>
        <w:t xml:space="preserve"> </w:t>
      </w:r>
    </w:p>
    <w:p w14:paraId="2B047B37">
      <w:pPr>
        <w:spacing w:before="0" w:beforeAutospacing="0" w:after="2" w:afterAutospacing="0"/>
        <w:ind w:left="0" w:firstLine="643"/>
      </w:pPr>
      <w:r>
        <w:rPr>
          <w:rFonts w:ascii="宋体" w:hAnsi="宋体" w:eastAsia="宋体" w:cs="宋体"/>
          <w:color w:val="000000"/>
          <w:sz w:val="32"/>
          <w:szCs w:val="32"/>
        </w:rPr>
        <w:t>13、一般公共预算基本支出表--公用经费(商品和服务支出)（按政府预算经济分类）</w:t>
      </w:r>
      <w:r>
        <w:rPr>
          <w:color w:val="000000"/>
        </w:rPr>
        <w:t xml:space="preserve"> </w:t>
      </w:r>
    </w:p>
    <w:p w14:paraId="6985E5EB">
      <w:pPr>
        <w:spacing w:before="0" w:beforeAutospacing="0" w:after="2" w:afterAutospacing="0"/>
        <w:ind w:left="0" w:firstLine="643"/>
      </w:pPr>
      <w:r>
        <w:rPr>
          <w:rFonts w:ascii="宋体" w:hAnsi="宋体" w:eastAsia="宋体" w:cs="宋体"/>
          <w:color w:val="000000"/>
          <w:sz w:val="32"/>
          <w:szCs w:val="32"/>
        </w:rPr>
        <w:t>14、一般公共预算基本支出表--公用经费(商品和服务支出)(按部门预算经济分类)</w:t>
      </w:r>
      <w:r>
        <w:rPr>
          <w:color w:val="000000"/>
        </w:rPr>
        <w:t xml:space="preserve"> </w:t>
      </w:r>
    </w:p>
    <w:p w14:paraId="3A6609EF">
      <w:pPr>
        <w:spacing w:before="0" w:beforeAutospacing="0" w:after="2" w:afterAutospacing="0"/>
        <w:ind w:left="0" w:firstLine="643"/>
      </w:pPr>
      <w:r>
        <w:rPr>
          <w:rFonts w:ascii="宋体" w:hAnsi="宋体" w:eastAsia="宋体" w:cs="宋体"/>
          <w:color w:val="000000"/>
          <w:sz w:val="32"/>
          <w:szCs w:val="32"/>
        </w:rPr>
        <w:t>15、一般公共预算“三公”经费支出表</w:t>
      </w:r>
      <w:r>
        <w:rPr>
          <w:color w:val="000000"/>
        </w:rPr>
        <w:t xml:space="preserve"> </w:t>
      </w:r>
    </w:p>
    <w:p w14:paraId="53AFE705">
      <w:pPr>
        <w:spacing w:before="0" w:beforeAutospacing="0" w:after="2" w:afterAutospacing="0"/>
        <w:ind w:left="0" w:firstLine="643"/>
      </w:pPr>
      <w:r>
        <w:rPr>
          <w:rFonts w:ascii="宋体" w:hAnsi="宋体" w:eastAsia="宋体" w:cs="宋体"/>
          <w:color w:val="000000"/>
          <w:sz w:val="32"/>
          <w:szCs w:val="32"/>
        </w:rPr>
        <w:t>16、政府性基金预算支出表</w:t>
      </w:r>
      <w:r>
        <w:rPr>
          <w:color w:val="000000"/>
        </w:rPr>
        <w:t xml:space="preserve"> </w:t>
      </w:r>
    </w:p>
    <w:p w14:paraId="5DCD6942">
      <w:pPr>
        <w:spacing w:before="0" w:beforeAutospacing="0" w:after="2" w:afterAutospacing="0"/>
        <w:ind w:left="0" w:firstLine="643"/>
      </w:pPr>
      <w:r>
        <w:rPr>
          <w:rFonts w:ascii="宋体" w:hAnsi="宋体" w:eastAsia="宋体" w:cs="宋体"/>
          <w:color w:val="000000"/>
          <w:sz w:val="32"/>
          <w:szCs w:val="32"/>
        </w:rPr>
        <w:t>17、政府性基金预算支出分类汇总表（按政府预算经济分类）</w:t>
      </w:r>
      <w:r>
        <w:rPr>
          <w:color w:val="000000"/>
        </w:rPr>
        <w:t xml:space="preserve"> </w:t>
      </w:r>
    </w:p>
    <w:p w14:paraId="0B54FCCB">
      <w:pPr>
        <w:spacing w:before="0" w:beforeAutospacing="0" w:after="2" w:afterAutospacing="0"/>
        <w:ind w:left="0" w:firstLine="643"/>
      </w:pPr>
      <w:r>
        <w:rPr>
          <w:rFonts w:ascii="宋体" w:hAnsi="宋体" w:eastAsia="宋体" w:cs="宋体"/>
          <w:color w:val="000000"/>
          <w:sz w:val="32"/>
          <w:szCs w:val="32"/>
        </w:rPr>
        <w:t>18、政府性基金预算支出分类汇总表（按部门预算经济分类）</w:t>
      </w:r>
      <w:r>
        <w:rPr>
          <w:color w:val="000000"/>
        </w:rPr>
        <w:t xml:space="preserve"> </w:t>
      </w:r>
    </w:p>
    <w:p w14:paraId="03D5E63D">
      <w:pPr>
        <w:spacing w:before="0" w:beforeAutospacing="0" w:after="2" w:afterAutospacing="0"/>
        <w:ind w:left="0" w:firstLine="643"/>
      </w:pPr>
      <w:r>
        <w:rPr>
          <w:rFonts w:ascii="宋体" w:hAnsi="宋体" w:eastAsia="宋体" w:cs="宋体"/>
          <w:color w:val="000000"/>
          <w:sz w:val="32"/>
          <w:szCs w:val="32"/>
        </w:rPr>
        <w:t>19、国有资本经营预算表</w:t>
      </w:r>
      <w:r>
        <w:rPr>
          <w:color w:val="000000"/>
        </w:rPr>
        <w:t xml:space="preserve"> </w:t>
      </w:r>
    </w:p>
    <w:p w14:paraId="6D5F2341">
      <w:pPr>
        <w:spacing w:before="0" w:beforeAutospacing="0" w:after="2" w:afterAutospacing="0"/>
        <w:ind w:left="0" w:firstLine="643"/>
      </w:pPr>
      <w:r>
        <w:rPr>
          <w:rFonts w:ascii="宋体" w:hAnsi="宋体" w:eastAsia="宋体" w:cs="宋体"/>
          <w:color w:val="000000"/>
          <w:sz w:val="32"/>
          <w:szCs w:val="32"/>
        </w:rPr>
        <w:t>20、财政专户管理资金预算支出表</w:t>
      </w:r>
      <w:r>
        <w:rPr>
          <w:color w:val="000000"/>
        </w:rPr>
        <w:t xml:space="preserve"> </w:t>
      </w:r>
    </w:p>
    <w:p w14:paraId="1035E044">
      <w:pPr>
        <w:spacing w:before="0" w:beforeAutospacing="0" w:after="2" w:afterAutospacing="0"/>
        <w:ind w:left="0" w:firstLine="643"/>
      </w:pPr>
      <w:r>
        <w:rPr>
          <w:rFonts w:ascii="宋体" w:hAnsi="宋体" w:eastAsia="宋体" w:cs="宋体"/>
          <w:color w:val="000000"/>
          <w:sz w:val="32"/>
          <w:szCs w:val="32"/>
        </w:rPr>
        <w:t>21、专项资金预算汇总表</w:t>
      </w:r>
      <w:r>
        <w:rPr>
          <w:color w:val="000000"/>
        </w:rPr>
        <w:t xml:space="preserve"> </w:t>
      </w:r>
    </w:p>
    <w:p w14:paraId="107E737D">
      <w:pPr>
        <w:spacing w:before="0" w:beforeAutospacing="0" w:after="2" w:afterAutospacing="0"/>
        <w:ind w:left="0" w:firstLine="643"/>
      </w:pPr>
      <w:r>
        <w:rPr>
          <w:rFonts w:ascii="宋体" w:hAnsi="宋体" w:eastAsia="宋体" w:cs="宋体"/>
          <w:color w:val="000000"/>
          <w:sz w:val="32"/>
          <w:szCs w:val="32"/>
        </w:rPr>
        <w:t>22、项目支出绩效目标表</w:t>
      </w:r>
      <w:r>
        <w:rPr>
          <w:color w:val="000000"/>
        </w:rPr>
        <w:t xml:space="preserve"> </w:t>
      </w:r>
    </w:p>
    <w:p w14:paraId="389DBA02">
      <w:pPr>
        <w:spacing w:before="0" w:beforeAutospacing="0" w:after="2" w:afterAutospacing="0"/>
        <w:ind w:left="0" w:firstLine="643"/>
      </w:pPr>
      <w:r>
        <w:rPr>
          <w:rFonts w:ascii="宋体" w:hAnsi="宋体" w:eastAsia="宋体" w:cs="宋体"/>
          <w:color w:val="000000"/>
          <w:sz w:val="32"/>
          <w:szCs w:val="32"/>
        </w:rPr>
        <w:t>23、整体支出绩效目标表</w:t>
      </w:r>
      <w:r>
        <w:rPr>
          <w:color w:val="000000"/>
        </w:rPr>
        <w:t xml:space="preserve"> </w:t>
      </w:r>
    </w:p>
    <w:p w14:paraId="2C86F4A3">
      <w:pPr>
        <w:pStyle w:val="9"/>
        <w:keepNext w:val="0"/>
        <w:keepLines w:val="0"/>
        <w:widowControl/>
        <w:suppressLineNumbers w:val="0"/>
        <w:spacing w:before="0" w:beforeAutospacing="0" w:after="2" w:afterAutospacing="0"/>
      </w:pPr>
    </w:p>
    <w:p w14:paraId="3B5E0555">
      <w:pPr>
        <w:spacing w:before="0" w:beforeAutospacing="0" w:after="2" w:afterAutospacing="0"/>
        <w:ind w:left="0" w:firstLine="643"/>
      </w:pPr>
      <w:r>
        <w:rPr>
          <w:rStyle w:val="12"/>
          <w:rFonts w:ascii="宋体" w:hAnsi="宋体" w:eastAsia="宋体" w:cs="宋体"/>
          <w:color w:val="000000"/>
          <w:sz w:val="32"/>
          <w:szCs w:val="32"/>
        </w:rPr>
        <w:t>注：以上部门预算报表中，空表表示本部门无相关收支情况。</w:t>
      </w:r>
      <w:r>
        <w:rPr>
          <w:color w:val="000000"/>
        </w:rPr>
        <w:t xml:space="preserve"> </w:t>
      </w:r>
    </w:p>
    <w:p w14:paraId="2DBB1ED1">
      <w:pPr>
        <w:pStyle w:val="9"/>
        <w:keepNext w:val="0"/>
        <w:keepLines w:val="0"/>
        <w:widowControl/>
        <w:suppressLineNumbers w:val="0"/>
        <w:spacing w:before="0" w:beforeAutospacing="0" w:after="2" w:afterAutospacing="0"/>
      </w:pPr>
    </w:p>
    <w:p w14:paraId="46F43E88">
      <w:pPr>
        <w:spacing w:before="0" w:beforeAutospacing="0" w:after="2" w:afterAutospacing="0"/>
      </w:pPr>
      <w:r>
        <w:rPr>
          <w:rFonts w:ascii="宋体" w:hAnsi="宋体" w:eastAsia="宋体" w:cs="宋体"/>
          <w:color w:val="000000"/>
          <w:sz w:val="32"/>
          <w:szCs w:val="32"/>
        </w:rPr>
        <w:t> </w:t>
      </w:r>
      <w:r>
        <w:rPr>
          <w:color w:val="000000"/>
        </w:rPr>
        <w:t xml:space="preserve"> </w:t>
      </w:r>
    </w:p>
    <w:p w14:paraId="30D21F26">
      <w:pPr>
        <w:spacing w:before="0" w:beforeAutospacing="0" w:after="2" w:afterAutospacing="0"/>
      </w:pPr>
    </w:p>
    <w:p w14:paraId="6F92C64A">
      <w:pPr>
        <w:spacing w:before="0" w:beforeAutospacing="0" w:after="2" w:afterAutospacing="0"/>
        <w:jc w:val="center"/>
      </w:pPr>
      <w:r>
        <w:rPr>
          <w:rStyle w:val="12"/>
          <w:rFonts w:ascii="宋体" w:hAnsi="宋体" w:eastAsia="宋体" w:cs="宋体"/>
          <w:color w:val="000000"/>
          <w:sz w:val="40"/>
          <w:szCs w:val="40"/>
        </w:rPr>
        <w:t>第一部分 2025年部门预算说明</w:t>
      </w:r>
      <w:r>
        <w:rPr>
          <w:color w:val="000000"/>
        </w:rPr>
        <w:t xml:space="preserve"> </w:t>
      </w:r>
    </w:p>
    <w:p w14:paraId="1312F7B7">
      <w:pPr>
        <w:spacing w:before="0" w:beforeAutospacing="0" w:after="2" w:afterAutospacing="0"/>
      </w:pPr>
      <w:r>
        <w:rPr>
          <w:rFonts w:ascii="宋体" w:hAnsi="宋体" w:eastAsia="宋体" w:cs="宋体"/>
          <w:b/>
          <w:bCs/>
          <w:color w:val="000000"/>
          <w:sz w:val="32"/>
          <w:szCs w:val="32"/>
        </w:rPr>
        <w:t> </w:t>
      </w:r>
      <w:r>
        <w:rPr>
          <w:color w:val="000000"/>
        </w:rPr>
        <w:t xml:space="preserve"> </w:t>
      </w:r>
    </w:p>
    <w:p w14:paraId="601B167E">
      <w:pPr>
        <w:spacing w:before="0" w:beforeAutospacing="0" w:after="2" w:afterAutospacing="0"/>
        <w:ind w:left="0" w:firstLine="627"/>
      </w:pPr>
      <w:r>
        <w:rPr>
          <w:rStyle w:val="12"/>
          <w:rFonts w:ascii="宋体" w:hAnsi="宋体" w:eastAsia="宋体" w:cs="宋体"/>
          <w:color w:val="000000"/>
          <w:sz w:val="32"/>
          <w:szCs w:val="32"/>
        </w:rPr>
        <w:t>一、部门基本概况</w:t>
      </w:r>
      <w:r>
        <w:rPr>
          <w:color w:val="000000"/>
        </w:rPr>
        <w:t xml:space="preserve"> </w:t>
      </w:r>
    </w:p>
    <w:p w14:paraId="7B2A6828">
      <w:pPr>
        <w:spacing w:before="0" w:beforeAutospacing="0" w:after="2" w:afterAutospacing="0"/>
        <w:ind w:left="0" w:firstLine="630"/>
      </w:pPr>
      <w:r>
        <w:rPr>
          <w:rFonts w:ascii="宋体" w:hAnsi="宋体" w:eastAsia="宋体" w:cs="宋体"/>
          <w:b/>
          <w:bCs/>
          <w:color w:val="000000"/>
          <w:sz w:val="32"/>
          <w:szCs w:val="32"/>
        </w:rPr>
        <w:t>（一）职能职责</w:t>
      </w:r>
      <w:r>
        <w:rPr>
          <w:color w:val="000000"/>
        </w:rPr>
        <w:t xml:space="preserve"> </w:t>
      </w:r>
    </w:p>
    <w:p w14:paraId="6D2D7AF3">
      <w:pPr>
        <w:spacing w:before="0" w:beforeAutospacing="0" w:after="2" w:afterAutospacing="0"/>
        <w:ind w:left="0" w:firstLine="630"/>
      </w:pPr>
      <w:r>
        <w:rPr>
          <w:rFonts w:ascii="宋体" w:hAnsi="宋体" w:eastAsia="宋体" w:cs="宋体"/>
          <w:color w:val="000000"/>
          <w:sz w:val="32"/>
          <w:szCs w:val="32"/>
        </w:rPr>
        <w:t>1、贯彻执行有关住房和城乡建设工作的法律法规和方针政策。负责拟制推进新型城市化、城乡建设、住房保障、工程建设、建筑业、住宅房地产业、勘察设计咨询业规范性文件以及相关发展战略、中长期规划和年度计划并组织实施，进行行业管理。</w:t>
      </w:r>
      <w:r>
        <w:rPr>
          <w:rFonts w:hint="default" w:ascii="Times New Roman" w:hAnsi="Times New Roman" w:cs="Times New Roman"/>
          <w:color w:val="000000"/>
          <w:sz w:val="32"/>
          <w:szCs w:val="32"/>
        </w:rPr>
        <w:t xml:space="preserve"> </w:t>
      </w:r>
    </w:p>
    <w:p w14:paraId="3DA383CC">
      <w:pPr>
        <w:spacing w:before="0" w:beforeAutospacing="0" w:after="2" w:afterAutospacing="0"/>
        <w:ind w:left="0" w:firstLine="630"/>
      </w:pPr>
      <w:r>
        <w:rPr>
          <w:rFonts w:ascii="宋体" w:hAnsi="宋体" w:eastAsia="宋体" w:cs="宋体"/>
          <w:color w:val="000000"/>
          <w:sz w:val="32"/>
          <w:szCs w:val="32"/>
        </w:rPr>
        <w:t>2、负责指导全区小城镇建设和管理。负责永州市中心城区零陵的建设，负责零陵城区市政基础设施建设和建筑行业、房地产行业行政执法监督检查和违法违规案件查处工作。</w:t>
      </w:r>
      <w:r>
        <w:rPr>
          <w:rFonts w:hint="default" w:ascii="Times New Roman" w:hAnsi="Times New Roman" w:cs="Times New Roman"/>
          <w:color w:val="000000"/>
          <w:sz w:val="32"/>
          <w:szCs w:val="32"/>
        </w:rPr>
        <w:t xml:space="preserve"> </w:t>
      </w:r>
    </w:p>
    <w:p w14:paraId="57DC992B">
      <w:pPr>
        <w:spacing w:before="0" w:beforeAutospacing="0" w:after="2" w:afterAutospacing="0"/>
        <w:ind w:left="0" w:firstLine="630"/>
      </w:pPr>
      <w:r>
        <w:rPr>
          <w:rFonts w:ascii="宋体" w:hAnsi="宋体" w:eastAsia="宋体" w:cs="宋体"/>
          <w:color w:val="000000"/>
          <w:sz w:val="32"/>
          <w:szCs w:val="32"/>
        </w:rPr>
        <w:t>3、负责保障城镇低收入家庭住房工作。拟制全区住房保障相关政策措施并组织、指导实施，编制全区保障性住房发展规划及年度计划并组织指导和监督实施；会同有关部门做好政府有关廉租住房资金监管，指导城市棚户区改造工作。负责指导规范保障性住房的经营管理工作。</w:t>
      </w:r>
      <w:r>
        <w:rPr>
          <w:rFonts w:hint="default" w:ascii="Times New Roman" w:hAnsi="Times New Roman" w:cs="Times New Roman"/>
          <w:color w:val="000000"/>
          <w:sz w:val="32"/>
          <w:szCs w:val="32"/>
        </w:rPr>
        <w:t xml:space="preserve"> </w:t>
      </w:r>
    </w:p>
    <w:p w14:paraId="5A1618F7">
      <w:pPr>
        <w:spacing w:before="0" w:beforeAutospacing="0" w:after="2" w:afterAutospacing="0"/>
        <w:ind w:left="0" w:firstLine="630"/>
      </w:pPr>
      <w:r>
        <w:rPr>
          <w:rFonts w:ascii="宋体" w:hAnsi="宋体" w:eastAsia="宋体" w:cs="宋体"/>
          <w:color w:val="000000"/>
          <w:sz w:val="32"/>
          <w:szCs w:val="32"/>
        </w:rPr>
        <w:t>4、负责规范房地产市场秩序、监督管理房地产市场工作。会同或配合有关部门组织拟制房地产市场监管政策措施并监督执行，指导城镇土地使用权有偿转让和开发利用工作，提出房地产业的行业发展规划和产业政策措施，制定房地产开发、房屋租赁、房地产估价和经营管理、物业管理的规章制度并监督执行。</w:t>
      </w:r>
      <w:r>
        <w:rPr>
          <w:rFonts w:hint="default" w:ascii="Times New Roman" w:hAnsi="Times New Roman" w:cs="Times New Roman"/>
          <w:color w:val="000000"/>
          <w:sz w:val="32"/>
          <w:szCs w:val="32"/>
        </w:rPr>
        <w:t xml:space="preserve"> </w:t>
      </w:r>
    </w:p>
    <w:p w14:paraId="522FE2C9">
      <w:pPr>
        <w:spacing w:before="0" w:beforeAutospacing="0" w:after="2" w:afterAutospacing="0"/>
        <w:ind w:left="0" w:firstLine="630"/>
      </w:pPr>
      <w:r>
        <w:rPr>
          <w:rFonts w:ascii="宋体" w:hAnsi="宋体" w:eastAsia="宋体" w:cs="宋体"/>
          <w:color w:val="000000"/>
          <w:sz w:val="32"/>
          <w:szCs w:val="32"/>
        </w:rPr>
        <w:t>5、负责推进住房制度改革工作。拟制适合区情的住房政策措施，指导住房建设和住房制度改革，拟制全区住房建设规划并组织指导实施。</w:t>
      </w:r>
      <w:r>
        <w:rPr>
          <w:rFonts w:hint="default" w:ascii="Times New Roman" w:hAnsi="Times New Roman" w:cs="Times New Roman"/>
          <w:color w:val="000000"/>
          <w:sz w:val="32"/>
          <w:szCs w:val="32"/>
        </w:rPr>
        <w:t xml:space="preserve"> </w:t>
      </w:r>
    </w:p>
    <w:p w14:paraId="452EE831">
      <w:pPr>
        <w:spacing w:before="0" w:beforeAutospacing="0" w:after="2" w:afterAutospacing="0"/>
        <w:ind w:left="0" w:firstLine="630"/>
      </w:pPr>
      <w:r>
        <w:rPr>
          <w:rFonts w:ascii="宋体" w:hAnsi="宋体" w:eastAsia="宋体" w:cs="宋体"/>
          <w:color w:val="000000"/>
          <w:sz w:val="32"/>
          <w:szCs w:val="32"/>
        </w:rPr>
        <w:t>6、负责实施科学规范的工程建设标准体系工作。负责贯彻执行国家、省工程建设实施阶段的相关国家标准、全国统一定额和行业标准及省工程建设地方标准、省级工程建设工法、地方定额及其实施办法和相关管理制度，组织拟制具体实施办法。</w:t>
      </w:r>
      <w:r>
        <w:rPr>
          <w:rFonts w:hint="default" w:ascii="Times New Roman" w:hAnsi="Times New Roman" w:cs="Times New Roman"/>
          <w:color w:val="000000"/>
          <w:sz w:val="32"/>
          <w:szCs w:val="32"/>
        </w:rPr>
        <w:t xml:space="preserve"> </w:t>
      </w:r>
    </w:p>
    <w:p w14:paraId="15F17141">
      <w:pPr>
        <w:spacing w:before="0" w:beforeAutospacing="0" w:after="2" w:afterAutospacing="0"/>
        <w:ind w:left="0" w:firstLine="630"/>
      </w:pPr>
      <w:r>
        <w:rPr>
          <w:rFonts w:ascii="宋体" w:hAnsi="宋体" w:eastAsia="宋体" w:cs="宋体"/>
          <w:color w:val="000000"/>
          <w:sz w:val="32"/>
          <w:szCs w:val="32"/>
        </w:rPr>
        <w:t>7、负责指导和管理全区建筑活动。拟制建筑业、勘察设计咨询业的行业发展战略、中长期规划、改革方案、产业政策措施、技术政策措施并组织指导实施，贯彻有关建筑业、勘察设计咨询业法律、法规、规章和规范性文件精神，拟制勘察设计咨询、工程施工、建设监理和相关中介组织管理和规范性文件并监督执行，指导监督建筑市场准入、工程招投标、工程监理，组织建筑企业、勘察设计咨询企业参与对外工程承包、建筑劳务合作。</w:t>
      </w:r>
      <w:r>
        <w:rPr>
          <w:rFonts w:hint="default" w:ascii="Times New Roman" w:hAnsi="Times New Roman" w:cs="Times New Roman"/>
          <w:color w:val="000000"/>
          <w:sz w:val="32"/>
          <w:szCs w:val="32"/>
        </w:rPr>
        <w:t xml:space="preserve"> </w:t>
      </w:r>
    </w:p>
    <w:p w14:paraId="317F0CB6">
      <w:pPr>
        <w:spacing w:before="0" w:beforeAutospacing="0" w:after="2" w:afterAutospacing="0"/>
        <w:ind w:left="0" w:firstLine="630"/>
      </w:pPr>
      <w:r>
        <w:rPr>
          <w:rFonts w:ascii="宋体" w:hAnsi="宋体" w:eastAsia="宋体" w:cs="宋体"/>
          <w:color w:val="000000"/>
          <w:sz w:val="32"/>
          <w:szCs w:val="32"/>
        </w:rPr>
        <w:t>8、负责全区房屋建筑和市政工程质量安全监管工作。拟制工程质量、安全生产和竣工验收备案的政策措施、制度并监督执行，组织或参与工程质量、安全事故的调查处理，负责实施各类房屋建筑及其附属设施和城市市政设施的建设工程抗震设防工作，指导城市地下空间的勘察设计、工程质量安全及开发利用。</w:t>
      </w:r>
      <w:r>
        <w:rPr>
          <w:rFonts w:hint="default" w:ascii="Times New Roman" w:hAnsi="Times New Roman" w:cs="Times New Roman"/>
          <w:color w:val="000000"/>
          <w:sz w:val="32"/>
          <w:szCs w:val="32"/>
        </w:rPr>
        <w:t xml:space="preserve"> </w:t>
      </w:r>
    </w:p>
    <w:p w14:paraId="61182948">
      <w:pPr>
        <w:spacing w:before="0" w:beforeAutospacing="0" w:after="2" w:afterAutospacing="0"/>
        <w:ind w:left="0" w:firstLine="630"/>
      </w:pPr>
      <w:r>
        <w:rPr>
          <w:rFonts w:ascii="宋体" w:hAnsi="宋体" w:eastAsia="宋体" w:cs="宋体"/>
          <w:color w:val="000000"/>
          <w:sz w:val="32"/>
          <w:szCs w:val="32"/>
        </w:rPr>
        <w:t>9、.会同有关部门负责历史文化名城、名镇、名村保护监督管理工作。</w:t>
      </w:r>
      <w:r>
        <w:rPr>
          <w:rFonts w:hint="default" w:ascii="Times New Roman" w:hAnsi="Times New Roman" w:cs="Times New Roman"/>
          <w:color w:val="000000"/>
          <w:sz w:val="32"/>
          <w:szCs w:val="32"/>
        </w:rPr>
        <w:t xml:space="preserve"> </w:t>
      </w:r>
    </w:p>
    <w:p w14:paraId="71BC522C">
      <w:pPr>
        <w:spacing w:before="0" w:beforeAutospacing="0" w:after="2" w:afterAutospacing="0"/>
        <w:ind w:left="0" w:firstLine="630"/>
      </w:pPr>
      <w:r>
        <w:rPr>
          <w:rFonts w:ascii="宋体" w:hAnsi="宋体" w:eastAsia="宋体" w:cs="宋体"/>
          <w:color w:val="000000"/>
          <w:sz w:val="32"/>
          <w:szCs w:val="32"/>
        </w:rPr>
        <w:t>10、负责规范和指导村镇建设工作。拟制全区村镇建设政策措施并组织实施，组织指导示范镇、重点镇的建设工作，指导各类示范镇村、传统村落的评审、推荐工作，组织、指导规范农村建房和农村危房改造工作，指导乡镇污水处理设施建设和乡镇黑臭水体治理工作。</w:t>
      </w:r>
      <w:r>
        <w:rPr>
          <w:rFonts w:hint="default" w:ascii="Times New Roman" w:hAnsi="Times New Roman" w:cs="Times New Roman"/>
          <w:color w:val="000000"/>
          <w:sz w:val="32"/>
          <w:szCs w:val="32"/>
        </w:rPr>
        <w:t xml:space="preserve"> </w:t>
      </w:r>
    </w:p>
    <w:p w14:paraId="245DD008">
      <w:pPr>
        <w:spacing w:before="0" w:beforeAutospacing="0" w:after="2" w:afterAutospacing="0"/>
        <w:ind w:left="0" w:firstLine="630"/>
      </w:pPr>
      <w:r>
        <w:rPr>
          <w:rFonts w:ascii="宋体" w:hAnsi="宋体" w:eastAsia="宋体" w:cs="宋体"/>
          <w:color w:val="000000"/>
          <w:sz w:val="32"/>
          <w:szCs w:val="32"/>
        </w:rPr>
        <w:t>11、负责推进全区建筑节能与建设科技进步工作。负责拟制全区建筑节能、绿色建筑、装配式建筑等政策措施、行业规划并监督实施，负责组织住房和城乡建设领域科技项目攻关、新技术新产品开发利用和科技成果转化、推广，负责管理行业科技成果。</w:t>
      </w:r>
      <w:r>
        <w:rPr>
          <w:rFonts w:hint="default" w:ascii="Times New Roman" w:hAnsi="Times New Roman" w:cs="Times New Roman"/>
          <w:color w:val="000000"/>
          <w:sz w:val="32"/>
          <w:szCs w:val="32"/>
        </w:rPr>
        <w:t xml:space="preserve"> </w:t>
      </w:r>
    </w:p>
    <w:p w14:paraId="5B7E5516">
      <w:pPr>
        <w:spacing w:before="0" w:beforeAutospacing="0" w:after="2" w:afterAutospacing="0"/>
        <w:ind w:left="0" w:firstLine="630"/>
      </w:pPr>
      <w:r>
        <w:rPr>
          <w:rFonts w:ascii="宋体" w:hAnsi="宋体" w:eastAsia="宋体" w:cs="宋体"/>
          <w:color w:val="000000"/>
          <w:sz w:val="32"/>
          <w:szCs w:val="32"/>
        </w:rPr>
        <w:t>12、负责拟制全区勘察设计咨询、装饰装修行业发展规划，负责勘察设计、装饰装修（含室内装饰装修）行业的市场监管。负责组织建设工程初步设计审批，管理建设工程施工图审查工作，提高建设工程设计水平；负责建设工程消防设计审查、消防验收、备案和抽查工作。</w:t>
      </w:r>
      <w:r>
        <w:rPr>
          <w:rFonts w:hint="default" w:ascii="Times New Roman" w:hAnsi="Times New Roman" w:cs="Times New Roman"/>
          <w:color w:val="000000"/>
          <w:sz w:val="32"/>
          <w:szCs w:val="32"/>
        </w:rPr>
        <w:t xml:space="preserve"> </w:t>
      </w:r>
    </w:p>
    <w:p w14:paraId="70341400">
      <w:pPr>
        <w:spacing w:before="0" w:beforeAutospacing="0" w:after="2" w:afterAutospacing="0"/>
        <w:ind w:left="0" w:firstLine="630"/>
      </w:pPr>
      <w:r>
        <w:rPr>
          <w:rFonts w:ascii="宋体" w:hAnsi="宋体" w:eastAsia="宋体" w:cs="宋体"/>
          <w:color w:val="000000"/>
          <w:sz w:val="32"/>
          <w:szCs w:val="32"/>
        </w:rPr>
        <w:t>13、负责永州市中心城区零陵规划区内的城市基础设施配套费的征收与管理。会同财政等有关部门管理城市建设资金及其他专项资金，监督资金使用情况。</w:t>
      </w:r>
      <w:r>
        <w:rPr>
          <w:rFonts w:hint="default" w:ascii="Times New Roman" w:hAnsi="Times New Roman" w:cs="Times New Roman"/>
          <w:color w:val="000000"/>
          <w:sz w:val="32"/>
          <w:szCs w:val="32"/>
        </w:rPr>
        <w:t xml:space="preserve"> </w:t>
      </w:r>
    </w:p>
    <w:p w14:paraId="4DA634F6">
      <w:pPr>
        <w:spacing w:before="0" w:beforeAutospacing="0" w:after="2" w:afterAutospacing="0"/>
        <w:ind w:left="0" w:firstLine="630"/>
      </w:pPr>
      <w:r>
        <w:rPr>
          <w:rFonts w:ascii="宋体" w:hAnsi="宋体" w:eastAsia="宋体" w:cs="宋体"/>
          <w:color w:val="000000"/>
          <w:sz w:val="32"/>
          <w:szCs w:val="32"/>
        </w:rPr>
        <w:t>14、负责拟制本系统人才发展规划，指导本系统人才队伍建设。负责组织开展本系统职工队伍培训和继续教育工作，负责本系统相关专业技术职称初审和职业资格管理工作，负责本系统的行业统计、指导行业协会、学会工作。</w:t>
      </w:r>
      <w:r>
        <w:rPr>
          <w:rFonts w:hint="default" w:ascii="Times New Roman" w:hAnsi="Times New Roman" w:cs="Times New Roman"/>
          <w:color w:val="000000"/>
          <w:sz w:val="32"/>
          <w:szCs w:val="32"/>
        </w:rPr>
        <w:t xml:space="preserve"> </w:t>
      </w:r>
    </w:p>
    <w:p w14:paraId="16B3ED68">
      <w:pPr>
        <w:spacing w:before="0" w:beforeAutospacing="0" w:after="2" w:afterAutospacing="0"/>
        <w:ind w:left="0" w:firstLine="630"/>
      </w:pPr>
      <w:r>
        <w:rPr>
          <w:rFonts w:ascii="宋体" w:hAnsi="宋体" w:eastAsia="宋体" w:cs="宋体"/>
          <w:b/>
          <w:bCs/>
          <w:color w:val="000000"/>
          <w:sz w:val="32"/>
          <w:szCs w:val="32"/>
        </w:rPr>
        <w:t>（二）机构设置</w:t>
      </w:r>
      <w:r>
        <w:rPr>
          <w:color w:val="000000"/>
        </w:rPr>
        <w:t xml:space="preserve"> </w:t>
      </w:r>
    </w:p>
    <w:p w14:paraId="5960EF19">
      <w:pPr>
        <w:spacing w:before="0" w:beforeAutospacing="0" w:after="2" w:afterAutospacing="0"/>
        <w:ind w:left="0" w:firstLine="630"/>
      </w:pPr>
      <w:r>
        <w:rPr>
          <w:rFonts w:ascii="宋体" w:hAnsi="宋体" w:eastAsia="宋体" w:cs="宋体"/>
          <w:color w:val="000000"/>
          <w:sz w:val="32"/>
          <w:szCs w:val="32"/>
        </w:rPr>
        <w:t>永州市零陵区住房和城乡建设局内设机构包括：我局共有内设机构8个：办公室（加挂人事室、岗位培训办公室、计划财务审计室、信访投诉室牌子）、行政审批股（加挂综合验收备案室牌子）、政策法规与执法稽查室、建筑业管理室（加挂安全生产办公室牌子）、勘察设计和建筑节能室、城市建设管理室、村镇建设管理室（扶贫工作办公室）、住房保障室（房地产市场监管室），归口管理4个公益一类事业单位：区城乡建设事务中心（非独立核算的副科级单位）、区建设工程质量安全监督站（非独立核算的副科级单位）、零陵历史文化名城服务中心（独立核算的正科级单位）、零陵区住房保障服务中心（独立核算的正科级单位）。本部门共有编制80人，实有编制人数80人，其中在职80人，退休25人。</w:t>
      </w:r>
      <w:r>
        <w:rPr>
          <w:color w:val="000000"/>
        </w:rPr>
        <w:t xml:space="preserve"> </w:t>
      </w:r>
    </w:p>
    <w:p w14:paraId="20FA2F2C">
      <w:pPr>
        <w:spacing w:before="0" w:beforeAutospacing="0" w:after="2" w:afterAutospacing="0"/>
        <w:ind w:left="0" w:firstLine="627"/>
      </w:pPr>
      <w:r>
        <w:rPr>
          <w:rStyle w:val="12"/>
          <w:rFonts w:ascii="宋体" w:hAnsi="宋体" w:eastAsia="宋体" w:cs="宋体"/>
          <w:color w:val="000000"/>
          <w:sz w:val="32"/>
          <w:szCs w:val="32"/>
        </w:rPr>
        <w:t>二、部门预算单位构成</w:t>
      </w:r>
      <w:r>
        <w:rPr>
          <w:color w:val="000000"/>
        </w:rPr>
        <w:t xml:space="preserve"> </w:t>
      </w:r>
    </w:p>
    <w:p w14:paraId="428B74E8">
      <w:pPr>
        <w:spacing w:before="0" w:beforeAutospacing="0" w:after="2" w:afterAutospacing="0"/>
        <w:ind w:left="0" w:firstLine="627"/>
      </w:pPr>
      <w:r>
        <w:rPr>
          <w:rFonts w:ascii="宋体" w:hAnsi="宋体" w:eastAsia="宋体" w:cs="宋体"/>
          <w:color w:val="000000"/>
          <w:sz w:val="32"/>
          <w:szCs w:val="32"/>
        </w:rPr>
        <w:t>永州市零陵区住房和城乡建设局只有本级，没有其他预算单位，纳入编制范围的预算单位仅含永州市零陵区住房和城乡建设局。</w:t>
      </w:r>
      <w:r>
        <w:rPr>
          <w:color w:val="000000"/>
        </w:rPr>
        <w:t xml:space="preserve"> </w:t>
      </w:r>
    </w:p>
    <w:p w14:paraId="10BFB5B3">
      <w:pPr>
        <w:spacing w:before="0" w:beforeAutospacing="0" w:after="2" w:afterAutospacing="0"/>
        <w:ind w:left="0" w:firstLine="627"/>
      </w:pPr>
      <w:r>
        <w:rPr>
          <w:rStyle w:val="12"/>
          <w:rFonts w:ascii="宋体" w:hAnsi="宋体" w:eastAsia="宋体" w:cs="宋体"/>
          <w:color w:val="000000"/>
          <w:sz w:val="32"/>
          <w:szCs w:val="32"/>
        </w:rPr>
        <w:t>三、部门收支总体情况</w:t>
      </w:r>
      <w:r>
        <w:rPr>
          <w:color w:val="000000"/>
        </w:rPr>
        <w:t xml:space="preserve"> </w:t>
      </w:r>
    </w:p>
    <w:p w14:paraId="5AEECCB9">
      <w:pPr>
        <w:spacing w:before="0" w:beforeAutospacing="0" w:after="2" w:afterAutospacing="0"/>
        <w:ind w:left="0" w:firstLine="630"/>
      </w:pPr>
      <w:r>
        <w:rPr>
          <w:rFonts w:ascii="宋体" w:hAnsi="宋体" w:eastAsia="宋体" w:cs="宋体"/>
          <w:b/>
          <w:bCs/>
          <w:color w:val="000000"/>
          <w:sz w:val="32"/>
          <w:szCs w:val="32"/>
        </w:rPr>
        <w:t>（一）收入预算：</w:t>
      </w:r>
      <w:r>
        <w:rPr>
          <w:rFonts w:ascii="宋体" w:hAnsi="宋体" w:eastAsia="宋体" w:cs="宋体"/>
          <w:color w:val="000000"/>
          <w:sz w:val="32"/>
          <w:szCs w:val="32"/>
        </w:rPr>
        <w:t>包括一般公共预算、政府性基金、国有资本经营预算等财政拨款收入，以及经营收入、事业收入等单位资金。2025年本部门收入预算15,826.41万元，其中：一般公共预算拨款1,194.31万元，（其中：纳入一般公共预算管理的非税收入拨款0万元），政府性基金预算拨款0万元，国有资本经营预算拨款0万元，上级财政补助14,632.1万元，其他收入0万元。收入较去年增加10,633.71万元，主要原因是本级专项增加。</w:t>
      </w:r>
      <w:r>
        <w:rPr>
          <w:color w:val="000000"/>
        </w:rPr>
        <w:t xml:space="preserve"> </w:t>
      </w:r>
    </w:p>
    <w:p w14:paraId="23D3CC79">
      <w:pPr>
        <w:spacing w:before="0" w:beforeAutospacing="0" w:after="2" w:afterAutospacing="0"/>
        <w:ind w:left="0" w:firstLine="630"/>
      </w:pPr>
      <w:r>
        <w:rPr>
          <w:rFonts w:ascii="宋体" w:hAnsi="宋体" w:eastAsia="宋体" w:cs="宋体"/>
          <w:b/>
          <w:bCs/>
          <w:color w:val="000000"/>
          <w:sz w:val="32"/>
          <w:szCs w:val="32"/>
        </w:rPr>
        <w:t>（二）支出预算：</w:t>
      </w:r>
      <w:r>
        <w:rPr>
          <w:rFonts w:ascii="宋体" w:hAnsi="宋体" w:eastAsia="宋体" w:cs="宋体"/>
          <w:color w:val="000000"/>
          <w:sz w:val="32"/>
          <w:szCs w:val="32"/>
        </w:rPr>
        <w:t>2025年本部门支出预算15,826.41万元，其中：文化旅游体育与传媒支出10,200万元，社会保障和就业支出91.46万元，卫生健康支出39.98万元，城乡社区支出1,062.86万元，住房保障支出4,432.1万元。支出较去年增加10,633.71万元，主要原因是文化旅游体育与传媒支出增加。</w:t>
      </w:r>
      <w:r>
        <w:rPr>
          <w:color w:val="000000"/>
        </w:rPr>
        <w:t xml:space="preserve"> </w:t>
      </w:r>
    </w:p>
    <w:p w14:paraId="532ECDF3">
      <w:pPr>
        <w:spacing w:before="0" w:beforeAutospacing="0" w:after="2" w:afterAutospacing="0"/>
        <w:ind w:left="0" w:firstLine="660"/>
      </w:pPr>
      <w:r>
        <w:rPr>
          <w:rStyle w:val="12"/>
          <w:rFonts w:ascii="宋体" w:hAnsi="宋体" w:eastAsia="宋体" w:cs="宋体"/>
          <w:color w:val="000000"/>
          <w:sz w:val="32"/>
          <w:szCs w:val="32"/>
        </w:rPr>
        <w:t>四、一般公共预算拨款支出</w:t>
      </w:r>
      <w:r>
        <w:rPr>
          <w:color w:val="000000"/>
        </w:rPr>
        <w:t xml:space="preserve"> </w:t>
      </w:r>
    </w:p>
    <w:p w14:paraId="2776F96D">
      <w:pPr>
        <w:spacing w:before="0" w:beforeAutospacing="0" w:after="2" w:afterAutospacing="0"/>
        <w:ind w:left="0" w:firstLine="660"/>
      </w:pPr>
      <w:r>
        <w:rPr>
          <w:rFonts w:ascii="宋体" w:hAnsi="宋体" w:eastAsia="宋体" w:cs="宋体"/>
          <w:color w:val="000000"/>
          <w:sz w:val="32"/>
          <w:szCs w:val="32"/>
        </w:rPr>
        <w:t>2025年本部门一般公共预算拨款支出预算15,826.41万元，其中：文化旅游体育与传媒支出10,200万元，占64.45%，社会保障和就业支出91.46万元，占0.58%，卫生健康支出39.98万元，占0.25%，城乡社区支出1,062.86万元，占6.72%，住房保障支出4,432.1万元，占28%。具体安排情况如下：</w:t>
      </w:r>
      <w:r>
        <w:rPr>
          <w:color w:val="000000"/>
        </w:rPr>
        <w:t xml:space="preserve"> </w:t>
      </w:r>
    </w:p>
    <w:p w14:paraId="1070A9F5">
      <w:pPr>
        <w:spacing w:before="0" w:beforeAutospacing="0" w:after="2" w:afterAutospacing="0"/>
        <w:ind w:left="0" w:firstLine="660"/>
      </w:pPr>
      <w:r>
        <w:rPr>
          <w:rFonts w:ascii="宋体" w:hAnsi="宋体" w:eastAsia="宋体" w:cs="宋体"/>
          <w:b/>
          <w:bCs/>
          <w:color w:val="000000"/>
          <w:sz w:val="32"/>
          <w:szCs w:val="32"/>
        </w:rPr>
        <w:t>（一）基本支出：</w:t>
      </w:r>
      <w:r>
        <w:rPr>
          <w:rFonts w:ascii="宋体" w:hAnsi="宋体" w:eastAsia="宋体" w:cs="宋体"/>
          <w:color w:val="000000"/>
          <w:sz w:val="32"/>
          <w:szCs w:val="32"/>
        </w:rPr>
        <w:t>2025年本部门基本支出预算697.73万元，主要是为保障部门正常运转、完成日常工作任务而发生的各项支出，包括用于基本工资、津贴补贴等人员经费以及办公费、印刷费、水电费、办公设备购置等公用经费。</w:t>
      </w:r>
      <w:r>
        <w:rPr>
          <w:color w:val="000000"/>
        </w:rPr>
        <w:t xml:space="preserve"> </w:t>
      </w:r>
    </w:p>
    <w:p w14:paraId="5411FFA1">
      <w:pPr>
        <w:spacing w:before="0" w:beforeAutospacing="0" w:after="2" w:afterAutospacing="0"/>
        <w:ind w:left="0" w:firstLine="660"/>
      </w:pPr>
      <w:r>
        <w:rPr>
          <w:rFonts w:ascii="宋体" w:hAnsi="宋体" w:eastAsia="宋体" w:cs="宋体"/>
          <w:b/>
          <w:bCs/>
          <w:color w:val="000000"/>
          <w:sz w:val="32"/>
          <w:szCs w:val="32"/>
        </w:rPr>
        <w:t>（二）项目支出：</w:t>
      </w:r>
      <w:r>
        <w:rPr>
          <w:rFonts w:ascii="宋体" w:hAnsi="宋体" w:eastAsia="宋体" w:cs="宋体"/>
          <w:color w:val="000000"/>
          <w:sz w:val="32"/>
          <w:szCs w:val="32"/>
        </w:rPr>
        <w:t>2025年本部门项目支出预算15,128.68万元，主要是部门为完成特定行政工作任务或事业发展目标而发生的支出，包括有关事业发展专项、专项业务费、基本建设支出等，其中：其他文化和旅游支出10,200万元，主要用于文化保护传承项目支出等方面；行政运行支出103.53万元，主要用于单位运行等方面；其他城乡社区管理事务支出393.05万元，主要用于城乡社区管理事务等方面；棚户区改造支出79万元，主要用于棚户区改造等方面；老旧小区改造支出2,160.9万元，主要用于老旧小区改造等方面；其他保障性安居工程支出2,192.2万元，主要用于保障性安居工程等方面。</w:t>
      </w:r>
      <w:r>
        <w:rPr>
          <w:color w:val="000000"/>
        </w:rPr>
        <w:t xml:space="preserve"> </w:t>
      </w:r>
    </w:p>
    <w:p w14:paraId="76B0DB90">
      <w:pPr>
        <w:spacing w:before="0" w:beforeAutospacing="0" w:after="2" w:afterAutospacing="0"/>
        <w:ind w:left="0" w:firstLine="660"/>
      </w:pPr>
      <w:r>
        <w:rPr>
          <w:rStyle w:val="12"/>
          <w:rFonts w:ascii="宋体" w:hAnsi="宋体" w:eastAsia="宋体" w:cs="宋体"/>
          <w:color w:val="000000"/>
          <w:sz w:val="32"/>
          <w:szCs w:val="32"/>
        </w:rPr>
        <w:t>五、政府性基金预算支出</w:t>
      </w:r>
      <w:r>
        <w:rPr>
          <w:color w:val="000000"/>
        </w:rPr>
        <w:t xml:space="preserve"> </w:t>
      </w:r>
    </w:p>
    <w:p w14:paraId="220C6F62">
      <w:pPr>
        <w:spacing w:before="0" w:beforeAutospacing="0" w:after="2" w:afterAutospacing="0"/>
        <w:ind w:left="0" w:firstLine="660"/>
      </w:pPr>
      <w:r>
        <w:rPr>
          <w:rFonts w:ascii="宋体" w:hAnsi="宋体" w:eastAsia="宋体" w:cs="宋体"/>
          <w:color w:val="000000"/>
          <w:sz w:val="32"/>
          <w:szCs w:val="32"/>
          <w:shd w:val="clear" w:fill="FFFFFF"/>
        </w:rPr>
        <w:t>2025年本部门无政府性基金安排的支出。</w:t>
      </w:r>
      <w:r>
        <w:rPr>
          <w:color w:val="000000"/>
        </w:rPr>
        <w:t xml:space="preserve"> </w:t>
      </w:r>
    </w:p>
    <w:p w14:paraId="06B5DA2B">
      <w:pPr>
        <w:spacing w:before="0" w:beforeAutospacing="0" w:after="2" w:afterAutospacing="0"/>
        <w:ind w:left="0" w:firstLine="660"/>
      </w:pPr>
      <w:r>
        <w:rPr>
          <w:rStyle w:val="12"/>
          <w:rFonts w:ascii="宋体" w:hAnsi="宋体" w:eastAsia="宋体" w:cs="宋体"/>
          <w:color w:val="000000"/>
          <w:sz w:val="32"/>
          <w:szCs w:val="32"/>
        </w:rPr>
        <w:t>六、其他重要事项的情况说明</w:t>
      </w:r>
      <w:r>
        <w:rPr>
          <w:color w:val="000000"/>
        </w:rPr>
        <w:t xml:space="preserve"> </w:t>
      </w:r>
    </w:p>
    <w:p w14:paraId="26C230FC">
      <w:pPr>
        <w:spacing w:before="0" w:beforeAutospacing="0" w:after="2" w:afterAutospacing="0"/>
        <w:ind w:left="0" w:firstLine="660"/>
      </w:pPr>
      <w:r>
        <w:rPr>
          <w:rFonts w:ascii="宋体" w:hAnsi="宋体" w:eastAsia="宋体" w:cs="宋体"/>
          <w:b/>
          <w:bCs/>
          <w:color w:val="000000"/>
          <w:sz w:val="32"/>
          <w:szCs w:val="32"/>
        </w:rPr>
        <w:t>（一）机关运行经费：</w:t>
      </w:r>
      <w:r>
        <w:rPr>
          <w:rFonts w:hint="eastAsia" w:ascii="宋体" w:hAnsi="宋体" w:eastAsia="宋体" w:cs="宋体"/>
          <w:color w:val="000000"/>
          <w:sz w:val="32"/>
          <w:szCs w:val="32"/>
        </w:rPr>
        <w:t>2025年本部门机关运行经费支出58.4万元，</w:t>
      </w:r>
      <w:r>
        <w:rPr>
          <w:rFonts w:ascii="宋体" w:hAnsi="宋体" w:eastAsia="宋体" w:cs="宋体"/>
          <w:color w:val="000000"/>
          <w:sz w:val="32"/>
          <w:szCs w:val="32"/>
        </w:rPr>
        <w:t>预算与上一年度持平。</w:t>
      </w:r>
      <w:r>
        <w:rPr>
          <w:color w:val="000000"/>
        </w:rPr>
        <w:t xml:space="preserve"> </w:t>
      </w:r>
    </w:p>
    <w:p w14:paraId="392674CC">
      <w:pPr>
        <w:spacing w:before="0" w:beforeAutospacing="0" w:after="2" w:afterAutospacing="0"/>
        <w:ind w:left="0" w:firstLine="660"/>
      </w:pPr>
      <w:r>
        <w:rPr>
          <w:rFonts w:ascii="宋体" w:hAnsi="宋体" w:eastAsia="宋体" w:cs="宋体"/>
          <w:b/>
          <w:bCs/>
          <w:color w:val="000000"/>
          <w:sz w:val="32"/>
          <w:szCs w:val="32"/>
        </w:rPr>
        <w:t>（二）“三公”经费预算：</w:t>
      </w:r>
      <w:r>
        <w:rPr>
          <w:rFonts w:ascii="宋体" w:hAnsi="宋体" w:eastAsia="宋体" w:cs="宋体"/>
          <w:color w:val="000000"/>
          <w:sz w:val="32"/>
          <w:szCs w:val="32"/>
        </w:rPr>
        <w:t>2025年本部门“三公”经费预算数为6万元，其中，公务接待费6万元，公务用车购置及运行费0万元（其中，公务用车购置费0万元，公务用车运行费0万元），因公出国（境）费0万元。2025年“三公”经费预算较2024年减少2万元，主要是厉行节约。</w:t>
      </w:r>
      <w:r>
        <w:rPr>
          <w:color w:val="000000"/>
        </w:rPr>
        <w:t xml:space="preserve"> </w:t>
      </w:r>
    </w:p>
    <w:p w14:paraId="5E98805C">
      <w:pPr>
        <w:spacing w:before="0" w:beforeAutospacing="0" w:after="2" w:afterAutospacing="0"/>
        <w:ind w:left="0" w:firstLine="660"/>
      </w:pPr>
      <w:r>
        <w:rPr>
          <w:rFonts w:ascii="宋体" w:hAnsi="宋体" w:eastAsia="宋体" w:cs="宋体"/>
          <w:b/>
          <w:bCs/>
          <w:color w:val="000000"/>
          <w:sz w:val="32"/>
          <w:szCs w:val="32"/>
        </w:rPr>
        <w:t>（三）一般性支出情况：</w:t>
      </w:r>
      <w:r>
        <w:rPr>
          <w:rFonts w:ascii="宋体" w:hAnsi="宋体" w:eastAsia="宋体" w:cs="宋体"/>
          <w:color w:val="000000"/>
          <w:sz w:val="32"/>
          <w:szCs w:val="32"/>
        </w:rPr>
        <w:t>2025年本部门会议费预算0万元，我单位2025年度无会议费预算支出；培训费预算2万元，拟召开事业单位人员培训，人数80人，内容为事业单位人员培训；拟举办0场节庆、晚会、论坛、赛事活动，开支0万元，无相关活动计划。</w:t>
      </w:r>
      <w:r>
        <w:rPr>
          <w:color w:val="000000"/>
        </w:rPr>
        <w:t xml:space="preserve"> </w:t>
      </w:r>
    </w:p>
    <w:p w14:paraId="373041A2">
      <w:pPr>
        <w:spacing w:before="0" w:beforeAutospacing="0" w:after="2" w:afterAutospacing="0"/>
        <w:ind w:left="0" w:firstLine="660"/>
      </w:pPr>
      <w:r>
        <w:rPr>
          <w:rFonts w:ascii="宋体" w:hAnsi="宋体" w:eastAsia="宋体" w:cs="宋体"/>
          <w:b/>
          <w:bCs/>
          <w:color w:val="000000"/>
          <w:sz w:val="32"/>
          <w:szCs w:val="32"/>
        </w:rPr>
        <w:t>（四）政府采购情况：</w:t>
      </w:r>
      <w:r>
        <w:rPr>
          <w:rFonts w:ascii="宋体" w:hAnsi="宋体" w:eastAsia="宋体" w:cs="宋体"/>
          <w:color w:val="000000"/>
          <w:sz w:val="32"/>
          <w:szCs w:val="32"/>
        </w:rPr>
        <w:t>2025年本部门政府采购预算总额0万元，其中，货物类采购预算0万元；工程类采购预算0万元；服务类采购预算0万元。</w:t>
      </w:r>
      <w:r>
        <w:rPr>
          <w:color w:val="000000"/>
        </w:rPr>
        <w:t xml:space="preserve"> </w:t>
      </w:r>
    </w:p>
    <w:p w14:paraId="008973D2">
      <w:pPr>
        <w:spacing w:before="0" w:beforeAutospacing="0" w:after="2" w:afterAutospacing="0"/>
        <w:ind w:left="0" w:firstLine="660"/>
      </w:pPr>
      <w:r>
        <w:rPr>
          <w:rFonts w:ascii="宋体" w:hAnsi="宋体" w:eastAsia="宋体" w:cs="宋体"/>
          <w:b/>
          <w:bCs/>
          <w:color w:val="000000"/>
          <w:sz w:val="32"/>
          <w:szCs w:val="32"/>
        </w:rPr>
        <w:t>（五）国有资产占用使用及新增资产配置情况：</w:t>
      </w:r>
      <w:r>
        <w:rPr>
          <w:rFonts w:ascii="宋体" w:hAnsi="宋体" w:eastAsia="宋体" w:cs="宋体"/>
          <w:color w:val="000000"/>
          <w:sz w:val="32"/>
          <w:szCs w:val="32"/>
        </w:rPr>
        <w:t>截至2024年12月底，本部门共有公务用车0辆，其中，机要通信用车0辆，应急保障用车0辆，执法执勤用车0辆，专业技术用车0辆，特种专业技术用车0辆，业务用车0辆，其他按照规定配备的公务用车0辆；单位价值50万元以上通用设备0台，单位价值100万元以上专用设备0台。2025年拟新增配置公务用车0辆，其中，机要通信用车0辆，应急保障用车0辆，执法执勤用车0辆，专业技术用车0辆，特种专业技术用车0辆，业务用车0辆，其他按照规定配备的公务用车0辆；新增配备单位价值50万元以上通用设备0台，单位价值100万元以上专用设备0台。</w:t>
      </w:r>
      <w:r>
        <w:rPr>
          <w:color w:val="000000"/>
        </w:rPr>
        <w:t xml:space="preserve"> </w:t>
      </w:r>
    </w:p>
    <w:p w14:paraId="63244D80">
      <w:pPr>
        <w:spacing w:before="0" w:beforeAutospacing="0" w:after="2" w:afterAutospacing="0"/>
        <w:ind w:left="0" w:firstLine="660"/>
      </w:pPr>
      <w:r>
        <w:rPr>
          <w:rFonts w:ascii="宋体" w:hAnsi="宋体" w:eastAsia="宋体" w:cs="宋体"/>
          <w:b/>
          <w:bCs/>
          <w:color w:val="000000"/>
          <w:sz w:val="32"/>
          <w:szCs w:val="32"/>
        </w:rPr>
        <w:t>（六）预算绩效目标说明：</w:t>
      </w:r>
      <w:r>
        <w:rPr>
          <w:rFonts w:ascii="宋体" w:hAnsi="宋体" w:eastAsia="宋体" w:cs="宋体"/>
          <w:color w:val="000000"/>
          <w:sz w:val="32"/>
          <w:szCs w:val="32"/>
        </w:rPr>
        <w:t>本部门所有支出实行绩效目标管理。纳入2025年部门整体支出绩效目标的金额为15,826.41万元，其中，基本支出697.73万元，项目支出15,128.68万元，具体绩效目标详见报表。</w:t>
      </w:r>
      <w:r>
        <w:rPr>
          <w:color w:val="000000"/>
        </w:rPr>
        <w:t xml:space="preserve"> </w:t>
      </w:r>
    </w:p>
    <w:p w14:paraId="2AF884F2">
      <w:pPr>
        <w:spacing w:before="0" w:beforeAutospacing="0" w:after="2" w:afterAutospacing="0"/>
        <w:ind w:left="0" w:firstLine="660"/>
      </w:pPr>
      <w:r>
        <w:rPr>
          <w:rStyle w:val="12"/>
          <w:rFonts w:ascii="宋体" w:hAnsi="宋体" w:eastAsia="宋体" w:cs="宋体"/>
          <w:color w:val="000000"/>
          <w:sz w:val="32"/>
          <w:szCs w:val="32"/>
        </w:rPr>
        <w:t>七、名词解释</w:t>
      </w:r>
      <w:r>
        <w:rPr>
          <w:color w:val="000000"/>
        </w:rPr>
        <w:t xml:space="preserve"> </w:t>
      </w:r>
    </w:p>
    <w:p w14:paraId="39DF0253">
      <w:pPr>
        <w:spacing w:before="0" w:beforeAutospacing="0" w:after="2" w:afterAutospacing="0"/>
        <w:ind w:left="0" w:firstLine="660"/>
      </w:pPr>
      <w:r>
        <w:rPr>
          <w:rFonts w:ascii="宋体" w:hAnsi="宋体" w:eastAsia="宋体" w:cs="宋体"/>
          <w:color w:val="000000"/>
          <w:sz w:val="32"/>
          <w:szCs w:val="32"/>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r>
        <w:rPr>
          <w:color w:val="000000"/>
        </w:rPr>
        <w:t xml:space="preserve"> </w:t>
      </w:r>
    </w:p>
    <w:p w14:paraId="65F9AC0E">
      <w:pPr>
        <w:spacing w:before="0" w:beforeAutospacing="0" w:after="2" w:afterAutospacing="0"/>
        <w:ind w:left="0" w:firstLine="660"/>
      </w:pPr>
      <w:r>
        <w:rPr>
          <w:rFonts w:ascii="宋体" w:hAnsi="宋体" w:eastAsia="宋体" w:cs="宋体"/>
          <w:color w:val="000000"/>
          <w:sz w:val="32"/>
          <w:szCs w:val="32"/>
        </w:rPr>
        <w:t>2、“三公”经费：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务费等支出。</w:t>
      </w:r>
      <w:r>
        <w:rPr>
          <w:color w:val="000000"/>
        </w:rPr>
        <w:t xml:space="preserve"> </w:t>
      </w:r>
    </w:p>
    <w:p w14:paraId="368EE4F5">
      <w:pPr>
        <w:spacing w:before="0" w:beforeAutospacing="0" w:after="2" w:afterAutospacing="0"/>
        <w:ind w:left="0" w:firstLine="660"/>
      </w:pPr>
    </w:p>
    <w:p w14:paraId="5A2AA1E0">
      <w:pPr>
        <w:spacing w:before="0" w:beforeAutospacing="0" w:after="2" w:afterAutospacing="0"/>
        <w:ind w:left="0" w:firstLine="660"/>
      </w:pPr>
    </w:p>
    <w:p w14:paraId="46E5816B">
      <w:pPr>
        <w:spacing w:before="0" w:beforeAutospacing="0" w:after="2" w:afterAutospacing="0"/>
        <w:jc w:val="center"/>
      </w:pPr>
      <w:r>
        <w:rPr>
          <w:rStyle w:val="12"/>
          <w:rFonts w:ascii="宋体" w:hAnsi="宋体" w:eastAsia="宋体" w:cs="宋体"/>
          <w:color w:val="000000"/>
          <w:sz w:val="40"/>
          <w:szCs w:val="40"/>
        </w:rPr>
        <w:t>第二部分 2025年部门预算表</w:t>
      </w:r>
      <w:r>
        <w:rPr>
          <w:color w:val="000000"/>
        </w:rPr>
        <w:t xml:space="preserve"> </w:t>
      </w:r>
    </w:p>
    <w:sectPr>
      <w:pgSz w:w="11906" w:h="16839"/>
      <w:pgMar w:top="1440" w:right="1800" w:bottom="1440" w:left="1800"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auto"/>
    <w:pitch w:val="variable"/>
    <w:sig w:usb0="E00002FF" w:usb1="420024FF" w:usb2="00000000" w:usb3="00000000" w:csb0="2000019F" w:csb1="00000000"/>
  </w:font>
  <w:font w:name="Verdana">
    <w:panose1 w:val="020B0604030504040204"/>
    <w:charset w:val="00"/>
    <w:family w:val="auto"/>
    <w:pitch w:val="variable"/>
    <w:sig w:usb0="A10006FF" w:usb1="4000205B" w:usb2="00000010" w:usb3="00000000" w:csb0="2000019F" w:csb1="00000000"/>
  </w:font>
  <w:font w:name="等线">
    <w:altName w:val="微软雅黑"/>
    <w:panose1 w:val="02010600030101010101"/>
    <w:charset w:val="86"/>
    <w:family w:val="auto"/>
    <w:pitch w:val="variable"/>
    <w:sig w:usb0="A00002BF" w:usb1="38CF7CFA" w:usb2="00000016" w:usb3="00000000" w:csb0="0004000F" w:csb1="00000000"/>
  </w:font>
  <w:font w:name="新宋体">
    <w:panose1 w:val="02010609030101010101"/>
    <w:charset w:val="86"/>
    <w:family w:val="auto"/>
    <w:pitch w:val="fixed"/>
    <w:sig w:usb0="00000003" w:usb1="288F0000" w:usb2="00000006" w:usb3="00000000" w:csb0="00040001" w:csb1="00000000"/>
  </w:font>
  <w:font w:name="微软雅黑">
    <w:panose1 w:val="020B0503020204020204"/>
    <w:charset w:val="86"/>
    <w:family w:val="auto"/>
    <w:pitch w:val="variable"/>
    <w:sig w:usb0="80000287" w:usb1="280F3C52" w:usb2="00000016" w:usb3="00000000" w:csb0="0004001F" w:csb1="00000000"/>
  </w:font>
  <w:font w:name="楷体">
    <w:panose1 w:val="02010609060101010101"/>
    <w:charset w:val="86"/>
    <w:family w:val="auto"/>
    <w:pitch w:val="fixed"/>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fixed"/>
    <w:sig w:usb0="800002BF" w:usb1="38CF7CFA" w:usb2="00000016" w:usb3="00000000" w:csb0="00040001" w:csb1="00000000"/>
  </w:font>
  <w:font w:name="@楷体">
    <w:panose1 w:val="02010609060101010101"/>
    <w:charset w:val="86"/>
    <w:family w:val="auto"/>
    <w:pitch w:val="fixed"/>
    <w:sig w:usb0="800002BF" w:usb1="38CF7CFA" w:usb2="00000016" w:usb3="00000000" w:csb0="00040001" w:csb1="00000000"/>
  </w:font>
  <w:font w:name="@微软雅黑">
    <w:panose1 w:val="020B0503020204020204"/>
    <w:charset w:val="86"/>
    <w:family w:val="auto"/>
    <w:pitch w:val="variable"/>
    <w:sig w:usb0="80000287" w:usb1="280F3C52" w:usb2="00000016" w:usb3="00000000" w:csb0="0004001F" w:csb1="00000000"/>
  </w:font>
  <w:font w:name="Arial Black">
    <w:panose1 w:val="020B0A04020102020204"/>
    <w:charset w:val="00"/>
    <w:family w:val="auto"/>
    <w:pitch w:val="variable"/>
    <w:sig w:usb0="00000287" w:usb1="00000000" w:usb2="00000000" w:usb3="00000000" w:csb0="2000009F" w:csb1="DFD70000"/>
  </w:font>
  <w:font w:name="@新宋体">
    <w:panose1 w:val="02010609030101010101"/>
    <w:charset w:val="86"/>
    <w:family w:val="auto"/>
    <w:pitch w:val="fixed"/>
    <w:sig w:usb0="00000003" w:usb1="288F0000" w:usb2="00000006" w:usb3="00000000" w:csb0="00040001" w:csb1="00000000"/>
  </w:font>
  <w:font w:name="Tahoma">
    <w:panose1 w:val="020B0604030504040204"/>
    <w:charset w:val="00"/>
    <w:family w:val="auto"/>
    <w:pitch w:val="variable"/>
    <w:sig w:usb0="E1002EFF" w:usb1="C000605B" w:usb2="00000029" w:usb3="00000000" w:csb0="200101FF" w:csb1="20280000"/>
  </w:font>
  <w:font w:name="@等线">
    <w:altName w:val="宋体"/>
    <w:panose1 w:val="02010600030101010101"/>
    <w:charset w:val="86"/>
    <w:family w:val="auto"/>
    <w:pitch w:val="variable"/>
    <w:sig w:usb0="A00002BF" w:usb1="38CF7CFA" w:usb2="00000016" w:usb3="00000000" w:csb0="0004000F" w:csb1="00000000"/>
  </w:font>
  <w:font w:name="仿宋">
    <w:panose1 w:val="02010609060101010101"/>
    <w:charset w:val="86"/>
    <w:family w:val="auto"/>
    <w:pitch w:val="fixed"/>
    <w:sig w:usb0="800002BF" w:usb1="38CF7CFA" w:usb2="00000016" w:usb3="00000000" w:csb0="00040001" w:csb1="00000000"/>
  </w:font>
  <w:font w:name="@仿宋">
    <w:panose1 w:val="02010609060101010101"/>
    <w:charset w:val="86"/>
    <w:family w:val="auto"/>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6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A533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2"/>
      <w:lang w:val="en-US" w:eastAsia="zh-CN" w:bidi="ar"/>
    </w:rPr>
  </w:style>
  <w:style w:type="paragraph" w:styleId="2">
    <w:name w:val="heading 1"/>
    <w:basedOn w:val="1"/>
    <w:next w:val="1"/>
    <w:qFormat/>
    <w:uiPriority w:val="0"/>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8">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iPriority w:val="0"/>
    <w:pPr>
      <w:widowControl/>
      <w:spacing w:before="0" w:beforeAutospacing="1" w:after="0" w:afterAutospacing="1"/>
      <w:ind w:left="0" w:right="0"/>
      <w:jc w:val="left"/>
    </w:pPr>
    <w:rPr>
      <w:rFonts w:hint="default" w:ascii="宋体" w:hAnsi="宋体" w:eastAsia="宋体" w:cs="宋体"/>
      <w:kern w:val="0"/>
      <w:sz w:val="24"/>
      <w:szCs w:val="24"/>
      <w:lang w:val="en-US" w:eastAsia="zh-CN" w:bidi="ar"/>
    </w:rPr>
  </w:style>
  <w:style w:type="character" w:styleId="12">
    <w:name w:val="Strong"/>
    <w:basedOn w:val="11"/>
    <w:qFormat/>
    <w:uiPriority w:val="0"/>
    <w:rPr>
      <w:b/>
    </w:rPr>
  </w:style>
  <w:style w:type="paragraph" w:customStyle="1" w:styleId="13">
    <w:name w:val="18"/>
    <w:basedOn w:val="1"/>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4464</Words>
  <Characters>4758</Characters>
  <TotalTime>358</TotalTime>
  <ScaleCrop>false</ScaleCrop>
  <LinksUpToDate>false</LinksUpToDate>
  <CharactersWithSpaces>4856</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2025-05-22T01:06:12Z</dcterms:created>
  <dc:creator>Administrator</dc:creator>
  <cp:lastModifiedBy>Administrator</cp:lastModifiedBy>
  <dcterms:modified xsi:type="dcterms:W3CDTF">2025-05-22T07:05:02Z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5BD54E4FD13A4C3DB3C187A22B3CF5BE_13</vt:lpwstr>
  </property>
</Properties>
</file>