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A4C" w:rsidRPr="00672DFB" w:rsidRDefault="00A44BF4" w:rsidP="00672DFB">
      <w:pPr>
        <w:pStyle w:val="1"/>
        <w:spacing w:before="120" w:after="120"/>
        <w:ind w:firstLineChars="500" w:firstLine="2200"/>
        <w:jc w:val="both"/>
        <w:rPr>
          <w:rFonts w:hint="default"/>
          <w:sz w:val="44"/>
          <w:szCs w:val="44"/>
        </w:rPr>
      </w:pPr>
      <w:bookmarkStart w:id="0" w:name="_Toc615"/>
      <w:bookmarkStart w:id="1" w:name="_GoBack"/>
      <w:bookmarkEnd w:id="1"/>
      <w:r w:rsidRPr="00672DFB">
        <w:rPr>
          <w:sz w:val="44"/>
          <w:szCs w:val="44"/>
        </w:rPr>
        <w:t>零陵区石山脚街道办事处</w:t>
      </w:r>
      <w:bookmarkEnd w:id="0"/>
    </w:p>
    <w:p w:rsidR="00D73A4C" w:rsidRPr="00672DFB" w:rsidRDefault="00A44BF4">
      <w:pPr>
        <w:spacing w:line="240" w:lineRule="auto"/>
        <w:ind w:firstLineChars="0" w:firstLine="0"/>
        <w:jc w:val="center"/>
        <w:rPr>
          <w:rFonts w:ascii="方正大标宋简体" w:eastAsia="方正大标宋简体" w:hAnsi="方正大标宋简体"/>
          <w:sz w:val="44"/>
          <w:szCs w:val="44"/>
        </w:rPr>
      </w:pPr>
      <w:r w:rsidRPr="00672DFB">
        <w:rPr>
          <w:rFonts w:ascii="方正大标宋简体" w:eastAsia="方正大标宋简体" w:hAnsi="方正大标宋简体" w:hint="eastAsia"/>
          <w:sz w:val="44"/>
          <w:szCs w:val="44"/>
        </w:rPr>
        <w:t>2022年度部门预算编报说明</w:t>
      </w:r>
    </w:p>
    <w:p w:rsidR="00D73A4C" w:rsidRPr="00672DFB" w:rsidRDefault="00D73A4C" w:rsidP="00672DFB">
      <w:pPr>
        <w:pStyle w:val="a0"/>
        <w:ind w:firstLine="440"/>
        <w:rPr>
          <w:sz w:val="44"/>
          <w:szCs w:val="44"/>
        </w:rPr>
      </w:pPr>
    </w:p>
    <w:p w:rsidR="00D73A4C" w:rsidRDefault="00A44BF4" w:rsidP="008A08F6">
      <w:pPr>
        <w:pStyle w:val="2"/>
        <w:ind w:firstLine="630"/>
      </w:pPr>
      <w:r>
        <w:rPr>
          <w:rFonts w:hint="eastAsia"/>
        </w:rPr>
        <w:t>一、部门基本概况</w:t>
      </w:r>
    </w:p>
    <w:p w:rsidR="00D73A4C" w:rsidRDefault="00A44BF4" w:rsidP="00CF262D">
      <w:pPr>
        <w:pStyle w:val="3"/>
        <w:ind w:firstLine="630"/>
      </w:pPr>
      <w:r>
        <w:rPr>
          <w:rFonts w:hint="eastAsia"/>
        </w:rPr>
        <w:t>（一）主要职能职责。</w:t>
      </w:r>
    </w:p>
    <w:p w:rsidR="00D73A4C" w:rsidRDefault="00A44BF4" w:rsidP="00CF262D">
      <w:pPr>
        <w:ind w:firstLine="600"/>
      </w:pPr>
      <w:r>
        <w:rPr>
          <w:rFonts w:hint="eastAsia"/>
        </w:rPr>
        <w:t>1、执行上级人民代表大会决议国家行政机关的决议、命令、发布决定、命令；</w:t>
      </w:r>
    </w:p>
    <w:p w:rsidR="00D73A4C" w:rsidRDefault="00A44BF4" w:rsidP="00CF262D">
      <w:pPr>
        <w:ind w:firstLine="600"/>
      </w:pPr>
      <w:r>
        <w:rPr>
          <w:rFonts w:hint="eastAsia"/>
        </w:rPr>
        <w:t>2、执行本行政区域内的经济和社会发展计划、预算，管理本行政区域内的经济、教育、科学、文化、卫生、体育事业和财政、民政、公安、司法行政、计划生育等行政工作；加强农村社会保障和社会事务的工作；</w:t>
      </w:r>
    </w:p>
    <w:p w:rsidR="00D73A4C" w:rsidRDefault="00A44BF4" w:rsidP="00CF262D">
      <w:pPr>
        <w:ind w:firstLine="600"/>
      </w:pPr>
      <w:r>
        <w:rPr>
          <w:rFonts w:hint="eastAsia"/>
        </w:rPr>
        <w:t>3、保护社会主义全民所有的财产和劳动群众集体所有的财产，保护公民私人所有的合法财产，维护社会秩序，保障公民的人身权利、民主权利和其他权利；</w:t>
      </w:r>
    </w:p>
    <w:p w:rsidR="00D73A4C" w:rsidRDefault="00A44BF4" w:rsidP="00CF262D">
      <w:pPr>
        <w:ind w:firstLine="600"/>
      </w:pPr>
      <w:r>
        <w:rPr>
          <w:rFonts w:hint="eastAsia"/>
        </w:rPr>
        <w:t>4、保护各种经济组织和合法权益；</w:t>
      </w:r>
    </w:p>
    <w:p w:rsidR="00D73A4C" w:rsidRDefault="00A44BF4" w:rsidP="00CF262D">
      <w:pPr>
        <w:ind w:firstLine="600"/>
      </w:pPr>
      <w:r>
        <w:rPr>
          <w:rFonts w:hint="eastAsia"/>
        </w:rPr>
        <w:t>5、保障少数民族的权利和尊重少数民族的风俗习惯；</w:t>
      </w:r>
    </w:p>
    <w:p w:rsidR="00D73A4C" w:rsidRDefault="00A44BF4" w:rsidP="00CF262D">
      <w:pPr>
        <w:ind w:firstLine="600"/>
      </w:pPr>
      <w:r>
        <w:rPr>
          <w:rFonts w:hint="eastAsia"/>
        </w:rPr>
        <w:t>6、保障宪法和法律赋予妇女的男女平等、同工同酬和婚姻自由等各项权利；</w:t>
      </w:r>
    </w:p>
    <w:p w:rsidR="00D73A4C" w:rsidRDefault="00A44BF4" w:rsidP="00CF262D">
      <w:pPr>
        <w:ind w:firstLine="600"/>
      </w:pPr>
      <w:r>
        <w:rPr>
          <w:rFonts w:hint="eastAsia"/>
        </w:rPr>
        <w:t>7、全面完成上级人民政府交办的各项工作任务和其他事项；</w:t>
      </w:r>
    </w:p>
    <w:p w:rsidR="00D73A4C" w:rsidRDefault="00A44BF4" w:rsidP="00CF262D">
      <w:pPr>
        <w:ind w:firstLine="600"/>
      </w:pPr>
      <w:r>
        <w:rPr>
          <w:rFonts w:hint="eastAsia"/>
        </w:rPr>
        <w:t>8、积极完成各项财政收入工作；明确财政纪律，严格控制各项支出，特别是“三公“经费开支。</w:t>
      </w:r>
    </w:p>
    <w:p w:rsidR="00D73A4C" w:rsidRDefault="00A44BF4" w:rsidP="00CF262D">
      <w:pPr>
        <w:pStyle w:val="3"/>
        <w:ind w:firstLine="630"/>
      </w:pPr>
      <w:r>
        <w:rPr>
          <w:rFonts w:hint="eastAsia"/>
        </w:rPr>
        <w:t>（二）机构设置情况。</w:t>
      </w:r>
    </w:p>
    <w:p w:rsidR="00D73A4C" w:rsidRDefault="00A44BF4" w:rsidP="00CF262D">
      <w:pPr>
        <w:ind w:firstLine="600"/>
      </w:pPr>
      <w:r>
        <w:rPr>
          <w:rFonts w:hint="eastAsia"/>
        </w:rPr>
        <w:t>石山脚办事处内设机构包括：党政综合办、社会事务办、劳保站、城建办。维稳办、应急办、组织人事办、纪检办、经济发展办、市场管理办、易地搬迁办、扶贫办、乡村振兴办、计生办、财政所。2022年部门预算编报范围包括零陵区石山脚街道办事处机关（正科级）及4个中心事业单位以及办事处财政所（参公单位）。</w:t>
      </w:r>
    </w:p>
    <w:p w:rsidR="00D73A4C" w:rsidRDefault="00A44BF4" w:rsidP="008A08F6">
      <w:pPr>
        <w:pStyle w:val="2"/>
        <w:ind w:firstLine="630"/>
      </w:pPr>
      <w:r>
        <w:rPr>
          <w:rFonts w:hint="eastAsia"/>
        </w:rPr>
        <w:lastRenderedPageBreak/>
        <w:t>二、</w:t>
      </w:r>
      <w:r>
        <w:rPr>
          <w:rFonts w:hint="eastAsia"/>
        </w:rPr>
        <w:t>2022</w:t>
      </w:r>
      <w:r>
        <w:rPr>
          <w:rFonts w:hint="eastAsia"/>
        </w:rPr>
        <w:t>年部门预算情况说明</w:t>
      </w:r>
    </w:p>
    <w:p w:rsidR="00D73A4C" w:rsidRDefault="00A44BF4" w:rsidP="00CF262D">
      <w:pPr>
        <w:ind w:firstLine="600"/>
      </w:pPr>
      <w:r>
        <w:rPr>
          <w:rFonts w:hint="eastAsia"/>
        </w:rPr>
        <w:t>本部门行政编制数48名，事业编制数70名，实有人数145名，其中：在职人员118人，退休人员27人。收入预算包括财政拨款收入和纳入预算管理及财政专户管理的行政事业性收费收入；支出预算包括保障局机关及事业单位基本运行的经费和开展各类专项业务活动的经费。</w:t>
      </w:r>
    </w:p>
    <w:p w:rsidR="00D73A4C" w:rsidRDefault="00A44BF4" w:rsidP="00CF262D">
      <w:pPr>
        <w:pStyle w:val="3"/>
        <w:ind w:firstLine="630"/>
      </w:pPr>
      <w:r>
        <w:rPr>
          <w:rFonts w:hint="eastAsia"/>
        </w:rPr>
        <w:t>（一）2022年财政拨款收入情况。</w:t>
      </w:r>
    </w:p>
    <w:p w:rsidR="00D73A4C" w:rsidRDefault="00A44BF4" w:rsidP="00CF262D">
      <w:pPr>
        <w:ind w:firstLine="600"/>
      </w:pPr>
      <w:r>
        <w:rPr>
          <w:rFonts w:hint="eastAsia"/>
        </w:rPr>
        <w:t>2022年年初预算数总收入1598.17万元，包括一般公共预算拨款收入1598.17万元，政府性基金预算拨款收入0万元，财政专户管理资金收入0万元。收入较去年减少290.76万元，主要是一般公共预算拨款收入减少。</w:t>
      </w:r>
    </w:p>
    <w:p w:rsidR="00D73A4C" w:rsidRDefault="00A44BF4" w:rsidP="00CF262D">
      <w:pPr>
        <w:pStyle w:val="3"/>
        <w:ind w:firstLine="630"/>
      </w:pPr>
      <w:r>
        <w:rPr>
          <w:rFonts w:hint="eastAsia"/>
        </w:rPr>
        <w:t>（二）2022年财政拨款支出情况。</w:t>
      </w:r>
    </w:p>
    <w:p w:rsidR="00D73A4C" w:rsidRDefault="00A44BF4" w:rsidP="00CF262D">
      <w:pPr>
        <w:ind w:firstLine="600"/>
      </w:pPr>
      <w:r>
        <w:rPr>
          <w:rFonts w:hint="eastAsia"/>
        </w:rPr>
        <w:t>2022年本部门支出预算1598.17万元，其中，一般公共服务支出849.22万元，社会保障和就业支出295万元，农林水支出380.95万元，住房保障支出73万元，支出较去年减少290.76万元，主要原因是受疫情影响，本年预算政府财政减少拨款，压缩各项支出。</w:t>
      </w:r>
    </w:p>
    <w:p w:rsidR="00D73A4C" w:rsidRDefault="00A44BF4" w:rsidP="008A08F6">
      <w:pPr>
        <w:pStyle w:val="2"/>
        <w:ind w:firstLine="630"/>
      </w:pPr>
      <w:r>
        <w:rPr>
          <w:rFonts w:hint="eastAsia"/>
        </w:rPr>
        <w:t>三、一般公共预算拨款支出</w:t>
      </w:r>
    </w:p>
    <w:p w:rsidR="00D73A4C" w:rsidRDefault="00A44BF4" w:rsidP="00CF262D">
      <w:pPr>
        <w:ind w:firstLine="600"/>
      </w:pPr>
      <w:r>
        <w:rPr>
          <w:rFonts w:hint="eastAsia"/>
        </w:rPr>
        <w:t>2022年本部门一般公共预算拨款支出预算1598.17万元，其中，一般公共服务支出849.22万元，占53.14%，社会保障和就业支出295万元，占18.46%；农林水支出380.95万元，占23.83%；住房保障支出73万元，占4.57%。具体安排情况如下：</w:t>
      </w:r>
    </w:p>
    <w:p w:rsidR="00D73A4C" w:rsidRDefault="00A44BF4" w:rsidP="00CF262D">
      <w:pPr>
        <w:ind w:firstLine="600"/>
      </w:pPr>
      <w:r>
        <w:rPr>
          <w:rFonts w:hint="eastAsia"/>
        </w:rPr>
        <w:t>1、基本支出。2022年年初本部门基本支出预算数1156万元，主要是为保障部门正常运转、完成日常工作任务而发生的各项支出，包括用于基本工资、津贴补贴等人员经费以及办公费、印刷费、水电费、办公设备购置等公用经费。</w:t>
      </w:r>
    </w:p>
    <w:p w:rsidR="00CF262D" w:rsidRDefault="00A44BF4" w:rsidP="00CF262D">
      <w:pPr>
        <w:ind w:firstLine="600"/>
      </w:pPr>
      <w:r>
        <w:rPr>
          <w:rFonts w:hint="eastAsia"/>
        </w:rPr>
        <w:t>2、项目支出。2022年本部门项目支出预算442.17万元，是指按项目管理的商品服务支出和对个人和家庭的补助支出以及资本性支出。</w:t>
      </w:r>
      <w:r w:rsidR="00CF262D">
        <w:rPr>
          <w:rFonts w:hint="eastAsia"/>
        </w:rPr>
        <w:t>其中：</w:t>
      </w:r>
    </w:p>
    <w:p w:rsidR="00CF262D" w:rsidRDefault="00CF262D" w:rsidP="00CF262D">
      <w:pPr>
        <w:ind w:firstLine="600"/>
      </w:pPr>
      <w:r>
        <w:rPr>
          <w:rFonts w:hint="eastAsia"/>
        </w:rPr>
        <w:t>（1）村级经费380.95万元，用于村级运转支出。</w:t>
      </w:r>
    </w:p>
    <w:p w:rsidR="00CF262D" w:rsidRDefault="00CF262D" w:rsidP="00CF262D">
      <w:pPr>
        <w:ind w:firstLine="600"/>
      </w:pPr>
      <w:r>
        <w:rPr>
          <w:rFonts w:hint="eastAsia"/>
        </w:rPr>
        <w:lastRenderedPageBreak/>
        <w:t>（2）非税收入5万元，用于办事处运转支出。</w:t>
      </w:r>
    </w:p>
    <w:p w:rsidR="00CF262D" w:rsidRDefault="00CF262D" w:rsidP="00CF262D">
      <w:pPr>
        <w:ind w:firstLine="600"/>
      </w:pPr>
      <w:r>
        <w:rPr>
          <w:rFonts w:hint="eastAsia"/>
        </w:rPr>
        <w:t>（3）公用经费42.82万元，用于办事处运转支出。</w:t>
      </w:r>
    </w:p>
    <w:p w:rsidR="00CF262D" w:rsidRDefault="00CF262D" w:rsidP="00CF262D">
      <w:pPr>
        <w:ind w:firstLine="600"/>
      </w:pPr>
      <w:r>
        <w:rPr>
          <w:rFonts w:hint="eastAsia"/>
        </w:rPr>
        <w:t>（4）公车经费4.4万元，用于办事处公务车运行及维护支出。</w:t>
      </w:r>
    </w:p>
    <w:p w:rsidR="00D73A4C" w:rsidRDefault="00CF262D" w:rsidP="00CF262D">
      <w:pPr>
        <w:ind w:firstLine="600"/>
      </w:pPr>
      <w:r>
        <w:rPr>
          <w:rFonts w:hint="eastAsia"/>
        </w:rPr>
        <w:t>（5）遗属补助9万元，用于办事处遗属补助支出。</w:t>
      </w:r>
    </w:p>
    <w:p w:rsidR="00D73A4C" w:rsidRDefault="00A44BF4" w:rsidP="008A08F6">
      <w:pPr>
        <w:pStyle w:val="2"/>
        <w:ind w:firstLine="630"/>
      </w:pPr>
      <w:r>
        <w:rPr>
          <w:rFonts w:hint="eastAsia"/>
        </w:rPr>
        <w:t>四、关于</w:t>
      </w:r>
      <w:r>
        <w:rPr>
          <w:rFonts w:hint="eastAsia"/>
        </w:rPr>
        <w:t>2022</w:t>
      </w:r>
      <w:r>
        <w:rPr>
          <w:rFonts w:hint="eastAsia"/>
        </w:rPr>
        <w:t>年政府性基金预算支出情况说明</w:t>
      </w:r>
    </w:p>
    <w:p w:rsidR="00D73A4C" w:rsidRDefault="00A44BF4" w:rsidP="00CF262D">
      <w:pPr>
        <w:ind w:firstLine="600"/>
      </w:pPr>
      <w:r>
        <w:rPr>
          <w:rFonts w:hint="eastAsia"/>
        </w:rPr>
        <w:t>石山脚街道办事处2022年没有使用政府性基金拨款安排支出。</w:t>
      </w:r>
    </w:p>
    <w:p w:rsidR="00D73A4C" w:rsidRDefault="00A44BF4" w:rsidP="008A08F6">
      <w:pPr>
        <w:pStyle w:val="2"/>
        <w:ind w:firstLine="630"/>
      </w:pPr>
      <w:r>
        <w:rPr>
          <w:rFonts w:hint="eastAsia"/>
        </w:rPr>
        <w:t>五、关于</w:t>
      </w:r>
      <w:r>
        <w:rPr>
          <w:rFonts w:hint="eastAsia"/>
        </w:rPr>
        <w:t>2022</w:t>
      </w:r>
      <w:r>
        <w:rPr>
          <w:rFonts w:hint="eastAsia"/>
        </w:rPr>
        <w:t>年财政专户管理资金支出情况说明</w:t>
      </w:r>
    </w:p>
    <w:p w:rsidR="00D73A4C" w:rsidRDefault="00A44BF4" w:rsidP="00CF262D">
      <w:pPr>
        <w:ind w:firstLine="600"/>
      </w:pPr>
      <w:r>
        <w:rPr>
          <w:rFonts w:hint="eastAsia"/>
        </w:rPr>
        <w:t>石山脚街道办事处2022年没有使用财政专户管理资金拨款安排支出。</w:t>
      </w:r>
    </w:p>
    <w:p w:rsidR="00D73A4C" w:rsidRDefault="00A44BF4" w:rsidP="008A08F6">
      <w:pPr>
        <w:pStyle w:val="2"/>
        <w:ind w:firstLine="630"/>
      </w:pPr>
      <w:r>
        <w:rPr>
          <w:rFonts w:hint="eastAsia"/>
        </w:rPr>
        <w:t>六、关于</w:t>
      </w:r>
      <w:r>
        <w:rPr>
          <w:rFonts w:hint="eastAsia"/>
        </w:rPr>
        <w:t>2022</w:t>
      </w:r>
      <w:r>
        <w:rPr>
          <w:rFonts w:hint="eastAsia"/>
        </w:rPr>
        <w:t>年财政拨款安排“三公”经费预算及增减变动情况说明</w:t>
      </w:r>
    </w:p>
    <w:p w:rsidR="00D73A4C" w:rsidRDefault="00A44BF4" w:rsidP="00CF262D">
      <w:pPr>
        <w:ind w:firstLine="600"/>
      </w:pPr>
      <w:r>
        <w:rPr>
          <w:rFonts w:hint="eastAsia"/>
        </w:rPr>
        <w:t>2022年财政拨款安排“三公”经费预算数29.22万元，其中：因公出国（境）费0万元，公务用车购置及运行费11.4万元（其中：购置费0万元、运行费11.4万元），公务接待费17.82万元。2022年“三公”经费预算29.22万元与2021年“三公”经费预算32.78万元比较，减少3.56万元，其中招待费减少2.96万元，公车运行费减少0.6万元。原因是政府压缩了“三公”经费开支。</w:t>
      </w:r>
    </w:p>
    <w:p w:rsidR="00D73A4C" w:rsidRDefault="00A44BF4" w:rsidP="008A08F6">
      <w:pPr>
        <w:pStyle w:val="2"/>
        <w:ind w:firstLine="630"/>
      </w:pPr>
      <w:r>
        <w:rPr>
          <w:rFonts w:hint="eastAsia"/>
        </w:rPr>
        <w:t>七、其他重要事项的情况说明</w:t>
      </w:r>
    </w:p>
    <w:p w:rsidR="00D73A4C" w:rsidRDefault="00A44BF4" w:rsidP="00CF262D">
      <w:pPr>
        <w:ind w:firstLine="600"/>
      </w:pPr>
      <w:r>
        <w:rPr>
          <w:rFonts w:hint="eastAsia"/>
        </w:rPr>
        <w:t>（1）机关运行经费。</w:t>
      </w:r>
    </w:p>
    <w:p w:rsidR="00D73A4C" w:rsidRDefault="00A44BF4" w:rsidP="00CF262D">
      <w:pPr>
        <w:ind w:firstLine="600"/>
      </w:pPr>
      <w:r>
        <w:rPr>
          <w:rFonts w:hint="eastAsia"/>
        </w:rPr>
        <w:t>2022年石山脚办事处使用一般公共预算财政拨款安排的基本支出中的机关运行经费，包括办公费、咨询费、水费、电费、邮电费、公务用车运行维护费、差旅费、维修（护）费、培训费、招待费、劳务费、其他商品服务支出等共124.88万元。</w:t>
      </w:r>
    </w:p>
    <w:p w:rsidR="00D73A4C" w:rsidRDefault="00A44BF4" w:rsidP="00CF262D">
      <w:pPr>
        <w:ind w:firstLine="600"/>
      </w:pPr>
      <w:r>
        <w:rPr>
          <w:rFonts w:hint="eastAsia"/>
        </w:rPr>
        <w:t>（2）政府采购情况。</w:t>
      </w:r>
    </w:p>
    <w:p w:rsidR="00D73A4C" w:rsidRDefault="00A44BF4" w:rsidP="00CF262D">
      <w:pPr>
        <w:ind w:firstLine="600"/>
      </w:pPr>
      <w:r>
        <w:rPr>
          <w:rFonts w:hint="eastAsia"/>
        </w:rPr>
        <w:t>2022年政府采购预算2万元，其中：办公设备2万元。</w:t>
      </w:r>
    </w:p>
    <w:p w:rsidR="00D73A4C" w:rsidRDefault="00A44BF4" w:rsidP="00CF262D">
      <w:pPr>
        <w:numPr>
          <w:ilvl w:val="0"/>
          <w:numId w:val="1"/>
        </w:numPr>
        <w:ind w:firstLine="600"/>
      </w:pPr>
      <w:r>
        <w:rPr>
          <w:rFonts w:hint="eastAsia"/>
        </w:rPr>
        <w:t>绩效目标设置情况。</w:t>
      </w:r>
    </w:p>
    <w:p w:rsidR="00D73A4C" w:rsidRDefault="00A44BF4">
      <w:pPr>
        <w:ind w:firstLine="600"/>
      </w:pPr>
      <w:r>
        <w:rPr>
          <w:rFonts w:hint="eastAsia"/>
        </w:rPr>
        <w:t>零陵区石山脚街道办事处2022年部门专项均实现绩效目标管理，涉及一般公共预算当年财政拨款1598.17万元。</w:t>
      </w:r>
    </w:p>
    <w:p w:rsidR="00D73A4C" w:rsidRDefault="00A44BF4" w:rsidP="00CF262D">
      <w:pPr>
        <w:ind w:firstLine="600"/>
      </w:pPr>
      <w:r>
        <w:rPr>
          <w:rFonts w:hint="eastAsia"/>
        </w:rPr>
        <w:t>（4）政府购买服务情况。</w:t>
      </w:r>
    </w:p>
    <w:p w:rsidR="00D73A4C" w:rsidRDefault="00A44BF4" w:rsidP="00CF262D">
      <w:pPr>
        <w:ind w:firstLine="600"/>
      </w:pPr>
      <w:r>
        <w:rPr>
          <w:rFonts w:hint="eastAsia"/>
        </w:rPr>
        <w:lastRenderedPageBreak/>
        <w:t>石山脚街道办事处2022年政府购买服务0万元。</w:t>
      </w:r>
    </w:p>
    <w:p w:rsidR="00D73A4C" w:rsidRDefault="00A44BF4" w:rsidP="00CF262D">
      <w:pPr>
        <w:ind w:firstLine="600"/>
      </w:pPr>
      <w:r>
        <w:rPr>
          <w:rFonts w:hint="eastAsia"/>
        </w:rPr>
        <w:t>（5）国有资产占有使用情况。</w:t>
      </w:r>
    </w:p>
    <w:p w:rsidR="00D73A4C" w:rsidRDefault="00A44BF4" w:rsidP="00CF262D">
      <w:pPr>
        <w:ind w:firstLine="600"/>
      </w:pPr>
      <w:r>
        <w:rPr>
          <w:rFonts w:hint="eastAsia"/>
        </w:rPr>
        <w:t>2022年本部门共有公务用车2辆，其中，应急保障用车0辆，执法执勤用车0辆，其他用车2辆；单位价值50万元以上通用设备0台，单位价值100万元以上专用设备0台.</w:t>
      </w:r>
    </w:p>
    <w:p w:rsidR="00D73A4C" w:rsidRDefault="00A44BF4" w:rsidP="008A08F6">
      <w:pPr>
        <w:pStyle w:val="2"/>
        <w:ind w:firstLine="630"/>
      </w:pPr>
      <w:r>
        <w:rPr>
          <w:rFonts w:hint="eastAsia"/>
        </w:rPr>
        <w:t>八、名词解释</w:t>
      </w:r>
    </w:p>
    <w:p w:rsidR="00D73A4C" w:rsidRDefault="00A44BF4" w:rsidP="00CF262D">
      <w:pPr>
        <w:ind w:firstLine="600"/>
      </w:pPr>
      <w:r>
        <w:rPr>
          <w:rFonts w:hint="eastAsia"/>
        </w:rPr>
        <w:t>1、机关运行经费：是指各部门的公用经费，包括办公费及印刷费、邮电费、差旅费、会议费、福利费、日常维修费、专用资料及一般设备购置费、办公用房水电费、办公用房取暖费、办公用房物业管理费、公务用车运行维护费以及其他费用。</w:t>
      </w:r>
    </w:p>
    <w:p w:rsidR="00D73A4C" w:rsidRDefault="00A44BF4" w:rsidP="00CF262D">
      <w:pPr>
        <w:ind w:firstLine="600"/>
      </w:pPr>
      <w:r>
        <w:rPr>
          <w:rFonts w:hint="eastAsia"/>
        </w:rPr>
        <w:t>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D73A4C" w:rsidRDefault="00D73A4C" w:rsidP="00CF262D">
      <w:pPr>
        <w:ind w:firstLine="600"/>
      </w:pPr>
    </w:p>
    <w:p w:rsidR="00D73A4C" w:rsidRDefault="00D73A4C" w:rsidP="00CF262D">
      <w:pPr>
        <w:ind w:firstLine="600"/>
      </w:pPr>
    </w:p>
    <w:p w:rsidR="00D73A4C" w:rsidRDefault="00D73A4C" w:rsidP="00CF262D">
      <w:pPr>
        <w:pStyle w:val="a0"/>
        <w:ind w:firstLine="210"/>
        <w:sectPr w:rsidR="00D73A4C">
          <w:footerReference w:type="default" r:id="rId9"/>
          <w:pgSz w:w="11905" w:h="16838"/>
          <w:pgMar w:top="1417" w:right="1417" w:bottom="1417" w:left="1417" w:header="850" w:footer="850" w:gutter="0"/>
          <w:cols w:space="0"/>
        </w:sectPr>
      </w:pPr>
    </w:p>
    <w:p w:rsidR="00D73A4C" w:rsidRDefault="00D73A4C" w:rsidP="00D73A4C">
      <w:pPr>
        <w:ind w:firstLine="600"/>
      </w:pPr>
    </w:p>
    <w:sectPr w:rsidR="00D73A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819" w:rsidRDefault="00780819" w:rsidP="00CF262D">
      <w:pPr>
        <w:spacing w:line="240" w:lineRule="auto"/>
        <w:ind w:firstLine="600"/>
      </w:pPr>
      <w:r>
        <w:separator/>
      </w:r>
    </w:p>
  </w:endnote>
  <w:endnote w:type="continuationSeparator" w:id="0">
    <w:p w:rsidR="00780819" w:rsidRDefault="00780819" w:rsidP="00CF262D">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80E0000" w:usb2="00000000" w:usb3="00000000" w:csb0="00040000" w:csb1="00000000"/>
  </w:font>
  <w:font w:name="方正大标宋简体">
    <w:altName w:val="微软雅黑"/>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43" w:usb2="00000009" w:usb3="00000000" w:csb0="000001FF" w:csb1="00000000"/>
  </w:font>
  <w:font w:name="黑体">
    <w:altName w:val="Malgun Gothic Semilight"/>
    <w:panose1 w:val="02010600030101010101"/>
    <w:charset w:val="86"/>
    <w:family w:val="modern"/>
    <w:notTrueType/>
    <w:pitch w:val="fixed"/>
    <w:sig w:usb0="00000000" w:usb1="080E0000" w:usb2="00000010" w:usb3="00000000" w:csb0="00040000" w:csb1="00000000"/>
  </w:font>
  <w:font w:name="楷体">
    <w:altName w:val="Malgun Gothic Semilight"/>
    <w:charset w:val="86"/>
    <w:family w:val="modern"/>
    <w:pitch w:val="default"/>
    <w:sig w:usb0="00000000"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A4C" w:rsidRDefault="00A44BF4">
    <w:pPr>
      <w:pStyle w:val="a5"/>
      <w:ind w:firstLineChars="0" w:firstLine="0"/>
    </w:pPr>
    <w:r>
      <w:rPr>
        <w:noProof/>
      </w:rPr>
      <mc:AlternateContent>
        <mc:Choice Requires="wps">
          <w:drawing>
            <wp:anchor distT="0" distB="0" distL="114300" distR="114300" simplePos="0" relativeHeight="2517760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73A4C" w:rsidRDefault="00A44BF4" w:rsidP="00CF262D">
                          <w:pPr>
                            <w:pStyle w:val="a5"/>
                            <w:ind w:firstLine="360"/>
                          </w:pPr>
                          <w:r>
                            <w:fldChar w:fldCharType="begin"/>
                          </w:r>
                          <w:r>
                            <w:instrText xml:space="preserve"> PAGE  \* MERGEFORMAT </w:instrText>
                          </w:r>
                          <w:r>
                            <w:fldChar w:fldCharType="separate"/>
                          </w:r>
                          <w:r w:rsidR="00672DFB">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5" o:spid="_x0000_s1026" type="#_x0000_t202" style="position:absolute;margin-left:0;margin-top:0;width:2in;height:2in;z-index:2517760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F+dY82MCAAAOBQAADgAAAAAAAAAAAAAAAAAuAgAAZHJzL2Uyb0RvYy54&#10;bWxQSwECLQAUAAYACAAAACEAcarRudcAAAAFAQAADwAAAAAAAAAAAAAAAAC9BAAAZHJzL2Rvd25y&#10;ZXYueG1sUEsFBgAAAAAEAAQA8wAAAMEFAAAAAA==&#10;" filled="f" stroked="f" strokeweight=".5pt">
              <v:textbox style="mso-fit-shape-to-text:t" inset="0,0,0,0">
                <w:txbxContent>
                  <w:p w:rsidR="00D73A4C" w:rsidRDefault="00A44BF4" w:rsidP="00CF262D">
                    <w:pPr>
                      <w:pStyle w:val="a5"/>
                      <w:ind w:firstLine="360"/>
                    </w:pPr>
                    <w:r>
                      <w:fldChar w:fldCharType="begin"/>
                    </w:r>
                    <w:r>
                      <w:instrText xml:space="preserve"> PAGE  \* MERGEFORMAT </w:instrText>
                    </w:r>
                    <w:r>
                      <w:fldChar w:fldCharType="separate"/>
                    </w:r>
                    <w:r w:rsidR="00672DFB">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819" w:rsidRDefault="00780819" w:rsidP="00CF262D">
      <w:pPr>
        <w:spacing w:line="240" w:lineRule="auto"/>
        <w:ind w:firstLine="600"/>
      </w:pPr>
      <w:r>
        <w:separator/>
      </w:r>
    </w:p>
  </w:footnote>
  <w:footnote w:type="continuationSeparator" w:id="0">
    <w:p w:rsidR="00780819" w:rsidRDefault="00780819" w:rsidP="00CF262D">
      <w:pPr>
        <w:spacing w:line="240" w:lineRule="auto"/>
        <w:ind w:firstLine="6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68FB78"/>
    <w:multiLevelType w:val="singleLevel"/>
    <w:tmpl w:val="CD68FB78"/>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A4C"/>
    <w:rsid w:val="00672DFB"/>
    <w:rsid w:val="00780819"/>
    <w:rsid w:val="008A08F6"/>
    <w:rsid w:val="00A44BF4"/>
    <w:rsid w:val="00CF262D"/>
    <w:rsid w:val="00D73A4C"/>
    <w:rsid w:val="00E63785"/>
    <w:rsid w:val="0FCA2496"/>
    <w:rsid w:val="194D0694"/>
    <w:rsid w:val="2CF61547"/>
    <w:rsid w:val="383418BE"/>
    <w:rsid w:val="7B086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spacing w:line="480" w:lineRule="exact"/>
      <w:ind w:firstLineChars="200" w:firstLine="883"/>
      <w:jc w:val="both"/>
    </w:pPr>
    <w:rPr>
      <w:rFonts w:ascii="仿宋_GB2312" w:eastAsia="仿宋_GB2312" w:hAnsi="仿宋_GB2312" w:cs="仿宋_GB2312"/>
      <w:kern w:val="2"/>
      <w:sz w:val="30"/>
      <w:szCs w:val="22"/>
    </w:rPr>
  </w:style>
  <w:style w:type="paragraph" w:styleId="1">
    <w:name w:val="heading 1"/>
    <w:basedOn w:val="a"/>
    <w:next w:val="a"/>
    <w:qFormat/>
    <w:pPr>
      <w:spacing w:beforeLines="50" w:before="50" w:afterLines="50" w:after="50" w:line="240" w:lineRule="auto"/>
      <w:ind w:firstLineChars="0" w:firstLine="0"/>
      <w:jc w:val="center"/>
      <w:outlineLvl w:val="0"/>
    </w:pPr>
    <w:rPr>
      <w:rFonts w:ascii="方正大标宋简体" w:eastAsia="方正大标宋简体" w:hAnsi="方正大标宋简体" w:cs="Times New Roman" w:hint="eastAsia"/>
      <w:kern w:val="44"/>
      <w:sz w:val="36"/>
      <w:szCs w:val="48"/>
    </w:rPr>
  </w:style>
  <w:style w:type="paragraph" w:styleId="2">
    <w:name w:val="heading 2"/>
    <w:basedOn w:val="a"/>
    <w:next w:val="a"/>
    <w:unhideWhenUsed/>
    <w:qFormat/>
    <w:pPr>
      <w:keepNext/>
      <w:keepLines/>
      <w:outlineLvl w:val="1"/>
    </w:pPr>
    <w:rPr>
      <w:rFonts w:ascii="Arial" w:eastAsia="黑体" w:hAnsi="Arial" w:cstheme="minorBidi"/>
    </w:rPr>
  </w:style>
  <w:style w:type="paragraph" w:styleId="3">
    <w:name w:val="heading 3"/>
    <w:basedOn w:val="a"/>
    <w:next w:val="a"/>
    <w:unhideWhenUsed/>
    <w:qFormat/>
    <w:pPr>
      <w:keepNext/>
      <w:keepLines/>
      <w:ind w:firstLine="720"/>
      <w:outlineLvl w:val="2"/>
    </w:pPr>
    <w:rPr>
      <w:rFonts w:ascii="楷体" w:eastAsia="楷体" w:hAnsi="楷体" w:cs="楷体"/>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next w:val="a0"/>
    <w:qFormat/>
    <w:pPr>
      <w:spacing w:after="120"/>
    </w:pPr>
    <w:rPr>
      <w:rFonts w:ascii="Calibri" w:eastAsia="宋体" w:hAnsi="Calibri" w:cs="Times New Roman"/>
      <w:sz w:val="21"/>
    </w:rPr>
  </w:style>
  <w:style w:type="paragraph" w:styleId="a5">
    <w:name w:val="footer"/>
    <w:basedOn w:val="a"/>
    <w:qFormat/>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spacing w:line="480" w:lineRule="exact"/>
      <w:ind w:firstLineChars="200" w:firstLine="883"/>
      <w:jc w:val="both"/>
    </w:pPr>
    <w:rPr>
      <w:rFonts w:ascii="仿宋_GB2312" w:eastAsia="仿宋_GB2312" w:hAnsi="仿宋_GB2312" w:cs="仿宋_GB2312"/>
      <w:kern w:val="2"/>
      <w:sz w:val="30"/>
      <w:szCs w:val="22"/>
    </w:rPr>
  </w:style>
  <w:style w:type="paragraph" w:styleId="1">
    <w:name w:val="heading 1"/>
    <w:basedOn w:val="a"/>
    <w:next w:val="a"/>
    <w:qFormat/>
    <w:pPr>
      <w:spacing w:beforeLines="50" w:before="50" w:afterLines="50" w:after="50" w:line="240" w:lineRule="auto"/>
      <w:ind w:firstLineChars="0" w:firstLine="0"/>
      <w:jc w:val="center"/>
      <w:outlineLvl w:val="0"/>
    </w:pPr>
    <w:rPr>
      <w:rFonts w:ascii="方正大标宋简体" w:eastAsia="方正大标宋简体" w:hAnsi="方正大标宋简体" w:cs="Times New Roman" w:hint="eastAsia"/>
      <w:kern w:val="44"/>
      <w:sz w:val="36"/>
      <w:szCs w:val="48"/>
    </w:rPr>
  </w:style>
  <w:style w:type="paragraph" w:styleId="2">
    <w:name w:val="heading 2"/>
    <w:basedOn w:val="a"/>
    <w:next w:val="a"/>
    <w:unhideWhenUsed/>
    <w:qFormat/>
    <w:pPr>
      <w:keepNext/>
      <w:keepLines/>
      <w:outlineLvl w:val="1"/>
    </w:pPr>
    <w:rPr>
      <w:rFonts w:ascii="Arial" w:eastAsia="黑体" w:hAnsi="Arial" w:cstheme="minorBidi"/>
    </w:rPr>
  </w:style>
  <w:style w:type="paragraph" w:styleId="3">
    <w:name w:val="heading 3"/>
    <w:basedOn w:val="a"/>
    <w:next w:val="a"/>
    <w:unhideWhenUsed/>
    <w:qFormat/>
    <w:pPr>
      <w:keepNext/>
      <w:keepLines/>
      <w:ind w:firstLine="720"/>
      <w:outlineLvl w:val="2"/>
    </w:pPr>
    <w:rPr>
      <w:rFonts w:ascii="楷体" w:eastAsia="楷体" w:hAnsi="楷体" w:cs="楷体"/>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next w:val="a0"/>
    <w:qFormat/>
    <w:pPr>
      <w:spacing w:after="120"/>
    </w:pPr>
    <w:rPr>
      <w:rFonts w:ascii="Calibri" w:eastAsia="宋体" w:hAnsi="Calibri" w:cs="Times New Roman"/>
      <w:sz w:val="21"/>
    </w:rPr>
  </w:style>
  <w:style w:type="paragraph" w:styleId="a5">
    <w:name w:val="footer"/>
    <w:basedOn w:val="a"/>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362</Words>
  <Characters>2066</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4</cp:revision>
  <dcterms:created xsi:type="dcterms:W3CDTF">2014-10-29T12:08:00Z</dcterms:created>
  <dcterms:modified xsi:type="dcterms:W3CDTF">2022-05-17T09:06:00Z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